
<file path=[Content_Types].xml><?xml version="1.0" encoding="utf-8"?>
<Types xmlns="http://schemas.openxmlformats.org/package/2006/content-types">
  <Default ContentType="image/jpeg" Extension="jpeg"/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454" w:hAnchor="page" w:vAnchor="page" w:x="868" w:y="166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5586" w:hAnchor="page" w:vAnchor="page" w:x="1334" w:y="166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14d-1(d) (Cross-Border Third-Party Tender Offer)</w:t>
      </w:r>
    </w:p>
    <w:p>
      <w:pPr>
        <w:pStyle w:val="Normal"/>
        <w:framePr w:w="454" w:hAnchor="page" w:vAnchor="page" w:x="868" w:y="16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973" w:hAnchor="page" w:vAnchor="page" w:x="1334" w:y="161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Rule 13e-4(i) (Cross-Border Issuer Tender Offer)</w:t>
      </w:r>
    </w:p>
    <w:p>
      <w:pPr>
        <w:pStyle w:val="Normal"/>
        <w:framePr w:w="10922" w:hAnchor="page" w:vAnchor="page" w:x="280" w:y="157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If applicable, check the appropriate box(es) below to designate the appropriate rule provision(s) relied upon: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9925" w:hAnchor="page" w:vAnchor="page" w:x="280" w:y="15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Check the following box if the filing is a final amendment reporting the results of the tender offer. </w:t>
      </w: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54" w:hAnchor="page" w:vAnchor="page" w:x="875" w:y="14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761" w:hAnchor="page" w:vAnchor="page" w:x="1341" w:y="147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amendment to Schedule 13D under Rule 13d-2</w:t>
      </w:r>
    </w:p>
    <w:p>
      <w:pPr>
        <w:pStyle w:val="Normal"/>
        <w:framePr w:w="454" w:hAnchor="page" w:vAnchor="page" w:x="875" w:y="142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754" w:hAnchor="page" w:vAnchor="page" w:x="1341" w:y="142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going-private transaction subject to Rule 13e-3</w:t>
      </w:r>
    </w:p>
    <w:p>
      <w:pPr>
        <w:pStyle w:val="Normal"/>
        <w:framePr w:w="495" w:hAnchor="page" w:vAnchor="page" w:x="875" w:y="13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</w:t>
      </w:r>
    </w:p>
    <w:p>
      <w:pPr>
        <w:pStyle w:val="Normal"/>
        <w:framePr w:w="4089" w:hAnchor="page" w:vAnchor="page" w:x="1341" w:y="137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issuer tender offer subject to Rule 13e-4</w:t>
      </w:r>
    </w:p>
    <w:p>
      <w:pPr>
        <w:pStyle w:val="Normal"/>
        <w:framePr w:w="454" w:hAnchor="page" w:vAnchor="page" w:x="875" w:y="13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4570" w:hAnchor="page" w:vAnchor="page" w:x="1341" w:y="133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third-party tender offer subject to Rule 14d-1</w:t>
      </w:r>
    </w:p>
    <w:p>
      <w:pPr>
        <w:pStyle w:val="Normal"/>
        <w:framePr w:w="8788" w:hAnchor="page" w:vAnchor="page" w:x="280" w:y="128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boxes to designate any transactions to which the statement relates:</w:t>
      </w:r>
    </w:p>
    <w:p>
      <w:pPr>
        <w:pStyle w:val="Normal"/>
        <w:framePr w:w="454" w:hAnchor="page" w:vAnchor="page" w:x="395" w:y="123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</w:pPr>
      <w:r>
        <w:rPr>
          <w:rFonts w:ascii="Wingdings-Regular" w:hAnsi="Wingdings-Regular" w:fareast="Wingdings-Regular" w:cs="Wingdings-Regular"/>
          <w:color w:val="000000"/>
          <w:w w:val="100"/>
          <w:sz w:val="20"/>
          <w:szCs w:val="20"/>
        </w:rPr>
        <w:t></w:t>
      </w:r>
    </w:p>
    <w:p>
      <w:pPr>
        <w:pStyle w:val="Normal"/>
        <w:framePr w:w="11650" w:hAnchor="page" w:vAnchor="page" w:x="875" w:y="123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box if the filing relates solely to preliminary communications made before the commencement of a tender offer.</w:t>
      </w:r>
    </w:p>
    <w:p>
      <w:pPr>
        <w:pStyle w:val="Normal"/>
        <w:framePr w:w="1740" w:hAnchor="page" w:vAnchor="page" w:x="5495" w:y="118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(650) 833-2000</w:t>
      </w:r>
    </w:p>
    <w:p>
      <w:pPr>
        <w:pStyle w:val="Normal"/>
        <w:framePr w:w="1400" w:hAnchor="page" w:vAnchor="page" w:x="5637" w:y="116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94303-2214</w:t>
      </w:r>
    </w:p>
    <w:p>
      <w:pPr>
        <w:pStyle w:val="Normal"/>
        <w:framePr w:w="2881" w:hAnchor="page" w:vAnchor="page" w:x="5020" w:y="113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East Palo Alto, California</w:t>
      </w:r>
    </w:p>
    <w:p>
      <w:pPr>
        <w:pStyle w:val="Normal"/>
        <w:framePr w:w="2663" w:hAnchor="page" w:vAnchor="page" w:x="5110" w:y="111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2000 University Avenue</w:t>
      </w:r>
    </w:p>
    <w:p>
      <w:pPr>
        <w:pStyle w:val="Normal"/>
        <w:framePr w:w="2421" w:hAnchor="page" w:vAnchor="page" w:x="5211" w:y="109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DLA Piper LLP (US)</w:t>
      </w:r>
    </w:p>
    <w:p>
      <w:pPr>
        <w:pStyle w:val="Normal"/>
        <w:framePr w:w="2735" w:hAnchor="page" w:vAnchor="page" w:x="5081" w:y="106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Drew M. Valentine, Esq.</w:t>
      </w:r>
    </w:p>
    <w:p>
      <w:pPr>
        <w:pStyle w:val="Normal"/>
        <w:framePr w:w="1908" w:hAnchor="page" w:vAnchor="page" w:x="5425" w:y="104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Alan Seem, Esq.</w:t>
      </w:r>
    </w:p>
    <w:p>
      <w:pPr>
        <w:pStyle w:val="Normal"/>
        <w:framePr w:w="2148" w:hAnchor="page" w:vAnchor="page" w:x="5325" w:y="101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Curtis L. Mo, Esq.</w:t>
      </w:r>
    </w:p>
    <w:p>
      <w:pPr>
        <w:pStyle w:val="Normal"/>
        <w:framePr w:w="1234" w:hAnchor="page" w:vAnchor="page" w:x="5706" w:y="97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0"/>
          <w:szCs w:val="20"/>
        </w:rPr>
        <w:t>Copies to:</w:t>
      </w:r>
    </w:p>
    <w:p>
      <w:pPr>
        <w:pStyle w:val="Normal"/>
        <w:framePr w:w="13932" w:hAnchor="page" w:vAnchor="page" w:x="415" w:y="89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(Name, Address and Telephone Number of Person Authorized to Receive Notices and Communications on Behalf of the Filing Person)</w:t>
      </w:r>
    </w:p>
    <w:p>
      <w:pPr>
        <w:pStyle w:val="Normal"/>
        <w:framePr w:w="1740" w:hAnchor="page" w:vAnchor="page" w:x="5495" w:y="84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(520) 524-4926</w:t>
      </w:r>
    </w:p>
    <w:p>
      <w:pPr>
        <w:pStyle w:val="Normal"/>
        <w:framePr w:w="2946" w:hAnchor="page" w:vAnchor="page" w:x="4993" w:y="82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P.C. 1035, Nicosia, Cyprus</w:t>
      </w:r>
    </w:p>
    <w:p>
      <w:pPr>
        <w:pStyle w:val="Normal"/>
        <w:framePr w:w="1767" w:hAnchor="page" w:vAnchor="page" w:x="5484" w:y="79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Flat/Office 303</w:t>
      </w:r>
    </w:p>
    <w:p>
      <w:pPr>
        <w:pStyle w:val="Normal"/>
        <w:framePr w:w="360" w:hAnchor="page" w:vAnchor="page" w:x="5728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3</w:t>
      </w:r>
    </w:p>
    <w:p>
      <w:pPr>
        <w:pStyle w:val="Normal"/>
        <w:framePr w:w="860" w:hAnchor="page" w:vAnchor="page" w:x="5995" w:y="77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 xml:space="preserve"> Floor</w:t>
      </w:r>
    </w:p>
    <w:p>
      <w:pPr>
        <w:pStyle w:val="Normal"/>
        <w:framePr w:w="404" w:hAnchor="page" w:vAnchor="page" w:x="5828" w:y="7713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7"/>
          <w:szCs w:val="17"/>
        </w:rPr>
        <w:t>rd</w:t>
      </w:r>
    </w:p>
    <w:p>
      <w:pPr>
        <w:pStyle w:val="Normal"/>
        <w:framePr w:w="3035" w:hAnchor="page" w:vAnchor="page" w:x="4955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5, Dimitraki Christodoulou</w:t>
      </w:r>
    </w:p>
    <w:p>
      <w:pPr>
        <w:pStyle w:val="Normal"/>
        <w:framePr w:w="2181" w:hAnchor="page" w:vAnchor="page" w:x="5311" w:y="72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Natallia Makarava</w:t>
      </w:r>
    </w:p>
    <w:p>
      <w:pPr>
        <w:pStyle w:val="Normal"/>
        <w:framePr w:w="4221" w:hAnchor="page" w:vAnchor="page" w:x="4461" w:y="67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(CUSIP Number of Class of Securities)</w:t>
      </w:r>
    </w:p>
    <w:p>
      <w:pPr>
        <w:pStyle w:val="Normal"/>
        <w:framePr w:w="1427" w:hAnchor="page" w:vAnchor="page" w:x="5625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74735M108</w:t>
      </w:r>
    </w:p>
    <w:p>
      <w:pPr>
        <w:pStyle w:val="Normal"/>
        <w:framePr w:w="2952" w:hAnchor="page" w:vAnchor="page" w:x="499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(Title of Class of Securities)</w:t>
      </w:r>
    </w:p>
    <w:p>
      <w:pPr>
        <w:pStyle w:val="Normal"/>
        <w:framePr w:w="12757" w:hAnchor="page" w:vAnchor="page" w:x="905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American Depositary Shares, each representing one Class B ordinary share, having a nominal value EUR 0.0005 per share</w:t>
      </w:r>
    </w:p>
    <w:p>
      <w:pPr>
        <w:pStyle w:val="Normal"/>
        <w:framePr w:w="7495" w:hAnchor="page" w:vAnchor="page" w:x="3097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Class B ordinary shares, having a nominal value EUR 0.0005 per share</w:t>
      </w:r>
    </w:p>
    <w:p>
      <w:pPr>
        <w:pStyle w:val="Normal"/>
        <w:framePr w:w="3876" w:hAnchor="page" w:vAnchor="page" w:x="4605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(Names of Filing Persons (Offeror))</w:t>
      </w:r>
    </w:p>
    <w:p>
      <w:pPr>
        <w:pStyle w:val="Normal"/>
        <w:framePr w:w="3161" w:hAnchor="page" w:vAnchor="page" w:x="4903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Dalliance Services Company</w:t>
      </w:r>
    </w:p>
    <w:p>
      <w:pPr>
        <w:pStyle w:val="Normal"/>
        <w:framePr w:w="4001" w:hAnchor="page" w:vAnchor="page" w:x="4553" w:y="38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(Name of Subject Company (Issuer))</w:t>
      </w:r>
    </w:p>
    <w:p>
      <w:pPr>
        <w:pStyle w:val="Normal"/>
        <w:framePr w:w="2301" w:hAnchor="page" w:vAnchor="page" w:x="5254" w:y="3427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QIWI PLC</w:t>
      </w:r>
    </w:p>
    <w:p>
      <w:pPr>
        <w:pStyle w:val="Normal"/>
        <w:framePr w:w="4161" w:hAnchor="page" w:vAnchor="page" w:x="4486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of the Securities Exchange Act of 1934</w:t>
      </w:r>
    </w:p>
    <w:p>
      <w:pPr>
        <w:pStyle w:val="Normal"/>
        <w:framePr w:w="6168" w:hAnchor="page" w:vAnchor="page" w:x="3648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Tender Offer Statement under Section 14(d)(1) or 13(e)(1)</w:t>
      </w:r>
    </w:p>
    <w:p>
      <w:pPr>
        <w:pStyle w:val="Normal"/>
        <w:framePr w:w="2901" w:hAnchor="page" w:vAnchor="page" w:x="4942" w:y="2117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(Amendment No. 1)</w:t>
      </w:r>
    </w:p>
    <w:p>
      <w:pPr>
        <w:pStyle w:val="Normal"/>
        <w:framePr w:w="2520" w:hAnchor="page" w:vAnchor="page" w:x="5115" w:y="1787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SCHEDULE TO</w:t>
      </w:r>
    </w:p>
    <w:p>
      <w:pPr>
        <w:pStyle w:val="Normal"/>
        <w:framePr w:w="2715" w:hAnchor="page" w:vAnchor="page" w:x="5089" w:y="10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Washington, D.C. 20549</w:t>
      </w:r>
    </w:p>
    <w:p>
      <w:pPr>
        <w:pStyle w:val="Normal"/>
        <w:framePr w:w="6942" w:hAnchor="page" w:vAnchor="page" w:x="3105" w:y="721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19pt;z-index:-167772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22pt;z-index:-1677720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75.3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157.9pt;z-index:-1677719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214.95pt;z-index:-167771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311.7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471.65pt;z-index:-1677718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856.7pt;z-index:-1677718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858.95pt;z-index:-1677717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896.5pt;z-index:-1677717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</w:p>
    <w:p>
      <w:pPr>
        <w:pStyle w:val="Normal"/>
        <w:framePr w:w="1707" w:hAnchor="page" w:vAnchor="page" w:x="1001" w:y="17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applicable.</w:t>
      </w:r>
    </w:p>
    <w:p>
      <w:pPr>
        <w:pStyle w:val="Normal"/>
        <w:framePr w:w="5294" w:hAnchor="page" w:vAnchor="page" w:x="280" w:y="170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13. Information required by Schedule 13E-3</w:t>
      </w:r>
    </w:p>
    <w:p>
      <w:pPr>
        <w:pStyle w:val="Normal"/>
        <w:framePr w:w="2427" w:hAnchor="page" w:vAnchor="page" w:x="395" w:y="16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**       Previously filed</w:t>
      </w:r>
    </w:p>
    <w:p>
      <w:pPr>
        <w:pStyle w:val="Normal"/>
        <w:framePr w:w="2234" w:hAnchor="page" w:vAnchor="page" w:x="445" w:y="160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*       Filed herewith</w:t>
      </w:r>
    </w:p>
    <w:p>
      <w:pPr>
        <w:pStyle w:val="Normal"/>
        <w:framePr w:w="600" w:hAnchor="page" w:vAnchor="page" w:x="395" w:y="155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107</w:t>
      </w:r>
    </w:p>
    <w:p>
      <w:pPr>
        <w:pStyle w:val="Normal"/>
        <w:framePr w:w="1930" w:hAnchor="page" w:vAnchor="page" w:x="1806" w:y="155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Filing Fee Table*</w:t>
      </w:r>
    </w:p>
    <w:p>
      <w:pPr>
        <w:pStyle w:val="Normal"/>
        <w:framePr w:w="520" w:hAnchor="page" w:vAnchor="page" w:x="395" w:y="15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(h)</w:t>
      </w:r>
    </w:p>
    <w:p>
      <w:pPr>
        <w:pStyle w:val="Normal"/>
        <w:framePr w:w="1894" w:hAnchor="page" w:vAnchor="page" w:x="1806" w:y="150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520" w:hAnchor="page" w:vAnchor="page" w:x="395" w:y="145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1894" w:hAnchor="page" w:vAnchor="page" w:x="1806" w:y="145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8130" w:hAnchor="page" w:vAnchor="page" w:x="1806" w:y="141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Exhibit 4.3 to QIWI plc’s Annual Report on Form 20-F, filed on April 29, 2022).  </w:t>
      </w:r>
    </w:p>
    <w:p>
      <w:pPr>
        <w:pStyle w:val="Normal"/>
        <w:framePr w:w="800" w:hAnchor="page" w:vAnchor="page" w:x="395" w:y="138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(d)(4)</w:t>
      </w:r>
    </w:p>
    <w:p>
      <w:pPr>
        <w:pStyle w:val="Normal"/>
        <w:framePr w:w="11976" w:hAnchor="page" w:vAnchor="page" w:x="1806" w:y="138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agreement for the transfer of the ownership of the shares related to the project “Tochka” (incorporated by reference to</w:t>
      </w:r>
    </w:p>
    <w:p>
      <w:pPr>
        <w:pStyle w:val="Normal"/>
        <w:framePr w:w="6376" w:hAnchor="page" w:vAnchor="page" w:x="1806" w:y="133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F-3, File No. 333-235239, filed on November 25, 2019).  </w:t>
      </w:r>
    </w:p>
    <w:p>
      <w:pPr>
        <w:pStyle w:val="Normal"/>
        <w:framePr w:w="11602" w:hAnchor="page" w:vAnchor="page" w:x="1806" w:y="131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Otkritie Financial Corporation» and (incorporated by reference to Exhibit 4.4 to QIWI plc’s Registration Statement on</w:t>
      </w:r>
    </w:p>
    <w:p>
      <w:pPr>
        <w:pStyle w:val="Normal"/>
        <w:framePr w:w="800" w:hAnchor="page" w:vAnchor="page" w:x="395" w:y="12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(d)(3)</w:t>
      </w:r>
    </w:p>
    <w:p>
      <w:pPr>
        <w:pStyle w:val="Normal"/>
        <w:framePr w:w="11957" w:hAnchor="page" w:vAnchor="page" w:x="1806" w:y="12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of Amended and Restated Registration Rights Agreement among QIWI plc and Public Joint-Stock Company «Bank</w:t>
      </w:r>
    </w:p>
    <w:p>
      <w:pPr>
        <w:pStyle w:val="Normal"/>
        <w:framePr w:w="980" w:hAnchor="page" w:vAnchor="page" w:x="1806" w:y="124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2013).  </w:t>
      </w:r>
    </w:p>
    <w:p>
      <w:pPr>
        <w:pStyle w:val="Normal"/>
        <w:framePr w:w="11850" w:hAnchor="page" w:vAnchor="page" w:x="1806" w:y="121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reference to Exhibit 4.5 to QIWI plc’s Registration Statement on Form F-1, File No. 333-191221, filed on September 30,</w:t>
      </w:r>
    </w:p>
    <w:p>
      <w:pPr>
        <w:pStyle w:val="Normal"/>
        <w:framePr w:w="11761" w:hAnchor="page" w:vAnchor="page" w:x="1806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Mikhailov, Bralvo Limited, E1 Limited, Mail.ru Group Limited and Mitsui &amp; Co., Ltd., and QIWI plc. (incorporated by</w:t>
      </w:r>
    </w:p>
    <w:p>
      <w:pPr>
        <w:pStyle w:val="Normal"/>
        <w:framePr w:w="12258" w:hAnchor="page" w:vAnchor="page" w:x="1806" w:y="11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Palmway Holdings Limited, Antana International Corporation, Andrey N. Romanenko, Dargle International Limited, Igor N.</w:t>
      </w:r>
    </w:p>
    <w:p>
      <w:pPr>
        <w:pStyle w:val="Normal"/>
        <w:framePr w:w="800" w:hAnchor="page" w:vAnchor="page" w:x="395" w:y="114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(d)(2)</w:t>
      </w:r>
    </w:p>
    <w:p>
      <w:pPr>
        <w:pStyle w:val="Normal"/>
        <w:framePr w:w="11912" w:hAnchor="page" w:vAnchor="page" w:x="1806" w:y="114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of Amended and Restated Registration Rights Agreement among Saldivar Investments Limited, Sergey A. Solonin,</w:t>
      </w:r>
    </w:p>
    <w:p>
      <w:pPr>
        <w:pStyle w:val="Normal"/>
        <w:framePr w:w="6109" w:hAnchor="page" w:vAnchor="page" w:x="1806" w:y="109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Form F-1/A, File No. 333-187579, filed on April 19, 2013).  </w:t>
      </w:r>
    </w:p>
    <w:p>
      <w:pPr>
        <w:pStyle w:val="Normal"/>
        <w:framePr w:w="11655" w:hAnchor="page" w:vAnchor="page" w:x="1806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Depositary Shares issued thereunder (incorporated by reference to Exhibit 4.3 to QIWI plc’s Registration Statement on</w:t>
      </w:r>
    </w:p>
    <w:p>
      <w:pPr>
        <w:pStyle w:val="Normal"/>
        <w:framePr w:w="860" w:hAnchor="page" w:vAnchor="page" w:x="395" w:y="10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(d)(1) </w:t>
      </w:r>
    </w:p>
    <w:p>
      <w:pPr>
        <w:pStyle w:val="Normal"/>
        <w:framePr w:w="11689" w:hAnchor="page" w:vAnchor="page" w:x="1806" w:y="10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of Deposit Agreement among the Registrant, the Depositary and Owners and Beneficial Owners of the American</w:t>
      </w:r>
    </w:p>
    <w:p>
      <w:pPr>
        <w:pStyle w:val="Normal"/>
        <w:framePr w:w="1107" w:hAnchor="page" w:vAnchor="page" w:x="395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(a)(5)(B)</w:t>
      </w:r>
    </w:p>
    <w:p>
      <w:pPr>
        <w:pStyle w:val="Normal"/>
        <w:framePr w:w="5266" w:hAnchor="page" w:vAnchor="page" w:x="1806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Press Release of the Company, dated July 8, 2022*  </w:t>
      </w:r>
    </w:p>
    <w:p>
      <w:pPr>
        <w:pStyle w:val="Normal"/>
        <w:framePr w:w="1120" w:hAnchor="page" w:vAnchor="page" w:x="395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(a)(5)(A)</w:t>
      </w:r>
    </w:p>
    <w:p>
      <w:pPr>
        <w:pStyle w:val="Normal"/>
        <w:framePr w:w="4948" w:hAnchor="page" w:vAnchor="page" w:x="1806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Summary Advertisement, dated July 7, 2022.**  </w:t>
      </w:r>
    </w:p>
    <w:p>
      <w:pPr>
        <w:pStyle w:val="Normal"/>
        <w:framePr w:w="786" w:hAnchor="page" w:vAnchor="page" w:x="395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(a)(4)</w:t>
      </w:r>
    </w:p>
    <w:p>
      <w:pPr>
        <w:pStyle w:val="Normal"/>
        <w:framePr w:w="1894" w:hAnchor="page" w:vAnchor="page" w:x="1806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786" w:hAnchor="page" w:vAnchor="page" w:x="395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(a)(3)</w:t>
      </w:r>
    </w:p>
    <w:p>
      <w:pPr>
        <w:pStyle w:val="Normal"/>
        <w:framePr w:w="1894" w:hAnchor="page" w:vAnchor="page" w:x="1806" w:y="85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786" w:hAnchor="page" w:vAnchor="page" w:x="395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(a)(2)</w:t>
      </w:r>
    </w:p>
    <w:p>
      <w:pPr>
        <w:pStyle w:val="Normal"/>
        <w:framePr w:w="1894" w:hAnchor="page" w:vAnchor="page" w:x="1806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1107" w:hAnchor="page" w:vAnchor="page" w:x="395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(a)(1)(B)</w:t>
      </w:r>
    </w:p>
    <w:p>
      <w:pPr>
        <w:pStyle w:val="Normal"/>
        <w:framePr w:w="5262" w:hAnchor="page" w:vAnchor="page" w:x="1806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Letter of Transmittal (including IRS Form W-9).**  </w:t>
      </w:r>
    </w:p>
    <w:p>
      <w:pPr>
        <w:pStyle w:val="Normal"/>
        <w:framePr w:w="1120" w:hAnchor="page" w:vAnchor="page" w:x="395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(a)(1)(A)</w:t>
      </w:r>
    </w:p>
    <w:p>
      <w:pPr>
        <w:pStyle w:val="Normal"/>
        <w:framePr w:w="4230" w:hAnchor="page" w:vAnchor="page" w:x="1806" w:y="71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Offer to Purchase, dated July 7, 2022.**  </w:t>
      </w:r>
    </w:p>
    <w:p>
      <w:pPr>
        <w:pStyle w:val="Normal"/>
        <w:framePr w:w="1001" w:hAnchor="page" w:vAnchor="page" w:x="395" w:y="68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</w:t>
      </w:r>
    </w:p>
    <w:p>
      <w:pPr>
        <w:pStyle w:val="Normal"/>
        <w:framePr w:w="1994" w:hAnchor="page" w:vAnchor="page" w:x="280" w:y="64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12. Exhibits</w:t>
      </w:r>
    </w:p>
    <w:p>
      <w:pPr>
        <w:pStyle w:val="Normal"/>
        <w:framePr w:w="5883" w:hAnchor="page" w:vAnchor="page" w:x="280" w:y="59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Schedule TO and is incorporated herein by reference.”</w:t>
      </w:r>
    </w:p>
    <w:p>
      <w:pPr>
        <w:pStyle w:val="Normal"/>
        <w:framePr w:w="13271" w:hAnchor="page" w:vAnchor="page" w:x="1001" w:y="56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“On July 8, 2022, the Company issued a press release announcing the Offer. A copy of such press release is filed as Exhibit (a)(5)(B) to</w:t>
      </w:r>
    </w:p>
    <w:p>
      <w:pPr>
        <w:pStyle w:val="Normal"/>
        <w:framePr w:w="10735" w:hAnchor="page" w:vAnchor="page" w:x="1001" w:y="52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Item 11 of the Schedule TO is hereby amended and supplemented by adding the following to the end thereof:</w:t>
      </w:r>
    </w:p>
    <w:p>
      <w:pPr>
        <w:pStyle w:val="Normal"/>
        <w:framePr w:w="3535" w:hAnchor="page" w:vAnchor="page" w:x="280" w:y="47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11. Additional Information</w:t>
      </w:r>
    </w:p>
    <w:p>
      <w:pPr>
        <w:pStyle w:val="Normal"/>
        <w:framePr w:w="4225" w:hAnchor="page" w:vAnchor="page" w:x="280" w:y="42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Purchase and the Letter of Transmittal.</w:t>
      </w:r>
    </w:p>
    <w:p>
      <w:pPr>
        <w:pStyle w:val="Normal"/>
        <w:framePr w:w="14117" w:hAnchor="page" w:vAnchor="page" w:x="280" w:y="40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information contained in the Schedule TO remains unchanged. You should read this Amendment No. 1 together with the Schedule TO, the Offer</w:t>
      </w:r>
    </w:p>
    <w:p>
      <w:pPr>
        <w:pStyle w:val="Normal"/>
        <w:framePr w:w="12355" w:hAnchor="page" w:vAnchor="page" w:x="1001" w:y="37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Only those items amended or supplemented are reported in this Amendment No. 1. Except as specifically provided herein, the</w:t>
      </w:r>
    </w:p>
    <w:p>
      <w:pPr>
        <w:pStyle w:val="Normal"/>
        <w:framePr w:w="6790" w:hAnchor="page" w:vAnchor="page" w:x="280" w:y="32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copy of which is attached to the Schedule TO as Exhibit (a)(1)(B).</w:t>
      </w:r>
    </w:p>
    <w:p>
      <w:pPr>
        <w:pStyle w:val="Normal"/>
        <w:framePr w:w="14150" w:hAnchor="page" w:vAnchor="page" w:x="280" w:y="30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(the “Letter of Transmittal” and, together with the Offer to Purchase, as they may be amended and supplemented from time to time, the “Offer”),</w:t>
      </w:r>
    </w:p>
    <w:p>
      <w:pPr>
        <w:pStyle w:val="Normal"/>
        <w:framePr w:w="14104" w:hAnchor="page" w:vAnchor="page" w:x="280" w:y="28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July 7, 2022 (the “Offer to Purchase”), a copy of which is attached to the Schedule TO as Exhibit (a)(1)(A), and the related Letter of Transmittal</w:t>
      </w:r>
    </w:p>
    <w:p>
      <w:pPr>
        <w:pStyle w:val="Normal"/>
        <w:framePr w:w="13572" w:hAnchor="page" w:vAnchor="page" w:x="280" w:y="25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applicable withholding taxes and without interest, upon the terms and subject to the conditions set forth in the Offer to Purchase, dated</w:t>
      </w:r>
    </w:p>
    <w:p>
      <w:pPr>
        <w:pStyle w:val="Normal"/>
        <w:framePr w:w="13996" w:hAnchor="page" w:vAnchor="page" w:x="280" w:y="23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at price of not less than $2.20 and not greater than $2.70 per Share (including Shares represented by ADSs), to the seller in cash, less</w:t>
      </w:r>
    </w:p>
    <w:p>
      <w:pPr>
        <w:pStyle w:val="Normal"/>
        <w:framePr w:w="14046" w:hAnchor="page" w:vAnchor="page" w:x="280" w:y="20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Shares represented by American Depositary Shares, each representing a Share (each an “ADS” and collectively, the “ADSs”) of the</w:t>
      </w:r>
    </w:p>
    <w:p>
      <w:pPr>
        <w:pStyle w:val="Normal"/>
        <w:framePr w:w="13592" w:hAnchor="page" w:vAnchor="page" w:x="280" w:y="18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Class B ordinary shares having a nominal value EUR 0.0005 per share (each, a “Share,” and collectively, the “Shares”) and the</w:t>
      </w:r>
    </w:p>
    <w:p>
      <w:pPr>
        <w:pStyle w:val="Normal"/>
        <w:framePr w:w="13856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QIWI PLC, a company formed under the laws of Cyprus (the “Company”), to the stockholders to tender up to $25.0 million in value of the</w:t>
      </w:r>
    </w:p>
    <w:p>
      <w:pPr>
        <w:pStyle w:val="Normal"/>
        <w:framePr w:w="14202" w:hAnchor="page" w:vAnchor="page" w:x="280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laws of the Marshall Islands (the “Offeror”), and wholly owned by Sergey Solonin, the largest shareholder and chairman of the board of directors</w:t>
      </w:r>
    </w:p>
    <w:p>
      <w:pPr>
        <w:pStyle w:val="Normal"/>
        <w:framePr w:w="13930" w:hAnchor="page" w:vAnchor="page" w:x="280" w:y="11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originally filed on July 7, 2022 (the “Schedule TO”) relating to the offer by Dalliance Services Company, a corporation incorporated under the</w:t>
      </w:r>
    </w:p>
    <w:p>
      <w:pPr>
        <w:pStyle w:val="Normal"/>
        <w:framePr w:w="12510" w:hAnchor="page" w:vAnchor="page" w:x="1001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Amendment No. 1 (this “Amendment No. 1”) amends and supplements the Issuer Tender Offer Statement on Schedule TO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7pt;margin-top:1pt;z-index:-1677716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9pt;margin-top:800.4pt;z-index:-16777164;width:144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355.3pt;z-index:-16777160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922pt;z-index:-16777156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70.75pt;margin-top:52.8pt;z-index:-16777152;width:76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61.9pt;margin-top:64.8pt;z-index:-16777148;width:54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50.8pt;margin-top:76.8pt;z-index:-16777144;width:3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276.1pt;margin-top:88.8pt;z-index:-16777140;width:40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3.9pt;margin-top:100.85pt;z-index:-16777136;width:2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03.25pt;margin-top:100.85pt;z-index:-16777132;width:28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87.2pt;margin-top:148.85pt;z-index:-16777128;width:72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35.5pt;margin-top:160.9pt;z-index:-16777124;width: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60.85pt;margin-top:160.9pt;z-index:-16777120;width:23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</w:p>
    <w:p>
      <w:pPr>
        <w:pStyle w:val="Normal"/>
        <w:framePr w:w="2121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July 8, 2022</w:t>
      </w:r>
    </w:p>
    <w:p>
      <w:pPr>
        <w:pStyle w:val="Normal"/>
        <w:framePr w:w="752" w:hAnchor="page" w:vAnchor="page" w:x="6015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1040" w:hAnchor="page" w:vAnchor="page" w:x="6736" w:y="31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</w:t>
      </w:r>
    </w:p>
    <w:p>
      <w:pPr>
        <w:pStyle w:val="Normal"/>
        <w:framePr w:w="2885" w:hAnchor="page" w:vAnchor="page" w:x="6015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   Natallia Makarava</w:t>
      </w:r>
    </w:p>
    <w:p>
      <w:pPr>
        <w:pStyle w:val="Normal"/>
        <w:framePr w:w="587" w:hAnchor="page" w:vAnchor="page" w:x="6015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</w:t>
      </w:r>
    </w:p>
    <w:p>
      <w:pPr>
        <w:pStyle w:val="Normal"/>
        <w:framePr w:w="2307" w:hAnchor="page" w:vAnchor="page" w:x="6555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/s/ Natallia Makarava</w:t>
      </w:r>
    </w:p>
    <w:p>
      <w:pPr>
        <w:pStyle w:val="Normal"/>
        <w:framePr w:w="4056" w:hAnchor="page" w:vAnchor="page" w:x="6015" w:y="21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DALLIANCE SERVICES COMPANY.</w:t>
      </w:r>
    </w:p>
    <w:p>
      <w:pPr>
        <w:pStyle w:val="Normal"/>
        <w:framePr w:w="1373" w:hAnchor="page" w:vAnchor="page" w:x="280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correct.</w:t>
      </w:r>
    </w:p>
    <w:p>
      <w:pPr>
        <w:pStyle w:val="Normal"/>
        <w:framePr w:w="13109" w:hAnchor="page" w:vAnchor="page" w:x="1001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After due inquiry and to the best of my knowledge and belief, I certify that the information set forth in this statement is true, complete</w:t>
      </w:r>
    </w:p>
    <w:p>
      <w:pPr>
        <w:pStyle w:val="Normal"/>
        <w:framePr w:w="1650" w:hAnchor="page" w:vAnchor="page" w:x="5533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7pt;margin-top:1pt;z-index:-167771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326.75pt;margin-top:143.6pt;z-index:-16777112;width:272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230.7pt;z-index:-167771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</w:p>
    <w:p>
      <w:pPr>
        <w:pStyle w:val="Normal"/>
        <w:framePr w:w="2427" w:hAnchor="page" w:vAnchor="page" w:x="280" w:y="112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**       Previously filed</w:t>
      </w:r>
    </w:p>
    <w:p>
      <w:pPr>
        <w:pStyle w:val="Normal"/>
        <w:framePr w:w="2234" w:hAnchor="page" w:vAnchor="page" w:x="330" w:y="110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*       Filed herewith</w:t>
      </w:r>
    </w:p>
    <w:p>
      <w:pPr>
        <w:pStyle w:val="Normal"/>
        <w:framePr w:w="600" w:hAnchor="page" w:vAnchor="page" w:x="280" w:y="10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107</w:t>
      </w:r>
    </w:p>
    <w:p>
      <w:pPr>
        <w:pStyle w:val="Normal"/>
        <w:framePr w:w="1930" w:hAnchor="page" w:vAnchor="page" w:x="1691" w:y="10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Filing Fee Table*</w:t>
      </w:r>
    </w:p>
    <w:p>
      <w:pPr>
        <w:pStyle w:val="Normal"/>
        <w:framePr w:w="520" w:hAnchor="page" w:vAnchor="page" w:x="280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(h)</w:t>
      </w:r>
    </w:p>
    <w:p>
      <w:pPr>
        <w:pStyle w:val="Normal"/>
        <w:framePr w:w="1894" w:hAnchor="page" w:vAnchor="page" w:x="1691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520" w:hAnchor="page" w:vAnchor="page" w:x="280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(g)</w:t>
      </w:r>
    </w:p>
    <w:p>
      <w:pPr>
        <w:pStyle w:val="Normal"/>
        <w:framePr w:w="1894" w:hAnchor="page" w:vAnchor="page" w:x="1691" w:y="95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8130" w:hAnchor="page" w:vAnchor="page" w:x="1691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 xml:space="preserve">Exhibit 4.3 to QIWI plc’s Annual Report on Form 20-F, filed on April 29, 2022).  </w:t>
      </w:r>
    </w:p>
    <w:p>
      <w:pPr>
        <w:pStyle w:val="Normal"/>
        <w:framePr w:w="800" w:hAnchor="page" w:vAnchor="page" w:x="280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(d)(4)</w:t>
      </w:r>
    </w:p>
    <w:p>
      <w:pPr>
        <w:pStyle w:val="Normal"/>
        <w:framePr w:w="11976" w:hAnchor="page" w:vAnchor="page" w:x="1691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The agreement for the transfer of the ownership of the shares related to the project “Tochka” (incorporated by reference to</w:t>
      </w:r>
    </w:p>
    <w:p>
      <w:pPr>
        <w:pStyle w:val="Normal"/>
        <w:framePr w:w="5582" w:hAnchor="page" w:vAnchor="page" w:x="1691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 xml:space="preserve">3, File No. 333-235239, filed on November 25, 2019).  </w:t>
      </w:r>
    </w:p>
    <w:p>
      <w:pPr>
        <w:pStyle w:val="Normal"/>
        <w:framePr w:w="12456" w:hAnchor="page" w:vAnchor="page" w:x="1691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Otkritie Financial Corporation» and (incorporated by reference to Exhibit 4.4 to QIWI plc’s Registration Statement on Form F-</w:t>
      </w:r>
    </w:p>
    <w:p>
      <w:pPr>
        <w:pStyle w:val="Normal"/>
        <w:framePr w:w="800" w:hAnchor="page" w:vAnchor="page" w:x="280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(d)(3)</w:t>
      </w:r>
    </w:p>
    <w:p>
      <w:pPr>
        <w:pStyle w:val="Normal"/>
        <w:framePr w:w="11957" w:hAnchor="page" w:vAnchor="page" w:x="1691" w:y="78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Form of Amended and Restated Registration Rights Agreement among QIWI plc and Public Joint-Stock Company «Bank</w:t>
      </w:r>
    </w:p>
    <w:p>
      <w:pPr>
        <w:pStyle w:val="Normal"/>
        <w:framePr w:w="12530" w:hAnchor="page" w:vAnchor="page" w:x="1691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reference to Exhibit 4.5 to QIWI plc’s Registration Statement on Form F-1, File No. 333-191221, filed on September 30, 2013).</w:t>
      </w:r>
    </w:p>
    <w:p>
      <w:pPr>
        <w:pStyle w:val="Normal"/>
        <w:framePr w:w="11761" w:hAnchor="page" w:vAnchor="page" w:x="1691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Mikhailov, Bralvo Limited, E1 Limited, Mail.ru Group Limited and Mitsui &amp; Co., Ltd., and QIWI plc. (incorporated by</w:t>
      </w:r>
    </w:p>
    <w:p>
      <w:pPr>
        <w:pStyle w:val="Normal"/>
        <w:framePr w:w="12258" w:hAnchor="page" w:vAnchor="page" w:x="1691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Palmway Holdings Limited, Antana International Corporation, Andrey N. Romanenko, Dargle International Limited, Igor N.</w:t>
      </w:r>
    </w:p>
    <w:p>
      <w:pPr>
        <w:pStyle w:val="Normal"/>
        <w:framePr w:w="800" w:hAnchor="page" w:vAnchor="page" w:x="280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(d)(2)</w:t>
      </w:r>
    </w:p>
    <w:p>
      <w:pPr>
        <w:pStyle w:val="Normal"/>
        <w:framePr w:w="11912" w:hAnchor="page" w:vAnchor="page" w:x="1691" w:y="64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Form of Amended and Restated Registration Rights Agreement among Saldivar Investments Limited, Sergey A. Solonin,</w:t>
      </w:r>
    </w:p>
    <w:p>
      <w:pPr>
        <w:pStyle w:val="Normal"/>
        <w:framePr w:w="5195" w:hAnchor="page" w:vAnchor="page" w:x="1691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1/A, File No. 333-187579, filed on April 19, 2013).</w:t>
      </w:r>
    </w:p>
    <w:p>
      <w:pPr>
        <w:pStyle w:val="Normal"/>
        <w:framePr w:w="12509" w:hAnchor="page" w:vAnchor="page" w:x="1691" w:y="570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Depositary Shares issued thereunder (incorporated by reference to Exhibit 4.3 to QIWI plc’s Registration Statement on Form F-</w:t>
      </w:r>
    </w:p>
    <w:p>
      <w:pPr>
        <w:pStyle w:val="Normal"/>
        <w:framePr w:w="800" w:hAnchor="page" w:vAnchor="page" w:x="280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(d)(1)</w:t>
      </w:r>
    </w:p>
    <w:p>
      <w:pPr>
        <w:pStyle w:val="Normal"/>
        <w:framePr w:w="11689" w:hAnchor="page" w:vAnchor="page" w:x="1691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Form of Deposit Agreement among the Registrant, the Depositary and Owners and Beneficial Owners of the American</w:t>
      </w:r>
    </w:p>
    <w:p>
      <w:pPr>
        <w:pStyle w:val="Normal"/>
        <w:framePr w:w="520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</w:t>
      </w:r>
    </w:p>
    <w:p>
      <w:pPr>
        <w:pStyle w:val="Normal"/>
        <w:framePr w:w="1894" w:hAnchor="page" w:vAnchor="page" w:x="1691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1107" w:hAnchor="page" w:vAnchor="page" w:x="280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(a)(5)(B)</w:t>
      </w:r>
    </w:p>
    <w:p>
      <w:pPr>
        <w:pStyle w:val="Normal"/>
        <w:framePr w:w="5266" w:hAnchor="page" w:vAnchor="page" w:x="1691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 xml:space="preserve">Press Release of the Company, dated July 8, 2022*  </w:t>
      </w:r>
    </w:p>
    <w:p>
      <w:pPr>
        <w:pStyle w:val="Normal"/>
        <w:framePr w:w="1120" w:hAnchor="page" w:vAnchor="page" w:x="280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(a)(5)(A)</w:t>
      </w:r>
    </w:p>
    <w:p>
      <w:pPr>
        <w:pStyle w:val="Normal"/>
        <w:framePr w:w="4768" w:hAnchor="page" w:vAnchor="page" w:x="1691" w:y="402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Summary Advertisement, dated July 7, 2022**</w:t>
      </w:r>
    </w:p>
    <w:p>
      <w:pPr>
        <w:pStyle w:val="Normal"/>
        <w:framePr w:w="786" w:hAnchor="page" w:vAnchor="page" w:x="280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(a)(4)</w:t>
      </w:r>
    </w:p>
    <w:p>
      <w:pPr>
        <w:pStyle w:val="Normal"/>
        <w:framePr w:w="1894" w:hAnchor="page" w:vAnchor="page" w:x="1691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786" w:hAnchor="page" w:vAnchor="page" w:x="280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(a)(3)</w:t>
      </w:r>
    </w:p>
    <w:p>
      <w:pPr>
        <w:pStyle w:val="Normal"/>
        <w:framePr w:w="1894" w:hAnchor="page" w:vAnchor="page" w:x="1691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786" w:hAnchor="page" w:vAnchor="page" w:x="280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(a)(2)</w:t>
      </w:r>
    </w:p>
    <w:p>
      <w:pPr>
        <w:pStyle w:val="Normal"/>
        <w:framePr w:w="1894" w:hAnchor="page" w:vAnchor="page" w:x="1691" w:y="25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Not Applicable.  </w:t>
      </w:r>
    </w:p>
    <w:p>
      <w:pPr>
        <w:pStyle w:val="Normal"/>
        <w:framePr w:w="1107" w:hAnchor="page" w:vAnchor="page" w:x="280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(a)(1)(B)</w:t>
      </w:r>
    </w:p>
    <w:p>
      <w:pPr>
        <w:pStyle w:val="Normal"/>
        <w:framePr w:w="5142" w:hAnchor="page" w:vAnchor="page" w:x="1691" w:y="209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Letter of Transmittal (including IRS Form W-9).**</w:t>
      </w:r>
    </w:p>
    <w:p>
      <w:pPr>
        <w:pStyle w:val="Normal"/>
        <w:framePr w:w="1120" w:hAnchor="page" w:vAnchor="page" w:x="280" w:y="16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(a)(1)(A)</w:t>
      </w:r>
    </w:p>
    <w:p>
      <w:pPr>
        <w:pStyle w:val="Normal"/>
        <w:framePr w:w="4110" w:hAnchor="page" w:vAnchor="page" w:x="1691" w:y="16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Offer to Purchase, dated July 7, 2022.**</w:t>
      </w:r>
    </w:p>
    <w:p>
      <w:pPr>
        <w:pStyle w:val="Normal"/>
        <w:framePr w:w="1001" w:hAnchor="page" w:vAnchor="page" w:x="280" w:y="13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</w:t>
      </w:r>
    </w:p>
    <w:p>
      <w:pPr>
        <w:pStyle w:val="Normal"/>
        <w:framePr w:w="2097" w:hAnchor="page" w:vAnchor="page" w:x="5346" w:y="8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INDEX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pt;margin-top:1pt;z-index:-167771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3pt;margin-top:548.2pt;z-index:-16777100;width:14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pt;margin-top:79.05pt;z-index:-16777096;width:7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3pt;margin-top:609.75pt;z-index:-16777092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pt;margin-top:89.55pt;z-index:-16777088;width:38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83.55pt;margin-top:88.8pt;z-index:-16777084;width:163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pt;margin-top:113.6pt;z-index:-16777080;width:3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83.55pt;margin-top:113.6pt;z-index:-16777076;width:206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pt;margin-top:209.7pt;z-index:-16777072;width:38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83.55pt;margin-top:209.7pt;z-index:-16777068;width:19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3pt;margin-top:233.7pt;z-index:-16777064;width:38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83.55pt;margin-top:233.7pt;z-index:-16777060;width:211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3pt;margin-top:281.75pt;z-index:-16777056;width:2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83.55pt;margin-top:281.75pt;z-index:-16777052;width:47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83.55pt;margin-top:293.75pt;z-index:-16777048;width:513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83.55pt;margin-top:305.75pt;z-index:-16777044;width:208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329.8pt;z-index:-16777040;width:2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83.55pt;margin-top:329.8pt;z-index:-16777036;width:48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83.55pt;margin-top:341.8pt;z-index:-16777032;width:502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83.55pt;margin-top:353.8pt;z-index:-16777028;width:482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83.55pt;margin-top:365.8pt;z-index:-16777024;width:514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83.55pt;margin-top:377.8pt;z-index:-16777020;width:4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3pt;margin-top:401.85pt;z-index:-16777016;width:2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83.55pt;margin-top:401.85pt;z-index:-16777012;width:490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83.55pt;margin-top:413.85pt;z-index:-16777008;width:51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83.55pt;margin-top:425.85pt;z-index:-16777004;width:22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3pt;margin-top:449.9pt;z-index:-16777000;width:25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83.55pt;margin-top:449.9pt;z-index:-16776996;width:49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83.55pt;margin-top:461.9pt;z-index:-16776992;width:33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13pt;margin-top:533.95pt;z-index:-16776988;width:1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83.55pt;margin-top:533.95pt;z-index:-16776984;width:72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</w:p>
    <w:p>
      <w:pPr>
        <w:pStyle w:val="Normal"/>
        <w:framePr w:w="1508" w:hAnchor="page" w:vAnchor="page" w:x="280" w:y="136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ir@qiwi.com</w:t>
      </w:r>
    </w:p>
    <w:p>
      <w:pPr>
        <w:pStyle w:val="Normal"/>
        <w:framePr w:w="1756" w:hAnchor="page" w:vAnchor="page" w:x="280" w:y="133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+357.25028091</w:t>
      </w:r>
    </w:p>
    <w:p>
      <w:pPr>
        <w:pStyle w:val="Normal"/>
        <w:framePr w:w="1994" w:hAnchor="page" w:vAnchor="page" w:x="280" w:y="131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Investor Relations</w:t>
      </w:r>
    </w:p>
    <w:p>
      <w:pPr>
        <w:pStyle w:val="Normal"/>
        <w:framePr w:w="1054" w:hAnchor="page" w:vAnchor="page" w:x="280" w:y="129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Contact</w:t>
      </w:r>
    </w:p>
    <w:p>
      <w:pPr>
        <w:pStyle w:val="Normal"/>
        <w:framePr w:w="4695" w:hAnchor="page" w:vAnchor="page" w:x="280" w:y="124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more information, visit investor.qiwi.com.</w:t>
      </w:r>
    </w:p>
    <w:p>
      <w:pPr>
        <w:pStyle w:val="Normal"/>
        <w:framePr w:w="6368" w:hAnchor="page" w:vAnchor="page" w:x="280" w:y="119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traded on the NASDAQ and Moscow Exchange (ticker: QIWI).</w:t>
      </w:r>
    </w:p>
    <w:p>
      <w:pPr>
        <w:pStyle w:val="Normal"/>
        <w:framePr w:w="14244" w:hAnchor="page" w:vAnchor="page" w:x="280" w:y="117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the FY 2021 QIWI had revenue of RUB 41.1 billion and an Adjusted EBITDA of RUB 13.2 billion. QIWI's American depositary shares are</w:t>
      </w:r>
    </w:p>
    <w:p>
      <w:pPr>
        <w:pStyle w:val="Normal"/>
        <w:framePr w:w="8849" w:hAnchor="page" w:vAnchor="page" w:x="280" w:y="112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businesses with digital factoring, bank guarantees and other financial solutions for SMEs.</w:t>
      </w:r>
    </w:p>
    <w:p>
      <w:pPr>
        <w:pStyle w:val="Normal"/>
        <w:framePr w:w="14255" w:hAnchor="page" w:vAnchor="page" w:x="280" w:y="109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infrastructure  and  highly  customizable,  sophisticated  payment  solutions  to  serve  their  business  or  personal  needs.  Our  ROWI  brand  serves</w:t>
      </w:r>
    </w:p>
    <w:p>
      <w:pPr>
        <w:pStyle w:val="Normal"/>
        <w:framePr w:w="14251" w:hAnchor="page" w:vAnchor="page" w:x="280" w:y="107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 for goods and services or transfer money across virtual or physical environments interchangeably, as well as employ QIWI’s open API</w:t>
      </w:r>
    </w:p>
    <w:p>
      <w:pPr>
        <w:pStyle w:val="Normal"/>
        <w:framePr w:w="14248" w:hAnchor="page" w:vAnchor="page" w:x="280" w:y="105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points across the globe. Our customers and partners can use cash, stored value, prepaid cards and other electronic payment methods in order to</w:t>
      </w:r>
    </w:p>
    <w:p>
      <w:pPr>
        <w:pStyle w:val="Normal"/>
        <w:framePr w:w="14252" w:hAnchor="page" w:vAnchor="page" w:x="280" w:y="102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 through our network. The Company’s money remittance payment platform connects businesses and people via thousands of service</w:t>
      </w:r>
    </w:p>
    <w:p>
      <w:pPr>
        <w:pStyle w:val="Normal"/>
        <w:framePr w:w="14238" w:hAnchor="page" w:vAnchor="page" w:x="280" w:y="100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 services  for  retail  customers  and  B2B  partners.  Millions  of  consumers  and  partners  may  receive  and  transmit  cash  and  electronic</w:t>
      </w:r>
    </w:p>
    <w:p>
      <w:pPr>
        <w:pStyle w:val="Normal"/>
        <w:framePr w:w="14246" w:hAnchor="page" w:vAnchor="page" w:x="280" w:y="97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has an integrated proprietary network that enables payment services across online, mobile and physical channels and provides access to</w:t>
      </w:r>
    </w:p>
    <w:p>
      <w:pPr>
        <w:pStyle w:val="Normal"/>
        <w:framePr w:w="12602" w:hAnchor="page" w:vAnchor="page" w:x="280" w:y="93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products for SME, Flocktory services in marketing automation and advertising technologies, and several other startups.</w:t>
      </w:r>
    </w:p>
    <w:p>
      <w:pPr>
        <w:pStyle w:val="Normal"/>
        <w:framePr w:w="14254" w:hAnchor="page" w:vAnchor="page" w:x="280" w:y="90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directions: QIWI payment and financial services ecosystem for merchants and B2C clients across digital use-cases, ROWI digital structured</w:t>
      </w:r>
    </w:p>
    <w:p>
      <w:pPr>
        <w:pStyle w:val="Normal"/>
        <w:framePr w:w="14251" w:hAnchor="page" w:vAnchor="page" w:x="280" w:y="88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a leading provider of cutting-edge payment and financial services in Russia and the CIS. We offer a wide range of products under several</w:t>
      </w:r>
    </w:p>
    <w:p>
      <w:pPr>
        <w:pStyle w:val="Normal"/>
        <w:framePr w:w="11022" w:hAnchor="page" w:vAnchor="page" w:x="280" w:y="83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our clients providing unique financial and technological solutions to make the impossible accessible and simple.</w:t>
      </w:r>
    </w:p>
    <w:p>
      <w:pPr>
        <w:pStyle w:val="Normal"/>
        <w:framePr w:w="14240" w:hAnchor="page" w:vAnchor="page" w:x="280" w:y="81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over 20 years we stood at the fore point of fintech innovations to facilitate and secure digitalization of payments. Our mission is to connect</w:t>
      </w:r>
    </w:p>
    <w:p>
      <w:pPr>
        <w:pStyle w:val="Normal"/>
        <w:framePr w:w="1981" w:hAnchor="page" w:vAnchor="page" w:x="280" w:y="76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About QIWI plc.</w:t>
      </w:r>
    </w:p>
    <w:p>
      <w:pPr>
        <w:pStyle w:val="Normal"/>
        <w:framePr w:w="3868" w:hAnchor="page" w:vAnchor="page" w:x="280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email at QIWI@allianceadvisors.com</w:t>
      </w:r>
    </w:p>
    <w:p>
      <w:pPr>
        <w:pStyle w:val="Normal"/>
        <w:framePr w:w="14243" w:hAnchor="page" w:vAnchor="page" w:x="280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additional information, please contact Alliance Advisors, LLC, the Information Agent for the Offer by phone toll-free at 877-587-1963, or by</w:t>
      </w:r>
    </w:p>
    <w:p>
      <w:pPr>
        <w:pStyle w:val="Normal"/>
        <w:framePr w:w="5975" w:hAnchor="page" w:vAnchor="page" w:x="280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The Information Agent for the Offer and contact details</w:t>
      </w:r>
    </w:p>
    <w:p>
      <w:pPr>
        <w:pStyle w:val="Normal"/>
        <w:framePr w:w="12935" w:hAnchor="page" w:vAnchor="page" w:x="280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Company on the U.S. Securities Exchange Commission’s EDGAR disclosure system, which can be found at www.sec.gov.</w:t>
      </w:r>
    </w:p>
    <w:p>
      <w:pPr>
        <w:pStyle w:val="Normal"/>
        <w:framePr w:w="14244" w:hAnchor="page" w:vAnchor="page" w:x="280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 full details of the Offer and the documentation related thereto, please refer to the Schedule TO-I, dated July 7, 2022, filed by Dalliance</w:t>
      </w:r>
    </w:p>
    <w:p>
      <w:pPr>
        <w:pStyle w:val="Normal"/>
        <w:framePr w:w="3853" w:hAnchor="page" w:vAnchor="page" w:x="280" w:y="546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Offer, as so extended shall expire.</w:t>
      </w:r>
    </w:p>
    <w:p>
      <w:pPr>
        <w:pStyle w:val="Normal"/>
        <w:framePr w:w="14254" w:hAnchor="page" w:vAnchor="page" w:x="280" w:y="522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the period of time during which the Offer will remain open, in which event the expiration time shall refer to the latest time and date at which</w:t>
      </w:r>
    </w:p>
    <w:p>
      <w:pPr>
        <w:pStyle w:val="Normal"/>
        <w:framePr w:w="14248" w:hAnchor="page" w:vAnchor="page" w:x="280" w:y="498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Offer expires at 12:00 midnight, New York City time, at the end of the day on August 3, 2022, unless the Offeror decided to extend the Offer</w:t>
      </w:r>
    </w:p>
    <w:p>
      <w:pPr>
        <w:pStyle w:val="Normal"/>
        <w:framePr w:w="5483" w:hAnchor="page" w:vAnchor="page" w:x="280" w:y="450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directors have not expressed any position on the Offer.</w:t>
      </w:r>
    </w:p>
    <w:p>
      <w:pPr>
        <w:pStyle w:val="Normal"/>
        <w:framePr w:w="14244" w:hAnchor="page" w:vAnchor="page" w:x="280" w:y="426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QIWI is not selling or buying any shares in the offering and will not spend or receive any funds from the offering. The Company and its Board of</w:t>
      </w:r>
    </w:p>
    <w:p>
      <w:pPr>
        <w:pStyle w:val="Normal"/>
        <w:framePr w:w="9517" w:hAnchor="page" w:vAnchor="page" w:x="280" w:y="378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ADSs) at a purchase price not less than $2.20 and not greater than $2.70 per Share (the “Offer”).</w:t>
      </w:r>
    </w:p>
    <w:p>
      <w:pPr>
        <w:pStyle w:val="Normal"/>
        <w:framePr w:w="14253" w:hAnchor="page" w:vAnchor="page" w:x="280" w:y="354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purchase for cash of up to $25.0 million in value of the Company’s Class B ordinary shares (including Class B ordinary shares represented by</w:t>
      </w:r>
    </w:p>
    <w:p>
      <w:pPr>
        <w:pStyle w:val="Normal"/>
        <w:framePr w:w="14252" w:hAnchor="page" w:vAnchor="page" w:x="280" w:y="33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owned by Mr. Sergey Solonin, the Company’s largest shareholder and Chairman of the Company’s Board of directors, has launched an offer to</w:t>
      </w:r>
    </w:p>
    <w:p>
      <w:pPr>
        <w:pStyle w:val="Normal"/>
        <w:framePr w:w="14244" w:hAnchor="page" w:vAnchor="page" w:x="280" w:y="305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and financial services in Russia and the CIS, today announced that on July 7, 2022, Dalliance Services Company, a company wholly</w:t>
      </w:r>
    </w:p>
    <w:p>
      <w:pPr>
        <w:pStyle w:val="Normal"/>
        <w:framePr w:w="14249" w:hAnchor="page" w:vAnchor="page" w:x="280" w:y="281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NICOSIA, CYPRUS – July 8, 2022 – QIWI plc (NASDAQ and MOEX: QIWI) (“QIWI” or the “Company”), a leading provider of cutting-edge</w:t>
      </w:r>
    </w:p>
    <w:p>
      <w:pPr>
        <w:pStyle w:val="Normal"/>
        <w:framePr w:w="9198" w:hAnchor="page" w:vAnchor="page" w:x="2388" w:y="233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Announces Offer to Purchase for Cash Arranged by the Controlling Shareholder</w:t>
      </w:r>
    </w:p>
    <w:p>
      <w:pPr>
        <w:pStyle w:val="Normal"/>
        <w:framePr w:w="1941" w:hAnchor="page" w:vAnchor="page" w:x="10543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(a)(5)(B)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7pt;margin-top:1pt;z-index:-1677698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3pt;margin-top:211.95pt;z-index:-16776976;width:58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13pt;margin-top:247.95pt;z-index:-16776972;width:586pt;height:38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3pt;margin-top:332.05pt;z-index:-16776968;width:586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3pt;margin-top:344.05pt;z-index:-16776964;width:586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3pt;margin-top:728.35pt;z-index:-1677696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30.95pt;margin-top:38.05pt;z-index:-16776956;width:150.9pt;height:66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85.65pt;margin-top:317.75pt;z-index:-16776952;width:5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24.45pt;margin-top:630.05pt;z-index:-16776948;width:73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3pt;margin-top:690.1pt;z-index:-16776944;width:54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</w:p>
    <w:p>
      <w:pPr>
        <w:pStyle w:val="Normal"/>
        <w:framePr w:w="2556" w:hAnchor="page" w:vAnchor="page" w:x="280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Offeror on July 7, 2022.</w:t>
      </w:r>
    </w:p>
    <w:p>
      <w:pPr>
        <w:pStyle w:val="Normal"/>
        <w:framePr w:w="13721" w:hAnchor="page" w:vAnchor="page" w:x="280" w:y="70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$92.70 per $1,000,000 of the value of the transaction. The fee of $2,317.50 was paid in connection with the filing of the Schedule TO by the</w:t>
      </w:r>
    </w:p>
    <w:p>
      <w:pPr>
        <w:pStyle w:val="Normal"/>
        <w:framePr w:w="13692" w:hAnchor="page" w:vAnchor="page" w:x="280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(2) The amount of the filing fee, calculated in accordance with Rule 0-11(b) under the Securities Exchange Act of 1934, as amended, equals</w:t>
      </w:r>
    </w:p>
    <w:p>
      <w:pPr>
        <w:pStyle w:val="Normal"/>
        <w:framePr w:w="5788" w:hAnchor="page" w:vAnchor="page" w:x="280" w:y="63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aggregate value of Class B ordinary shares of QIWI PLC.</w:t>
      </w:r>
    </w:p>
    <w:p>
      <w:pPr>
        <w:pStyle w:val="Normal"/>
        <w:framePr w:w="13749" w:hAnchor="page" w:vAnchor="page" w:x="280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(1) Estimated for purposes of calculating the filing fee only. This amount is based on the offer to purchase for not more than $25.0 million in</w:t>
      </w:r>
    </w:p>
    <w:p>
      <w:pPr>
        <w:pStyle w:val="Normal"/>
        <w:framePr w:w="1493" w:hAnchor="page" w:vAnchor="page" w:x="280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Net Fee Due</w:t>
      </w:r>
    </w:p>
    <w:p>
      <w:pPr>
        <w:pStyle w:val="Normal"/>
        <w:framePr w:w="360" w:hAnchor="page" w:vAnchor="page" w:x="9598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948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660" w:hAnchor="page" w:vAnchor="page" w:x="11415" w:y="55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0.00</w:t>
      </w:r>
    </w:p>
    <w:p>
      <w:pPr>
        <w:pStyle w:val="Normal"/>
        <w:framePr w:w="1886" w:hAnchor="page" w:vAnchor="page" w:x="280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Fee Offsets</w:t>
      </w:r>
    </w:p>
    <w:p>
      <w:pPr>
        <w:pStyle w:val="Normal"/>
        <w:framePr w:w="360" w:hAnchor="page" w:vAnchor="page" w:x="9598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948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320" w:hAnchor="page" w:vAnchor="page" w:x="11698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-</w:t>
      </w:r>
    </w:p>
    <w:p>
      <w:pPr>
        <w:pStyle w:val="Normal"/>
        <w:framePr w:w="437" w:hAnchor="page" w:vAnchor="page" w:x="11765" w:y="5176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2804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Fees Previously Paid</w:t>
      </w:r>
    </w:p>
    <w:p>
      <w:pPr>
        <w:pStyle w:val="Normal"/>
        <w:framePr w:w="360" w:hAnchor="page" w:vAnchor="page" w:x="9598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948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080" w:hAnchor="page" w:vAnchor="page" w:x="11065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2,317.50</w:t>
      </w:r>
    </w:p>
    <w:p>
      <w:pPr>
        <w:pStyle w:val="Normal"/>
        <w:framePr w:w="437" w:hAnchor="page" w:vAnchor="page" w:x="11765" w:y="4936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2664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Fees Due for Filing</w:t>
      </w:r>
    </w:p>
    <w:p>
      <w:pPr>
        <w:pStyle w:val="Normal"/>
        <w:framePr w:w="360" w:hAnchor="page" w:vAnchor="page" w:x="9598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948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080" w:hAnchor="page" w:vAnchor="page" w:x="11065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2,317.50</w:t>
      </w:r>
    </w:p>
    <w:p>
      <w:pPr>
        <w:pStyle w:val="Normal"/>
        <w:framePr w:w="437" w:hAnchor="page" w:vAnchor="page" w:x="8042" w:y="4695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2895" w:hAnchor="page" w:vAnchor="page" w:x="28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Transaction Valuation</w:t>
      </w:r>
    </w:p>
    <w:p>
      <w:pPr>
        <w:pStyle w:val="Normal"/>
        <w:framePr w:w="360" w:hAnchor="page" w:vAnchor="page" w:x="6150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21" w:hAnchor="page" w:vAnchor="page" w:x="714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25,000,000</w:t>
      </w:r>
    </w:p>
    <w:p>
      <w:pPr>
        <w:pStyle w:val="Normal"/>
        <w:framePr w:w="360" w:hAnchor="page" w:vAnchor="page" w:x="9598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437" w:hAnchor="page" w:vAnchor="page" w:x="8042" w:y="4455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(1)</w:t>
      </w:r>
    </w:p>
    <w:p>
      <w:pPr>
        <w:pStyle w:val="Normal"/>
        <w:framePr w:w="437" w:hAnchor="page" w:vAnchor="page" w:x="11765" w:y="4455"/>
        <w:widowControl w:val="off"/>
        <w:autoSpaceDE w:val="off"/>
        <w:autoSpaceDN w:val="off"/>
        <w:spacing w:before="0" w:after="0" w:line="18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7"/>
          <w:szCs w:val="17"/>
        </w:rPr>
        <w:t>(2)</w:t>
      </w:r>
    </w:p>
    <w:p>
      <w:pPr>
        <w:pStyle w:val="Normal"/>
        <w:framePr w:w="2254" w:hAnchor="page" w:vAnchor="page" w:x="28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 Previously Paid</w:t>
      </w:r>
    </w:p>
    <w:p>
      <w:pPr>
        <w:pStyle w:val="Normal"/>
        <w:framePr w:w="360" w:hAnchor="page" w:vAnchor="page" w:x="6150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321" w:hAnchor="page" w:vAnchor="page" w:x="7141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25,000,000</w:t>
      </w:r>
    </w:p>
    <w:p>
      <w:pPr>
        <w:pStyle w:val="Normal"/>
        <w:framePr w:w="360" w:hAnchor="page" w:vAnchor="page" w:x="9598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</w:t>
      </w:r>
    </w:p>
    <w:p>
      <w:pPr>
        <w:pStyle w:val="Normal"/>
        <w:framePr w:w="360" w:hAnchor="page" w:vAnchor="page" w:x="9948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1080" w:hAnchor="page" w:vAnchor="page" w:x="11065" w:y="4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2,317.50</w:t>
      </w:r>
    </w:p>
    <w:p>
      <w:pPr>
        <w:pStyle w:val="Normal"/>
        <w:framePr w:w="1741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 to Be Paid</w:t>
      </w:r>
    </w:p>
    <w:p>
      <w:pPr>
        <w:pStyle w:val="Normal"/>
        <w:framePr w:w="360" w:hAnchor="page" w:vAnchor="page" w:x="615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320" w:hAnchor="page" w:vAnchor="page" w:x="7975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-</w:t>
      </w:r>
    </w:p>
    <w:p>
      <w:pPr>
        <w:pStyle w:val="Normal"/>
        <w:framePr w:w="1320" w:hAnchor="page" w:vAnchor="page" w:x="8798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0.0000927 </w:t>
      </w:r>
    </w:p>
    <w:p>
      <w:pPr>
        <w:pStyle w:val="Normal"/>
        <w:framePr w:w="360" w:hAnchor="page" w:vAnchor="page" w:x="9948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$</w:t>
      </w:r>
    </w:p>
    <w:p>
      <w:pPr>
        <w:pStyle w:val="Normal"/>
        <w:framePr w:w="320" w:hAnchor="page" w:vAnchor="page" w:x="11698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-</w:t>
      </w:r>
    </w:p>
    <w:p>
      <w:pPr>
        <w:pStyle w:val="Normal"/>
        <w:framePr w:w="2515" w:hAnchor="page" w:vAnchor="page" w:x="6150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Transaction Valuation</w:t>
      </w:r>
    </w:p>
    <w:p>
      <w:pPr>
        <w:pStyle w:val="Normal"/>
        <w:framePr w:w="1140" w:hAnchor="page" w:vAnchor="page" w:x="8665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Fee Rate</w:t>
      </w:r>
    </w:p>
    <w:p>
      <w:pPr>
        <w:pStyle w:val="Normal"/>
        <w:framePr w:w="2421" w:hAnchor="page" w:vAnchor="page" w:x="9948" w:y="390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Amount of Filing Fee</w:t>
      </w:r>
    </w:p>
    <w:p>
      <w:pPr>
        <w:pStyle w:val="Normal"/>
        <w:framePr w:w="3182" w:hAnchor="page" w:vAnchor="page" w:x="4894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Table 1: Transaction Valuation</w:t>
      </w:r>
    </w:p>
    <w:p>
      <w:pPr>
        <w:pStyle w:val="Normal"/>
        <w:framePr w:w="3516" w:hAnchor="page" w:vAnchor="page" w:x="4755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(Name of Filing Person (Offeror))</w:t>
      </w:r>
    </w:p>
    <w:p>
      <w:pPr>
        <w:pStyle w:val="Normal"/>
        <w:framePr w:w="3161" w:hAnchor="page" w:vAnchor="page" w:x="4903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Dalliance Services Company</w:t>
      </w:r>
    </w:p>
    <w:p>
      <w:pPr>
        <w:pStyle w:val="Normal"/>
        <w:framePr w:w="1867" w:hAnchor="page" w:vAnchor="page" w:x="5442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(Name of Issuer)</w:t>
      </w:r>
    </w:p>
    <w:p>
      <w:pPr>
        <w:pStyle w:val="Normal"/>
        <w:framePr w:w="1394" w:hAnchor="page" w:vAnchor="page" w:x="5639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QIWI PLC</w:t>
      </w:r>
    </w:p>
    <w:p>
      <w:pPr>
        <w:pStyle w:val="Normal"/>
        <w:framePr w:w="1453" w:hAnchor="page" w:vAnchor="page" w:x="5615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(Form Type)</w:t>
      </w:r>
    </w:p>
    <w:p>
      <w:pPr>
        <w:pStyle w:val="Normal"/>
        <w:framePr w:w="1732" w:hAnchor="page" w:vAnchor="page" w:x="5498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Schedule TO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-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</w:t>
      </w:r>
    </w:p>
    <w:p>
      <w:pPr>
        <w:pStyle w:val="Normal"/>
        <w:framePr w:w="3486" w:hAnchor="page" w:vAnchor="page" w:x="4767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Calculation of Filing Fee Tables</w:t>
      </w:r>
    </w:p>
    <w:p>
      <w:pPr>
        <w:pStyle w:val="Normal"/>
        <w:framePr w:w="1421" w:hAnchor="page" w:vAnchor="page" w:x="10976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107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7pt;margin-top:1pt;z-index:-16776940;width:598pt;height:420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3pt;margin-top:205.9pt;z-index:-16776936;width:285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96.75pt;margin-top:205.9pt;z-index:-16776932;width:11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306.5pt;margin-top:205.9pt;z-index:-16776928;width:10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314.75pt;margin-top:205.9pt;z-index:-16776924;width:88.3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01.1pt;margin-top:205.9pt;z-index:-16776920;width:11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10.85pt;margin-top:205.9pt;z-index:-16776916;width:11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20.6pt;margin-top:205.9pt;z-index:-16776912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25.85pt;margin-top:205.9pt;z-index:-16776908;width:57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81.4pt;margin-top:205.9pt;z-index:-16776904;width:7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486.65pt;margin-top:205.9pt;z-index:-16776900;width:11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96.4pt;margin-top:205.9pt;z-index:-16776896;width:10.2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04.65pt;margin-top:205.9pt;z-index:-16776892;width:84.5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587.25pt;margin-top:205.9pt;z-index:-16776888;width:11.75pt;height:14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3pt;margin-top:218.7pt;z-index:-16776884;width:28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96.75pt;margin-top:218.7pt;z-index:-1677688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306.5pt;margin-top:218.7pt;z-index:-1677687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14.75pt;margin-top:218.7pt;z-index:-16776872;width:88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01.1pt;margin-top:218.7pt;z-index:-1677686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10.85pt;margin-top:218.7pt;z-index:-1677686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20.6pt;margin-top:218.7pt;z-index:-1677686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25.85pt;margin-top:218.7pt;z-index:-16776856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81.4pt;margin-top:218.7pt;z-index:-167768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486.65pt;margin-top:218.7pt;z-index:-1677684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96.4pt;margin-top:218.7pt;z-index:-1677684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4.65pt;margin-top:218.7pt;z-index:-16776840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87.25pt;margin-top:218.7pt;z-index:-1677683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13pt;margin-top:230.7pt;z-index:-16776832;width:28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296.75pt;margin-top:230.7pt;z-index:-1677682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306.5pt;margin-top:230.7pt;z-index:-1677682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14.75pt;margin-top:230.7pt;z-index:-16776820;width:88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401.1pt;margin-top:230.7pt;z-index:-1677681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10.85pt;margin-top:230.7pt;z-index:-1677681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20.6pt;margin-top:230.7pt;z-index:-1677680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25.85pt;margin-top:230.7pt;z-index:-16776804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81.4pt;margin-top:230.7pt;z-index:-167768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86.65pt;margin-top:230.7pt;z-index:-1677679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496.4pt;margin-top:230.7pt;z-index:-1677679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04.65pt;margin-top:230.7pt;z-index:-16776788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87.25pt;margin-top:230.7pt;z-index:-1677678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13pt;margin-top:242.7pt;z-index:-16776780;width:28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6.75pt;margin-top:242.7pt;z-index:-1677677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06.5pt;margin-top:242.7pt;z-index:-16776772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14.75pt;margin-top:242.7pt;z-index:-16776768;width:88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401.1pt;margin-top:242.7pt;z-index:-1677676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410.85pt;margin-top:242.7pt;z-index:-1677676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420.6pt;margin-top:242.7pt;z-index:-1677675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25.85pt;margin-top:242.7pt;z-index:-16776752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481.4pt;margin-top:242.7pt;z-index:-16776748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86.65pt;margin-top:242.7pt;z-index:-1677674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96.4pt;margin-top:242.7pt;z-index:-1677674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504.65pt;margin-top:242.7pt;z-index:-16776736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587.25pt;margin-top:242.7pt;z-index:-1677673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3pt;margin-top:254.7pt;z-index:-16776728;width:28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296.75pt;margin-top:254.7pt;z-index:-1677672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06.5pt;margin-top:254.7pt;z-index:-16776720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14.75pt;margin-top:254.7pt;z-index:-16776716;width:88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01.1pt;margin-top:254.7pt;z-index:-1677671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0.85pt;margin-top:254.7pt;z-index:-1677670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20.6pt;margin-top:254.7pt;z-index:-1677670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25.85pt;margin-top:254.7pt;z-index:-16776700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481.4pt;margin-top:254.7pt;z-index:-16776696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486.65pt;margin-top:254.7pt;z-index:-1677669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496.4pt;margin-top:254.7pt;z-index:-1677668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504.65pt;margin-top:254.7pt;z-index:-16776684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587.25pt;margin-top:254.7pt;z-index:-1677668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3pt;margin-top:266.7pt;z-index:-16776676;width:28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96.75pt;margin-top:266.7pt;z-index:-16776672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306.5pt;margin-top:266.7pt;z-index:-16776668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14.75pt;margin-top:266.7pt;z-index:-16776664;width:88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401.1pt;margin-top:266.7pt;z-index:-1677666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410.85pt;margin-top:266.7pt;z-index:-1677665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420.6pt;margin-top:266.7pt;z-index:-1677665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425.85pt;margin-top:266.7pt;z-index:-16776648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481.4pt;margin-top:266.7pt;z-index:-16776644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486.65pt;margin-top:266.7pt;z-index:-1677664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96.4pt;margin-top:266.7pt;z-index:-1677663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504.65pt;margin-top:266.7pt;z-index:-16776632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587.25pt;margin-top:266.7pt;z-index:-1677662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13pt;margin-top:278.75pt;z-index:-16776624;width:285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296.75pt;margin-top:278.75pt;z-index:-16776620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06.5pt;margin-top:278.75pt;z-index:-16776616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14.75pt;margin-top:278.75pt;z-index:-16776612;width:88.3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01.1pt;margin-top:278.75pt;z-index:-1677660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10.85pt;margin-top:278.75pt;z-index:-16776604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20.6pt;margin-top:278.75pt;z-index:-16776600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25.85pt;margin-top:278.75pt;z-index:-16776596;width:57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81.4pt;margin-top:278.75pt;z-index:-16776592;width:7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86.65pt;margin-top:278.75pt;z-index:-16776588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96.4pt;margin-top:278.75pt;z-index:-16776584;width:10.2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4.65pt;margin-top:278.75pt;z-index:-16776580;width:84.5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87.25pt;margin-top:278.75pt;z-index:-16776576;width:11.7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4.65pt;margin-top:205.9pt;z-index:-16776572;width:8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25.85pt;margin-top:205.9pt;z-index:-16776568;width:5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314.75pt;margin-top:205.9pt;z-index:-16776564;width:88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96.4pt;margin-top:205.9pt;z-index:-16776560;width:92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20.6pt;margin-top:205.9pt;z-index:-16776556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306.5pt;margin-top:205.9pt;z-index:-16776552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3pt;margin-top:302.75pt;z-index:-16776548;width:148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13pt;margin-top:413.1pt;z-index:-1677654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</w:p>
    <w:sectPr>
      <w:pgSz w:w="12240" w:h="20160"/>
      <w:pgMar w:top="400" w:right="400" w:bottom="400" w:left="400" w:header="720" w:footer="720"/>
      <w:pgNumType w:start="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Wingdings-Regular">
    <w:panose-1>"05000000000000000000"</w:panose-1>
    <w:charset>
      <w:val>"01"</w:val>
    </w:charset>
    <w:family>"Auto"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1200b37f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styles.xml" Type="http://schemas.openxmlformats.org/officeDocument/2006/relationships/styles"/><Relationship Id="rId17" Target="media/image17.png" Type="http://schemas.openxmlformats.org/officeDocument/2006/relationships/image"/><Relationship Id="rId170" Target="fontTable.xml" Type="http://schemas.openxmlformats.org/officeDocument/2006/relationships/fontTable"/><Relationship Id="rId171" Target="settings.xml" Type="http://schemas.openxmlformats.org/officeDocument/2006/relationships/settings"/><Relationship Id="rId172" Target="webSettings.xml" Type="http://schemas.openxmlformats.org/officeDocument/2006/relationships/webSettings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jpe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6</Pages>
  <Words>1920</Words>
  <Characters>10314</Characters>
  <Application>e-iceblue</Application>
  <DocSecurity>0</DocSecurity>
  <Lines>254</Lines>
  <Paragraphs>254</Paragraphs>
  <ScaleCrop>false</ScaleCrop>
  <Company>e-iceblue</Company>
  <LinksUpToDate>false</LinksUpToDate>
  <CharactersWithSpaces>12108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2022-07-08T21:41:26Z</dcterms:created>
  <dc:creator>root</dc:creator>
  <cp:lastModifiedBy>root</cp:lastModifiedBy>
  <dcterms:modified xsi:type="dcterms:W3CDTF">2022-07-08T21:41:26Z</dcterms:modified>
  <cp:revision>1</cp:revision>
</cp:coreProperties>
</file>