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spacing w:before="8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SECURITIES AND EXCHANGE COMMISSION</w:t>
      </w:r>
      <w:r>
        <w:rPr>
          <w:rFonts w:ascii="Times New Roman" w:hAnsi="Times New Roman"/>
          <w:b w:val="false"/>
          <w:i w:val="false"/>
          <w:color w:val="000000"/>
          <w:sz w:val="36"/>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Washington, D.C. 20549</w:t>
      </w:r>
      <w:r>
        <w:rPr>
          <w:rFonts w:ascii="Times New Roman" w:hAnsi="Times New Roman"/>
          <w:b w:val="false"/>
          <w:i w:val="false"/>
          <w:color w:val="000000"/>
          <w:sz w:val="24"/>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36"/>
        </w:rPr>
        <w:t xml:space="preserve"> </w:t>
      </w:r>
      <w:r>
        <w:rPr>
          <w:rFonts w:ascii="Times New Roman" w:hAnsi="Times New Roman"/>
          <w:b/>
          <w:i w:val="false"/>
          <w:color w:val="000000"/>
          <w:sz w:val="36"/>
        </w:rPr>
        <w:t>FORM 6-K</w:t>
      </w:r>
      <w:r>
        <w:rPr>
          <w:rFonts w:ascii="Times New Roman" w:hAnsi="Times New Roman"/>
          <w:b w:val="false"/>
          <w:i w:val="false"/>
          <w:color w:val="000000"/>
          <w:sz w:val="3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REPORT OF A FOREIGN ISSUER</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PURSUANT TO RULE 13A-16 OR 15D-16</w:t>
      </w:r>
      <w:r>
        <w:rPr>
          <w:rFonts w:ascii="Times New Roman" w:hAnsi="Times New Roman"/>
          <w:b w:val="false"/>
          <w:i w:val="false"/>
          <w:color w:val="000000"/>
          <w:sz w:val="24"/>
        </w:rPr>
        <w:t xml:space="preserve"> </w:t>
      </w:r>
    </w:p>
    <w:p>
      <w:pPr>
        <w:spacing w:before="0" w:after="0"/>
        <w:ind w:left="120"/>
        <w:jc w:val="center"/>
      </w:pPr>
      <w:r>
        <w:rPr>
          <w:rFonts w:ascii="Times New Roman" w:hAnsi="Times New Roman"/>
          <w:b w:val="false"/>
          <w:i w:val="false"/>
          <w:color w:val="000000"/>
          <w:sz w:val="24"/>
        </w:rPr>
        <w:t xml:space="preserve"> </w:t>
      </w:r>
      <w:r>
        <w:rPr>
          <w:rFonts w:ascii="Times New Roman" w:hAnsi="Times New Roman"/>
          <w:b/>
          <w:i w:val="false"/>
          <w:color w:val="000000"/>
          <w:sz w:val="24"/>
        </w:rPr>
        <w:t>OF THE SECURITIES EXCHANGE ACT OF 1934</w:t>
      </w:r>
      <w:r>
        <w:rPr>
          <w:rFonts w:ascii="Times New Roman" w:hAnsi="Times New Roman"/>
          <w:b w:val="false"/>
          <w:i w:val="false"/>
          <w:color w:val="000000"/>
          <w:sz w:val="24"/>
        </w:rPr>
        <w:t xml:space="preserve">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For February 20, 2015</w:t>
      </w:r>
      <w:r>
        <w:rPr>
          <w:rFonts w:ascii="Times New Roman" w:hAnsi="Times New Roman"/>
          <w:b w:val="false"/>
          <w:i w:val="false"/>
          <w:color w:val="000000"/>
          <w:sz w:val="20"/>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48"/>
        </w:rPr>
        <w:t xml:space="preserve"> </w:t>
      </w:r>
      <w:r>
        <w:rPr>
          <w:rFonts w:ascii="Times New Roman" w:hAnsi="Times New Roman"/>
          <w:b/>
          <w:i w:val="false"/>
          <w:color w:val="000000"/>
          <w:sz w:val="48"/>
        </w:rPr>
        <w:t>QIWI plc</w:t>
      </w:r>
      <w:r>
        <w:rPr>
          <w:rFonts w:ascii="Times New Roman" w:hAnsi="Times New Roman"/>
          <w:b w:val="false"/>
          <w:i w:val="false"/>
          <w:color w:val="000000"/>
          <w:sz w:val="48"/>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12-14 Kennedy Ave.</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Kennedy Business Centre, 2nd Floor, Office 203</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20"/>
        </w:rPr>
        <w:t xml:space="preserve"> </w:t>
      </w:r>
      <w:r>
        <w:rPr>
          <w:rFonts w:ascii="Times New Roman" w:hAnsi="Times New Roman"/>
          <w:b/>
          <w:i w:val="false"/>
          <w:color w:val="000000"/>
          <w:sz w:val="20"/>
        </w:rPr>
        <w:t>1087 Nicosia Cyprus</w:t>
      </w:r>
      <w:r>
        <w:rPr>
          <w:rFonts w:ascii="Times New Roman" w:hAnsi="Times New Roman"/>
          <w:b w:val="false"/>
          <w:i w:val="false"/>
          <w:color w:val="000000"/>
          <w:sz w:val="20"/>
        </w:rPr>
        <w:t xml:space="preserve"> </w:t>
      </w:r>
    </w:p>
    <w:p>
      <w:pPr>
        <w:spacing w:before="0" w:after="0"/>
        <w:ind w:left="120"/>
        <w:jc w:val="center"/>
      </w:pPr>
      <w:r>
        <w:rPr>
          <w:rFonts w:ascii="Times New Roman" w:hAnsi="Times New Roman"/>
          <w:b w:val="false"/>
          <w:i w:val="false"/>
          <w:color w:val="000000"/>
          <w:sz w:val="16"/>
        </w:rPr>
        <w:t xml:space="preserve"> </w:t>
      </w:r>
      <w:r>
        <w:rPr>
          <w:rFonts w:ascii="Times New Roman" w:hAnsi="Times New Roman"/>
          <w:b/>
          <w:i w:val="false"/>
          <w:color w:val="000000"/>
          <w:sz w:val="16"/>
        </w:rPr>
        <w:t>(Address of principal executive offices)</w:t>
      </w:r>
      <w:r>
        <w:rPr>
          <w:rFonts w:ascii="Times New Roman" w:hAnsi="Times New Roman"/>
          <w:b w:val="false"/>
          <w:i w:val="false"/>
          <w:color w:val="000000"/>
          <w:sz w:val="16"/>
        </w:rPr>
        <w:t xml:space="preserve"> </w:t>
      </w:r>
    </w:p>
    <w:p>
      <w:pPr>
        <w:spacing w:before="0" w:after="0"/>
        <w:ind w:left="120"/>
        <w:jc w:val="left"/>
      </w:pPr>
      <w:r>
        <w:rPr>
          <w:rFonts w:ascii="Times New Roman" w:hAnsi="Times New Roman"/>
          <w:b w:val="false"/>
          <w:i w:val="false"/>
          <w:color w:val="000000"/>
          <w:sz w:val="24"/>
        </w:rPr>
        <w:t> </w:t>
      </w:r>
    </w:p>
    <w:p>
      <w:pPr>
        <w:pBdr>
          <w:bottom w:val="single" w:color="000000" w:sz="11"/>
        </w:pBdr>
        <w:spacing w:before="0" w:after="40"/>
        <w:ind w:left="120"/>
        <w:jc w:val="center"/>
      </w:pPr>
      <w:r>
        <w:rPr>
          <w:rFonts w:ascii="Times New Roman" w:hAnsi="Times New Roman"/>
          <w:b w:val="false"/>
          <w:i w:val="false"/>
          <w:color w:val="000000"/>
          <w:sz w:val="22"/>
        </w:rPr>
        <w:t> </w:t>
      </w:r>
    </w:p>
    <w:p>
      <w:pPr>
        <w:spacing w:before="240" w:after="0"/>
        <w:ind w:left="120"/>
        <w:jc w:val="left"/>
      </w:pPr>
      <w:r>
        <w:rPr>
          <w:rFonts w:ascii="Times New Roman" w:hAnsi="Times New Roman"/>
          <w:b w:val="false"/>
          <w:i w:val="false"/>
          <w:color w:val="000000"/>
          <w:sz w:val="20"/>
        </w:rPr>
        <w:t xml:space="preserve"> Indicate by check mark whether the registrant files or will file annual reports under cover of Form 20-F or Form 40-F. </w:t>
      </w:r>
    </w:p>
    <w:p>
      <w:pPr>
        <w:spacing w:before="240" w:after="0"/>
        <w:ind w:left="120"/>
        <w:jc w:val="center"/>
      </w:pPr>
      <w:r>
        <w:rPr>
          <w:rFonts w:ascii="Times New Roman" w:hAnsi="Times New Roman"/>
          <w:b w:val="false"/>
          <w:i w:val="false"/>
          <w:color w:val="000000"/>
          <w:sz w:val="20"/>
        </w:rPr>
        <w:t xml:space="preserve"> Form 20-F   </w:t>
      </w:r>
      <w:r>
        <w:rPr>
          <w:rFonts w:ascii="Wingdings" w:hAnsi="Wingdings"/>
          <w:b w:val="false"/>
          <w:i w:val="false"/>
          <w:color w:val="000000"/>
          <w:sz w:val="20"/>
        </w:rPr>
        <w:t>☒</w:t>
      </w:r>
      <w:r>
        <w:rPr>
          <w:rFonts w:ascii="Times New Roman" w:hAnsi="Times New Roman"/>
          <w:b w:val="false"/>
          <w:i w:val="false"/>
          <w:color w:val="000000"/>
          <w:sz w:val="20"/>
        </w:rPr>
        <w:t xml:space="preserve">              Form 40-F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Indicate by check mark whether the registrant by furnishing the information contained in this Form is also thereby furnishing the information to the Commission pursuant to Rule 12g3-2(b) under the Securities Exchange Act of 1934. </w:t>
      </w:r>
    </w:p>
    <w:p>
      <w:pPr>
        <w:spacing w:before="240" w:after="0"/>
        <w:ind w:left="120"/>
        <w:jc w:val="center"/>
      </w:pPr>
      <w:r>
        <w:rPr>
          <w:rFonts w:ascii="Times New Roman" w:hAnsi="Times New Roman"/>
          <w:b w:val="false"/>
          <w:i w:val="false"/>
          <w:color w:val="000000"/>
          <w:sz w:val="20"/>
        </w:rPr>
        <w:t xml:space="preserve"> Yes   </w:t>
      </w:r>
      <w:r>
        <w:rPr>
          <w:rFonts w:ascii="Wingdings" w:hAnsi="Wingdings"/>
          <w:b w:val="false"/>
          <w:i w:val="false"/>
          <w:color w:val="000000"/>
          <w:sz w:val="20"/>
        </w:rPr>
        <w:t>☐</w:t>
      </w:r>
      <w:r>
        <w:rPr>
          <w:rFonts w:ascii="Times New Roman" w:hAnsi="Times New Roman"/>
          <w:b w:val="false"/>
          <w:i w:val="false"/>
          <w:color w:val="000000"/>
          <w:sz w:val="20"/>
        </w:rPr>
        <w:t xml:space="preserve">             No    </w:t>
      </w:r>
      <w:r>
        <w:rPr>
          <w:rFonts w:ascii="Wingdings" w:hAnsi="Wingdings"/>
          <w:b w:val="false"/>
          <w:i w:val="false"/>
          <w:color w:val="000000"/>
          <w:sz w:val="20"/>
        </w:rPr>
        <w:t>☒</w:t>
      </w:r>
      <w:r>
        <w:rPr>
          <w:rFonts w:ascii="Times New Roman" w:hAnsi="Times New Roman"/>
          <w:b w:val="false"/>
          <w:i w:val="false"/>
          <w:color w:val="000000"/>
          <w:sz w:val="20"/>
        </w:rPr>
        <w:t xml:space="preserve"> </w:t>
      </w:r>
    </w:p>
    <w:p>
      <w:pPr>
        <w:spacing w:before="240" w:after="0"/>
        <w:ind w:left="120"/>
        <w:jc w:val="left"/>
      </w:pPr>
      <w:r>
        <w:rPr>
          <w:rFonts w:ascii="Times New Roman" w:hAnsi="Times New Roman"/>
          <w:b w:val="false"/>
          <w:i w:val="false"/>
          <w:color w:val="000000"/>
          <w:sz w:val="20"/>
        </w:rPr>
        <w:t xml:space="preserve"> If ‘‘Yes’’ is marked, indicate below the file number assigned to the registrant in connection with Rule 12g3-2(b): </w:t>
      </w:r>
    </w:p>
    <w:p>
      <w:pPr>
        <w:spacing w:before="0" w:after="0"/>
        <w:ind w:left="120"/>
        <w:jc w:val="left"/>
      </w:pPr>
      <w:r>
        <w:rPr>
          <w:rFonts w:ascii="Times New Roman" w:hAnsi="Times New Roman"/>
          <w:b w:val="false"/>
          <w:i w:val="false"/>
          <w:color w:val="000000"/>
          <w:sz w:val="20"/>
        </w:rPr>
        <w:t> </w:t>
      </w:r>
    </w:p>
    <w:p>
      <w:pPr>
        <w:pBdr>
          <w:bottom w:val="single" w:color="000000" w:sz="8"/>
        </w:pBdr>
        <w:spacing w:before="0" w:after="0"/>
        <w:ind w:left="120"/>
        <w:jc w:val="left"/>
      </w:pPr>
      <w:r>
        <w:rPr>
          <w:rFonts w:ascii="Times New Roman" w:hAnsi="Times New Roman"/>
          <w:b w:val="false"/>
          <w:i w:val="false"/>
          <w:color w:val="000000"/>
          <w:sz w:val="22"/>
        </w:rPr>
        <w:t> </w:t>
      </w:r>
    </w:p>
    <w:p>
      <w:pPr>
        <w:pBdr>
          <w:bottom w:val="single" w:color="000000" w:sz="8"/>
        </w:pBdr>
        <w:spacing w:before="0" w:after="40"/>
        <w:ind w:left="120"/>
        <w:jc w:val="left"/>
      </w:pPr>
      <w:r>
        <w:rPr>
          <w:rFonts w:ascii="Times New Roman" w:hAnsi="Times New Roman"/>
          <w:b w:val="false"/>
          <w:i w:val="false"/>
          <w:color w:val="000000"/>
          <w:sz w:val="22"/>
        </w:rPr>
        <w:t> </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u w:val="single"/>
        </w:rPr>
        <w:t>Other Events</w:t>
      </w:r>
      <w:r>
        <w:rPr>
          <w:rFonts w:ascii="Times New Roman" w:hAnsi="Times New Roman"/>
          <w:b/>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On February 18-19, 2015, we cooperated with law enforcement officials in connection with an investigation relating to a small number of clients of QIWI Bank that was conducted at the Moscow offices of QIWI Group. QIWI Group continues to receive and handle enquiries from law enforcement agencies on a regular basis. </w:t>
      </w:r>
    </w:p>
    <w:p>
      <w:pPr>
        <w:spacing w:before="240" w:after="0"/>
        <w:ind w:left="120"/>
        <w:jc w:val="left"/>
      </w:pPr>
      <w:r>
        <w:rPr>
          <w:rFonts w:ascii="Times New Roman" w:hAnsi="Times New Roman"/>
          <w:b w:val="false"/>
          <w:i w:val="false"/>
          <w:color w:val="000000"/>
          <w:sz w:val="20"/>
        </w:rPr>
        <w:t xml:space="preserve"> “Cooperation with law enforcement agencies is one of the tasks of our company. We closely cooperate with them in matters that relate to uncovering fraud, illegal trading and other unlawful activities. This most recent occasion required us to provide certain additional information concerning our users, clients, partners and employees. While law enforcement officers were on site, the company and our payment services continued to operate normally,” a representative of QIWI Group commented. </w:t>
      </w:r>
    </w:p>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2</w:t>
      </w:r>
    </w:p>
    <w:p>
      <w:pPr>
        <w:pageBreakBefore/>
        <w:spacing w:before="269" w:after="269"/>
        <w:ind w:left="120"/>
        <w:jc w:val="left"/>
      </w:pPr>
    </w:p>
    <w:p>
      <w:r>
        <w:pict>
          <v:rect style="width:0;height:1.5pt" id="_x0000_i1025" o:hr="t" o:hrstd="t" o:hralign="center" stroked="f" fillcolor="#a0a0a0"/>
        </w:pict>
      </w:r>
    </w:p>
    <w:p>
      <w:pPr>
        <w:spacing w:before="0" w:after="0"/>
        <w:ind w:left="120"/>
        <w:jc w:val="left"/>
      </w:pPr>
      <w:r>
        <w:rPr>
          <w:rFonts w:ascii="Times New Roman" w:hAnsi="Times New Roman"/>
          <w:b w:val="false"/>
          <w:i w:val="false"/>
          <w:color w:val="000000"/>
          <w:sz w:val="20"/>
        </w:rPr>
        <w:t xml:space="preserve"> </w:t>
      </w:r>
      <w:r>
        <w:rPr>
          <w:rFonts w:ascii="Times New Roman" w:hAnsi="Times New Roman"/>
          <w:b/>
          <w:i w:val="false"/>
          <w:color w:val="000000"/>
          <w:sz w:val="20"/>
        </w:rPr>
        <w:t>SIGNATURES</w:t>
      </w:r>
      <w:r>
        <w:rPr>
          <w:rFonts w:ascii="Times New Roman" w:hAnsi="Times New Roman"/>
          <w:b w:val="false"/>
          <w:i w:val="false"/>
          <w:color w:val="000000"/>
          <w:sz w:val="20"/>
        </w:rPr>
        <w:t xml:space="preserve"> </w:t>
      </w:r>
    </w:p>
    <w:p>
      <w:pPr>
        <w:spacing w:before="120" w:after="0"/>
        <w:ind w:left="120"/>
        <w:jc w:val="left"/>
      </w:pPr>
      <w:r>
        <w:rPr>
          <w:rFonts w:ascii="Times New Roman" w:hAnsi="Times New Roman"/>
          <w:b w:val="false"/>
          <w:i w:val="false"/>
          <w:color w:val="000000"/>
          <w:sz w:val="20"/>
        </w:rPr>
        <w:t xml:space="preserve"> Pursuant to the requirements of the Securities Exchange Act of 1934, the registrant has duly caused this report to be signed on its behalf by the undersigned, thereunto duly authorized. </w:t>
      </w:r>
    </w:p>
    <w:p>
      <w:pPr>
        <w:spacing w:before="0" w:after="0"/>
        <w:ind w:left="120"/>
        <w:jc w:val="left"/>
      </w:pPr>
      <w:r>
        <w:rPr>
          <w:rFonts w:ascii="Times New Roman" w:hAnsi="Times New Roman"/>
          <w:b w:val="false"/>
          <w:i w:val="false"/>
          <w:color w:val="000000"/>
          <w:sz w:val="24"/>
        </w:rPr>
        <w:t> </w:t>
      </w:r>
    </w:p>
    <w:tbl>
      <w:tblPr>
        <w:tblW w:w="0" w:type="auto"/>
        <w:tblCellSpacing w:w="0" w:type="auto"/>
        <w:tblBorders>
          <w:top w:val="none"/>
          <w:left w:val="none"/>
          <w:bottom w:val="none"/>
          <w:right w:val="none"/>
          <w:insideH w:val="none"/>
          <w:insideV w:val="none"/>
        </w:tblBorders>
      </w:tblPr>
      <w:tblGrid>
        <w:gridCol w:w="4735"/>
        <w:gridCol w:w="135"/>
        <w:gridCol w:w="3373"/>
        <w:gridCol w:w="135"/>
        <w:gridCol w:w="386"/>
        <w:gridCol w:w="135"/>
        <w:gridCol w:w="4735"/>
      </w:tblGrid>
      <w:tr>
        <w:trPr/>
        <w:tc>
          <w:tcPr>
            <w:tcW w:w="4735"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bottom"/>
          </w:tcPr>
          <w:p/>
        </w:tc>
        <w:tc>
          <w:tcPr>
            <w:tcW w:w="3373"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bottom"/>
          </w:tcPr>
          <w:p/>
        </w:tc>
        <w:tc>
          <w:tcPr>
            <w:tcW w:w="386" w:type="dxa"/>
            <w:tcBorders/>
            <w:tcMar>
              <w:top w:w="15" w:type="dxa"/>
              <w:left w:w="15" w:type="dxa"/>
              <w:bottom w:w="15" w:type="dxa"/>
              <w:right w:w="15" w:type="dxa"/>
            </w:tcMar>
            <w:vAlign w:val="center"/>
          </w:tcPr>
          <w:p/>
        </w:tc>
        <w:tc>
          <w:tcPr>
            <w:tcW w:w="135" w:type="dxa"/>
            <w:tcBorders/>
            <w:tcMar>
              <w:top w:w="15" w:type="dxa"/>
              <w:left w:w="15" w:type="dxa"/>
              <w:bottom w:w="15" w:type="dxa"/>
              <w:right w:w="15" w:type="dxa"/>
            </w:tcMar>
            <w:vAlign w:val="bottom"/>
          </w:tcPr>
          <w:p/>
        </w:tc>
        <w:tc>
          <w:tcPr>
            <w:tcW w:w="4735" w:type="dxa"/>
            <w:tcBorders/>
            <w:tcMar>
              <w:top w:w="15" w:type="dxa"/>
              <w:left w:w="15" w:type="dxa"/>
              <w:bottom w:w="15" w:type="dxa"/>
              <w:right w:w="15" w:type="dxa"/>
            </w:tcMar>
            <w:vAlign w:val="center"/>
          </w:tcPr>
          <w:p/>
        </w:tc>
      </w:tr>
      <w:tr>
        <w:trPr>
          <w:trHeight w:val="210" w:hRule="atLeast"/>
        </w:trPr>
        <w:tc>
          <w:tcPr>
            <w:tcW w:w="4735"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337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0" w:type="auto"/>
            <w:gridSpan w:val="3"/>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QIWI PLC (Registrant)</w:t>
            </w:r>
          </w:p>
        </w:tc>
      </w:tr>
      <w:tr>
        <w:trPr>
          <w:trHeight w:val="240" w:hRule="atLeast"/>
        </w:trPr>
        <w:tc>
          <w:tcPr>
            <w:tcW w:w="4735"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tc>
      </w:tr>
      <w:tr>
        <w:trPr>
          <w:trHeight w:val="255" w:hRule="atLeast"/>
        </w:trPr>
        <w:tc>
          <w:tcPr>
            <w:tcW w:w="4735" w:type="dxa"/>
            <w:tcBorders/>
            <w:tcMar>
              <w:top w:w="15" w:type="dxa"/>
              <w:left w:w="15" w:type="dxa"/>
              <w:bottom w:w="15" w:type="dxa"/>
              <w:right w:w="15" w:type="dxa"/>
            </w:tcMar>
            <w:vAlign w:val="top"/>
          </w:tcPr>
          <w:p>
            <w:pPr>
              <w:spacing w:before="0" w:after="0"/>
              <w:ind w:left="0"/>
              <w:jc w:val="left"/>
            </w:pPr>
            <w:r>
              <w:rPr>
                <w:rFonts w:ascii="Times New Roman" w:hAnsi="Times New Roman"/>
                <w:b w:val="false"/>
                <w:i w:val="false"/>
                <w:color w:val="000000"/>
                <w:sz w:val="20"/>
              </w:rPr>
              <w:t>Date: February 20, 2015</w:t>
            </w:r>
          </w:p>
        </w:tc>
        <w:tc>
          <w:tcPr>
            <w:tcW w:w="135" w:type="dxa"/>
            <w:tcBorders/>
            <w:tcMar>
              <w:top w:w="15" w:type="dxa"/>
              <w:left w:w="15" w:type="dxa"/>
              <w:bottom w:w="15" w:type="dxa"/>
              <w:right w:w="15" w:type="dxa"/>
            </w:tcMar>
            <w:vAlign w:val="bottom"/>
          </w:tcPr>
          <w:p/>
        </w:tc>
        <w:tc>
          <w:tcPr>
            <w:tcW w:w="337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386"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By:</w:t>
            </w:r>
          </w:p>
        </w:tc>
        <w:tc>
          <w:tcPr>
            <w:tcW w:w="135" w:type="dxa"/>
            <w:tcBorders/>
            <w:tcMar>
              <w:top w:w="15" w:type="dxa"/>
              <w:left w:w="15" w:type="dxa"/>
              <w:bottom w:w="15" w:type="dxa"/>
              <w:right w:w="15" w:type="dxa"/>
            </w:tcMar>
            <w:vAlign w:val="bottom"/>
          </w:tcPr>
          <w:p/>
        </w:tc>
        <w:tc>
          <w:tcPr>
            <w:tcW w:w="4735" w:type="dxa"/>
            <w:tcBorders/>
            <w:tcMar>
              <w:top w:w="15" w:type="dxa"/>
              <w:left w:w="15" w:type="dxa"/>
              <w:bottom w:w="15" w:type="dxa"/>
              <w:right w:w="15" w:type="dxa"/>
            </w:tcMar>
            <w:vAlign w:val="bottom"/>
          </w:tcPr>
          <w:p>
            <w:pPr>
              <w:pBdr>
                <w:bottom w:val="single" w:color="000000" w:sz="8"/>
              </w:pBdr>
              <w:spacing w:before="0" w:after="20"/>
              <w:ind w:left="120"/>
              <w:jc w:val="left"/>
            </w:pPr>
            <w:r>
              <w:rPr>
                <w:rFonts w:ascii="Times New Roman" w:hAnsi="Times New Roman"/>
                <w:b w:val="false"/>
                <w:i w:val="false"/>
                <w:color w:val="000000"/>
                <w:sz w:val="20"/>
              </w:rPr>
              <w:t>/s/ Alexander Karavaev</w:t>
            </w:r>
          </w:p>
        </w:tc>
      </w:tr>
      <w:tr>
        <w:trPr>
          <w:trHeight w:val="210" w:hRule="atLeast"/>
        </w:trPr>
        <w:tc>
          <w:tcPr>
            <w:tcW w:w="4735"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337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386" w:type="dxa"/>
            <w:tcBorders/>
            <w:tcMar>
              <w:top w:w="15" w:type="dxa"/>
              <w:left w:w="15" w:type="dxa"/>
              <w:bottom w:w="15" w:type="dxa"/>
              <w:right w:w="15" w:type="dxa"/>
            </w:tcMar>
            <w:vAlign w:val="bottom"/>
          </w:tcPr>
          <w:p/>
        </w:tc>
        <w:tc>
          <w:tcPr>
            <w:tcW w:w="135" w:type="dxa"/>
            <w:tcBorders/>
            <w:tcMar>
              <w:top w:w="15" w:type="dxa"/>
              <w:left w:w="15" w:type="dxa"/>
              <w:bottom w:w="15" w:type="dxa"/>
              <w:right w:w="15" w:type="dxa"/>
            </w:tcMar>
            <w:vAlign w:val="bottom"/>
          </w:tcPr>
          <w:p/>
        </w:tc>
        <w:tc>
          <w:tcPr>
            <w:tcW w:w="47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Alexander Karavaev</w:t>
            </w:r>
          </w:p>
        </w:tc>
      </w:tr>
      <w:tr>
        <w:trPr>
          <w:trHeight w:val="210" w:hRule="atLeast"/>
        </w:trPr>
        <w:tc>
          <w:tcPr>
            <w:tcW w:w="4735"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3373" w:type="dxa"/>
            <w:tcBorders/>
            <w:tcMar>
              <w:top w:w="15" w:type="dxa"/>
              <w:left w:w="15" w:type="dxa"/>
              <w:bottom w:w="15" w:type="dxa"/>
              <w:right w:w="15" w:type="dxa"/>
            </w:tcMar>
            <w:vAlign w:val="top"/>
          </w:tcPr>
          <w:p/>
        </w:tc>
        <w:tc>
          <w:tcPr>
            <w:tcW w:w="135" w:type="dxa"/>
            <w:tcBorders/>
            <w:tcMar>
              <w:top w:w="15" w:type="dxa"/>
              <w:left w:w="15" w:type="dxa"/>
              <w:bottom w:w="15" w:type="dxa"/>
              <w:right w:w="15" w:type="dxa"/>
            </w:tcMar>
            <w:vAlign w:val="bottom"/>
          </w:tcPr>
          <w:p/>
        </w:tc>
        <w:tc>
          <w:tcPr>
            <w:tcW w:w="386" w:type="dxa"/>
            <w:tcBorders/>
            <w:tcMar>
              <w:top w:w="15" w:type="dxa"/>
              <w:left w:w="15" w:type="dxa"/>
              <w:bottom w:w="15" w:type="dxa"/>
              <w:right w:w="15" w:type="dxa"/>
            </w:tcMar>
            <w:vAlign w:val="bottom"/>
          </w:tcPr>
          <w:p/>
        </w:tc>
        <w:tc>
          <w:tcPr>
            <w:tcW w:w="135" w:type="dxa"/>
            <w:tcBorders/>
            <w:tcMar>
              <w:top w:w="15" w:type="dxa"/>
              <w:left w:w="15" w:type="dxa"/>
              <w:bottom w:w="15" w:type="dxa"/>
              <w:right w:w="15" w:type="dxa"/>
            </w:tcMar>
            <w:vAlign w:val="bottom"/>
          </w:tcPr>
          <w:p/>
        </w:tc>
        <w:tc>
          <w:tcPr>
            <w:tcW w:w="4735" w:type="dxa"/>
            <w:tcBorders/>
            <w:tcMar>
              <w:top w:w="15" w:type="dxa"/>
              <w:left w:w="15" w:type="dxa"/>
              <w:bottom w:w="15" w:type="dxa"/>
              <w:right w:w="15" w:type="dxa"/>
            </w:tcMar>
            <w:vAlign w:val="bottom"/>
          </w:tcPr>
          <w:p>
            <w:pPr>
              <w:spacing w:before="0" w:after="0"/>
              <w:ind w:left="0"/>
              <w:jc w:val="left"/>
            </w:pPr>
            <w:r>
              <w:rPr>
                <w:rFonts w:ascii="Times New Roman" w:hAnsi="Times New Roman"/>
                <w:b w:val="false"/>
                <w:i w:val="false"/>
                <w:color w:val="000000"/>
                <w:sz w:val="20"/>
              </w:rPr>
              <w:t>Chief Financial Officer</w:t>
            </w:r>
          </w:p>
        </w:tc>
      </w:tr>
    </w:tbl>
    <w:p>
      <w:pPr>
        <w:spacing w:before="0" w:after="0"/>
        <w:ind w:left="120"/>
        <w:jc w:val="left"/>
      </w:pPr>
      <w:r>
        <w:rPr>
          <w:rFonts w:ascii="Times New Roman" w:hAnsi="Times New Roman"/>
          <w:b w:val="false"/>
          <w:i w:val="false"/>
          <w:color w:val="000000"/>
          <w:sz w:val="16"/>
        </w:rPr>
        <w:t> </w:t>
      </w:r>
    </w:p>
    <w:p>
      <w:pPr>
        <w:spacing w:before="0" w:after="0"/>
        <w:ind w:left="120"/>
        <w:jc w:val="center"/>
      </w:pPr>
      <w:r>
        <w:rPr>
          <w:rFonts w:ascii="Times New Roman" w:hAnsi="Times New Roman"/>
          <w:b w:val="false"/>
          <w:i w:val="false"/>
          <w:color w:val="000000"/>
          <w:sz w:val="20"/>
        </w:rPr>
        <w:t>3</w:t>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