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121" w:hAnchor="page" w:vAnchor="page" w:x="5336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April 16,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8468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2015 Annual General Meeting” press release dated April 16, 2015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227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April 16, 2015</w:t>
      </w:r>
    </w:p>
    <w:p>
      <w:pPr>
        <w:pStyle w:val="Normal"/>
        <w:framePr w:w="2993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994" w:hAnchor="page" w:vAnchor="page" w:x="280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17.2 million virtual wallets, over 181,000 kiosks and</w:t>
      </w:r>
    </w:p>
    <w:p>
      <w:pPr>
        <w:pStyle w:val="Normal"/>
        <w:framePr w:w="13622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7325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Company’s ADS holders through The Bank of New York Mellon.</w:t>
      </w:r>
    </w:p>
    <w:p>
      <w:pPr>
        <w:pStyle w:val="Normal"/>
        <w:framePr w:w="14109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 details on the agenda and procedural matters related to the AGM will be made available to the Company’s shareholders by the Company</w:t>
      </w:r>
    </w:p>
    <w:p>
      <w:pPr>
        <w:pStyle w:val="Normal"/>
        <w:framePr w:w="420" w:hAnchor="page" w:vAnchor="page" w:x="745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3694" w:hAnchor="page" w:vAnchor="page" w:x="121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Directors’ remuneration.</w:t>
      </w:r>
    </w:p>
    <w:p>
      <w:pPr>
        <w:pStyle w:val="Normal"/>
        <w:framePr w:w="420" w:hAnchor="page" w:vAnchor="page" w:x="745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6448" w:hAnchor="page" w:vAnchor="page" w:x="1211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elect Directors of the Board of Directors of the Company; and</w:t>
      </w:r>
    </w:p>
    <w:p>
      <w:pPr>
        <w:pStyle w:val="Normal"/>
        <w:framePr w:w="420" w:hAnchor="page" w:vAnchor="page" w:x="745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5445" w:hAnchor="page" w:vAnchor="page" w:x="121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appoint Ernst &amp; Young as the Company’s Auditors;</w:t>
      </w:r>
    </w:p>
    <w:p>
      <w:pPr>
        <w:pStyle w:val="Normal"/>
        <w:framePr w:w="7655" w:hAnchor="page" w:vAnchor="page" w:x="280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the AGM, the following items will be submitted for shareholder approval:</w:t>
      </w:r>
    </w:p>
    <w:p>
      <w:pPr>
        <w:pStyle w:val="Normal"/>
        <w:framePr w:w="860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AGM.</w:t>
      </w:r>
    </w:p>
    <w:p>
      <w:pPr>
        <w:pStyle w:val="Normal"/>
        <w:framePr w:w="13652" w:hAnchor="page" w:vAnchor="page" w:x="280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 through the depositary of the Company’s ADS program, The Bank of New York Mellon. Shareholders are cordially invited to attend the</w:t>
      </w:r>
    </w:p>
    <w:p>
      <w:pPr>
        <w:pStyle w:val="Normal"/>
        <w:framePr w:w="14236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meeting. Holders of the Company’s American Depositary Shares (“ADS”) who wish to exercise their voting rights for the underlying shares must</w:t>
      </w:r>
    </w:p>
    <w:p>
      <w:pPr>
        <w:pStyle w:val="Normal"/>
        <w:framePr w:w="13915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Only shareholders of record at the close of business on April 15, 2015 are entitled to receive notice and to vote at the AGM and any adjourned</w:t>
      </w:r>
    </w:p>
    <w:p>
      <w:pPr>
        <w:pStyle w:val="Normal"/>
        <w:framePr w:w="4420" w:hAnchor="page" w:vAnchor="page" w:x="280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Spiridonovka str. 4, bld.2, Moscow, Russia.</w:t>
      </w:r>
    </w:p>
    <w:p>
      <w:pPr>
        <w:pStyle w:val="Normal"/>
        <w:framePr w:w="13496" w:hAnchor="page" w:vAnchor="page" w:x="280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general meeting of shareholders (“AGM”) will be held on Tuesday June 02, 2015, at 10:00 a.m. (MSK) at QIWI’s office located at</w:t>
      </w:r>
    </w:p>
    <w:p>
      <w:pPr>
        <w:pStyle w:val="Normal"/>
        <w:framePr w:w="13968" w:hAnchor="page" w:vAnchor="page" w:x="280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April 16, 2015 – QIWI plc (Nasdaq: QIWI, MOEX: QIWI) (“QIWI” or the “Company”) today announced that its 2015</w:t>
      </w:r>
    </w:p>
    <w:p>
      <w:pPr>
        <w:pStyle w:val="Normal"/>
        <w:framePr w:w="5196" w:hAnchor="page" w:vAnchor="page" w:x="4055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2015 Annual General Meeting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554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3.7pt;margin-top:27.5pt;z-index:-16777120;width:64.55pt;height:9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508</Words>
  <Characters>2658</Characters>
  <Application>e-iceblue</Application>
  <DocSecurity>0</DocSecurity>
  <Lines>59</Lines>
  <Paragraphs>59</Paragraphs>
  <ScaleCrop>false</ScaleCrop>
  <Company>e-iceblue</Company>
  <LinksUpToDate>false</LinksUpToDate>
  <CharactersWithSpaces>3136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2021-11-30T20:41:27Z</dcterms:created>
  <dc:creator>root</dc:creator>
  <cp:lastModifiedBy>root</cp:lastModifiedBy>
  <dcterms:modified xsi:type="dcterms:W3CDTF">2021-11-30T20:41:27Z</dcterms:modified>
  <cp:revision>1</cp:revision>
</cp:coreProperties>
</file>