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754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3694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(FILE NO. 333-190918) OF QIWI PLC AND IN THE OUTSTANDING PROSPECTUS CONTAINED IN SUCH REGISTRATION</w:t>
      </w:r>
    </w:p>
    <w:p>
      <w:pPr>
        <w:pStyle w:val="Normal"/>
        <w:framePr w:w="13708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THIS REPORT ON FORM 6-K IS INCORPORATED BY REFERENCE IN THE REGISTRATION STATEMENT ON FORM S-8</w:t>
      </w:r>
    </w:p>
    <w:p>
      <w:pPr>
        <w:pStyle w:val="Normal"/>
        <w:framePr w:w="1181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“Yes” is marked, indicate below the file number assigned to the registrant in connection with Rule 12g3-2(b):              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2,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187" w:hAnchor="page" w:vAnchor="page" w:x="745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amended resolution.</w:t>
      </w:r>
    </w:p>
    <w:p>
      <w:pPr>
        <w:pStyle w:val="Normal"/>
        <w:framePr w:w="13308" w:hAnchor="page" w:vAnchor="page" w:x="745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representative of BNY (NOMINEES) LIMITED under non-discretionary proxy could not be accepted for the purpose of the relevant</w:t>
      </w:r>
    </w:p>
    <w:p>
      <w:pPr>
        <w:pStyle w:val="Normal"/>
        <w:framePr w:w="360" w:hAnchor="page" w:vAnchor="page" w:x="28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</w:t>
      </w:r>
    </w:p>
    <w:p>
      <w:pPr>
        <w:pStyle w:val="Normal"/>
        <w:framePr w:w="13412" w:hAnchor="page" w:vAnchor="page" w:x="745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amount of Auditor’s remuneration was non-materially adjusted by the shareholders at the Meeting, subsequently the votes submitted</w:t>
      </w:r>
    </w:p>
    <w:p>
      <w:pPr>
        <w:pStyle w:val="Normal"/>
        <w:framePr w:w="2785" w:hAnchor="page" w:vAnchor="page" w:x="715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of the Company.</w:t>
      </w:r>
    </w:p>
    <w:p>
      <w:pPr>
        <w:pStyle w:val="Normal"/>
        <w:framePr w:w="324" w:hAnchor="page" w:vAnchor="page" w:x="385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179" w:hAnchor="page" w:vAnchor="page" w:x="715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Rhodes, Mr. Dmitry Pleskonos and Mr. Rohinton Minoo Kalifa were re-elected and appointed to the office of Independent</w:t>
      </w:r>
    </w:p>
    <w:p>
      <w:pPr>
        <w:pStyle w:val="Normal"/>
        <w:framePr w:w="7460" w:hAnchor="page" w:vAnchor="page" w:x="71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re-elected and appointed to the office of Elected Directors of the Company.</w:t>
      </w:r>
    </w:p>
    <w:p>
      <w:pPr>
        <w:pStyle w:val="Normal"/>
        <w:framePr w:w="324" w:hAnchor="page" w:vAnchor="page" w:x="385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409" w:hAnchor="page" w:vAnchor="page" w:x="715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Alexey Rasskazov, Mr. Andrey Romanenko, Mr. Andrey Shemetov, Mr. Boris Kim, Mr. Osama Bedier and Mr. Sergey Solonin, were</w:t>
      </w:r>
    </w:p>
    <w:p>
      <w:pPr>
        <w:pStyle w:val="Normal"/>
        <w:framePr w:w="11189" w:hAnchor="page" w:vAnchor="page" w:x="28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Election of Directors to the Company’s Board of Directors, the final voting results were as follows:</w:t>
      </w:r>
    </w:p>
    <w:p>
      <w:pPr>
        <w:pStyle w:val="Normal"/>
        <w:framePr w:w="4077" w:hAnchor="page" w:vAnchor="page" w:x="1218" w:y="7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Auditor’s remuneration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360" w:hAnchor="page" w:vAnchor="page" w:x="6653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103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177,138,280    </w:t>
      </w:r>
    </w:p>
    <w:p>
      <w:pPr>
        <w:pStyle w:val="Normal"/>
        <w:framePr w:w="606" w:hAnchor="page" w:vAnchor="page" w:x="9556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 </w:t>
      </w:r>
    </w:p>
    <w:p>
      <w:pPr>
        <w:pStyle w:val="Normal"/>
        <w:framePr w:w="480" w:hAnchor="page" w:vAnchor="page" w:x="10817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2588" w:hAnchor="page" w:vAnchor="page" w:x="1418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Company’s Auditors</w:t>
      </w:r>
    </w:p>
    <w:p>
      <w:pPr>
        <w:pStyle w:val="Normal"/>
        <w:framePr w:w="360" w:hAnchor="page" w:vAnchor="page" w:x="6653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103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193,756,123    </w:t>
      </w:r>
    </w:p>
    <w:p>
      <w:pPr>
        <w:pStyle w:val="Normal"/>
        <w:framePr w:w="1146" w:hAnchor="page" w:vAnchor="page" w:x="9105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64,500    </w:t>
      </w:r>
    </w:p>
    <w:p>
      <w:pPr>
        <w:pStyle w:val="Normal"/>
        <w:framePr w:w="480" w:hAnchor="page" w:vAnchor="page" w:x="10817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6278" w:hAnchor="page" w:vAnchor="page" w:x="1418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YOUNG LLC and Ernst &amp; Young Cyprus Limited (Cyprus) as</w:t>
      </w:r>
    </w:p>
    <w:p>
      <w:pPr>
        <w:pStyle w:val="Normal"/>
        <w:framePr w:w="6061" w:hAnchor="page" w:vAnchor="page" w:x="1218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re-appoint ERNST &amp; YOUNG represented by ERNST &amp;</w:t>
      </w:r>
    </w:p>
    <w:p>
      <w:pPr>
        <w:pStyle w:val="Normal"/>
        <w:framePr w:w="3609" w:hAnchor="page" w:vAnchor="page" w:x="1218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653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330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274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29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66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946" w:hAnchor="page" w:vAnchor="page" w:x="2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re-appointment of ERNST &amp; YOUNG as the Company’s Auditors, the final voting results were as follows:</w:t>
      </w:r>
    </w:p>
    <w:p>
      <w:pPr>
        <w:pStyle w:val="Normal"/>
        <w:framePr w:w="2787" w:hAnchor="page" w:vAnchor="page" w:x="1418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2014 financial year</w:t>
      </w:r>
    </w:p>
    <w:p>
      <w:pPr>
        <w:pStyle w:val="Normal"/>
        <w:framePr w:w="360" w:hAnchor="page" w:vAnchor="page" w:x="6653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103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193,809,723    </w:t>
      </w:r>
    </w:p>
    <w:p>
      <w:pPr>
        <w:pStyle w:val="Normal"/>
        <w:framePr w:w="606" w:hAnchor="page" w:vAnchor="page" w:x="9556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 </w:t>
      </w:r>
    </w:p>
    <w:p>
      <w:pPr>
        <w:pStyle w:val="Normal"/>
        <w:framePr w:w="1020" w:hAnchor="page" w:vAnchor="page" w:x="10366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10,900  </w:t>
      </w:r>
    </w:p>
    <w:p>
      <w:pPr>
        <w:pStyle w:val="Normal"/>
        <w:framePr w:w="6605" w:hAnchor="page" w:vAnchor="page" w:x="1218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Company’s audited consolidated financial statements</w:t>
      </w:r>
    </w:p>
    <w:p>
      <w:pPr>
        <w:pStyle w:val="Normal"/>
        <w:framePr w:w="3609" w:hAnchor="page" w:vAnchor="page" w:x="1218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653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330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274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29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027" w:hAnchor="page" w:vAnchor="page" w:x="280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follows:</w:t>
      </w:r>
    </w:p>
    <w:p>
      <w:pPr>
        <w:pStyle w:val="Normal"/>
        <w:framePr w:w="13579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adoption of the Company’s audited consolidated financial statements for the 2014 financial year, the final voting results were as</w:t>
      </w:r>
    </w:p>
    <w:p>
      <w:pPr>
        <w:pStyle w:val="Normal"/>
        <w:framePr w:w="324" w:hAnchor="page" w:vAnchor="page" w:x="385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4194" w:hAnchor="page" w:vAnchor="page" w:x="715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Directors’ remuneration.</w:t>
      </w:r>
    </w:p>
    <w:p>
      <w:pPr>
        <w:pStyle w:val="Normal"/>
        <w:framePr w:w="324" w:hAnchor="page" w:vAnchor="page" w:x="385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5928" w:hAnchor="page" w:vAnchor="page" w:x="715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Election of Directors to the Company’s Board of Directors.</w:t>
      </w:r>
    </w:p>
    <w:p>
      <w:pPr>
        <w:pStyle w:val="Normal"/>
        <w:framePr w:w="324" w:hAnchor="page" w:vAnchor="page" w:x="385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765" w:hAnchor="page" w:vAnchor="page" w:x="715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Re-appointment of ERNST &amp; YOUNG as the Company’s Auditors.</w:t>
      </w:r>
    </w:p>
    <w:p>
      <w:pPr>
        <w:pStyle w:val="Normal"/>
        <w:framePr w:w="324" w:hAnchor="page" w:vAnchor="page" w:x="385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9582" w:hAnchor="page" w:vAnchor="page" w:x="715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the Company’s audited consolidated financial statements for the 2014 financial year.</w:t>
      </w:r>
    </w:p>
    <w:p>
      <w:pPr>
        <w:pStyle w:val="Normal"/>
        <w:framePr w:w="1119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AGM of the Company held on June 02, 2015,</w:t>
      </w:r>
    </w:p>
    <w:p>
      <w:pPr>
        <w:pStyle w:val="Normal"/>
        <w:framePr w:w="1084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36,135,048 voting rights. Each Class A share carries ten votes and each Class B share carries one vote.</w:t>
      </w:r>
    </w:p>
    <w:p>
      <w:pPr>
        <w:pStyle w:val="Normal"/>
        <w:framePr w:w="14171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AGM was 18,426,322, with a total of 184,263,220 voting rights; the total number of Class B shares was 36,135,048, with a</w:t>
      </w:r>
    </w:p>
    <w:p>
      <w:pPr>
        <w:pStyle w:val="Normal"/>
        <w:framePr w:w="1376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130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Annual General Meeting (“AGM”) of the Company held on June 2, 2015.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60.3pt;margin-top:268.95pt;z-index:-16777152;width:273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32pt;margin-top:268.95pt;z-index:-16777148;width:24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54.55pt;margin-top:268.95pt;z-index:-1677714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57.55pt;margin-top:268.95pt;z-index:-16777140;width:52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07.85pt;margin-top:268.95pt;z-index:-16777136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13.1pt;margin-top:268.95pt;z-index:-16777132;width:24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35.6pt;margin-top:268.95pt;z-index:-16777128;width:18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2.1pt;margin-top:268.95pt;z-index:-16777124;width:3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482.15pt;margin-top:268.95pt;z-index:-16777120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87.4pt;margin-top:268.95pt;z-index:-16777116;width:24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09.9pt;margin-top:268.95pt;z-index:-1677711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12.9pt;margin-top:268.95pt;z-index:-16777108;width:3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45.2pt;margin-top:268.95pt;z-index:-16777104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60.3pt;margin-top:268.2pt;z-index:-1677710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12.9pt;margin-top:268.95pt;z-index:-16777096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52.1pt;margin-top:268.95pt;z-index:-16777092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357.55pt;margin-top:268.95pt;z-index:-167770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09.9pt;margin-top:268.95pt;z-index:-1677708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435.6pt;margin-top:268.95pt;z-index:-167770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54.55pt;margin-top:268.95pt;z-index:-167770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60.3pt;margin-top:339.55pt;z-index:-16777072;width:273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32pt;margin-top:339.55pt;z-index:-16777068;width:24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54.55pt;margin-top:339.55pt;z-index:-16777064;width: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57.55pt;margin-top:339.55pt;z-index:-16777060;width:52.3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07.85pt;margin-top:339.55pt;z-index:-16777056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13.1pt;margin-top:339.55pt;z-index:-16777052;width:24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35.6pt;margin-top:339.55pt;z-index:-16777048;width:6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40.1pt;margin-top:339.55pt;z-index:-16777044;width:44.0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82.15pt;margin-top:339.55pt;z-index:-16777040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487.4pt;margin-top:339.55pt;z-index:-16777036;width:24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09.9pt;margin-top:339.55pt;z-index:-16777032;width:14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2.7pt;margin-top:339.55pt;z-index:-16777028;width:24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45.2pt;margin-top:339.55pt;z-index:-16777024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60.3pt;margin-top:338.8pt;z-index:-1677702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22.7pt;margin-top:339.55pt;z-index:-16777016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40.1pt;margin-top:339.55pt;z-index:-167770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57.55pt;margin-top:339.55pt;z-index:-1677700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09.9pt;margin-top:339.55pt;z-index:-1677700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35.6pt;margin-top:339.55pt;z-index:-1677700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54.55pt;margin-top:339.55pt;z-index:-167769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480.65pt;z-index:-1677699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</w:p>
    <w:p>
      <w:pPr>
        <w:pStyle w:val="Normal"/>
        <w:framePr w:w="2741" w:hAnchor="page" w:vAnchor="page" w:x="1418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of the Company</w:t>
      </w:r>
    </w:p>
    <w:p>
      <w:pPr>
        <w:pStyle w:val="Normal"/>
        <w:framePr w:w="360" w:hAnchor="page" w:vAnchor="page" w:x="6338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6893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193,820,623    </w:t>
      </w:r>
    </w:p>
    <w:p>
      <w:pPr>
        <w:pStyle w:val="Normal"/>
        <w:framePr w:w="606" w:hAnchor="page" w:vAnchor="page" w:x="9450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 </w:t>
      </w:r>
    </w:p>
    <w:p>
      <w:pPr>
        <w:pStyle w:val="Normal"/>
        <w:framePr w:w="480" w:hAnchor="page" w:vAnchor="page" w:x="10817" w:y="13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5637" w:hAnchor="page" w:vAnchor="page" w:x="1218" w:y="11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 remuneration shall be fixed for executive</w:t>
      </w:r>
    </w:p>
    <w:p>
      <w:pPr>
        <w:pStyle w:val="Normal"/>
        <w:framePr w:w="5117" w:hAnchor="page" w:vAnchor="page" w:x="1218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non-executive Directors’ remuneration</w:t>
      </w:r>
    </w:p>
    <w:p>
      <w:pPr>
        <w:pStyle w:val="Normal"/>
        <w:framePr w:w="360" w:hAnchor="page" w:vAnchor="page" w:x="6338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6893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193,820,623    </w:t>
      </w:r>
    </w:p>
    <w:p>
      <w:pPr>
        <w:pStyle w:val="Normal"/>
        <w:framePr w:w="606" w:hAnchor="page" w:vAnchor="page" w:x="9450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  </w:t>
      </w:r>
    </w:p>
    <w:p>
      <w:pPr>
        <w:pStyle w:val="Normal"/>
        <w:framePr w:w="480" w:hAnchor="page" w:vAnchor="page" w:x="10817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 </w:t>
      </w:r>
    </w:p>
    <w:p>
      <w:pPr>
        <w:pStyle w:val="Normal"/>
        <w:framePr w:w="3609" w:hAnchor="page" w:vAnchor="page" w:x="1218" w:y="7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338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120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064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624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7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24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remuneration for the Directors of the Company, the final voting results were as follows: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7pt;margin-top:1pt;z-index:-167769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1pt;z-index:-167769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pt;margin-top:2.5pt;z-index:-167769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7.75pt;margin-top:1pt;z-index:-167769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3pt;margin-top:1pt;z-index:-167769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60.3pt;margin-top:43.8pt;z-index:-16776968;width:257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16.25pt;margin-top:43.8pt;z-index:-16776964;width:29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344.05pt;margin-top:43.8pt;z-index:-16776960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347.05pt;margin-top:43.8pt;z-index:-16776956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397.35pt;margin-top:43.8pt;z-index:-16776952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02.6pt;margin-top:43.8pt;z-index:-16776948;width:29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430.35pt;margin-top:43.8pt;z-index:-16776944;width:18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46.85pt;margin-top:43.8pt;z-index:-16776940;width:32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76.9pt;margin-top:43.8pt;z-index:-1677693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82.15pt;margin-top:43.8pt;z-index:-16776932;width:29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09.9pt;margin-top:43.8pt;z-index:-16776928;width:14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22.7pt;margin-top:43.8pt;z-index:-16776924;width:24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45.2pt;margin-top:43.8pt;z-index:-16776920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60.3pt;margin-top:43.05pt;z-index:-16776916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22.7pt;margin-top:43.8pt;z-index:-1677691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46.85pt;margin-top:43.8pt;z-index:-16776908;width:3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47.05pt;margin-top:43.8pt;z-index:-1677690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09.9pt;margin-top:43.8pt;z-index:-16776900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30.35pt;margin-top:43.8pt;z-index:-1677689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44.05pt;margin-top:43.8pt;z-index:-1677689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</w:p>
    <w:p>
      <w:pPr>
        <w:pStyle w:val="Normal"/>
        <w:framePr w:w="2476" w:hAnchor="page" w:vAnchor="page" w:x="6826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826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040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2, 2015</w:t>
      </w:r>
    </w:p>
    <w:p>
      <w:pPr>
        <w:pStyle w:val="Normal"/>
        <w:framePr w:w="2975" w:hAnchor="page" w:vAnchor="page" w:x="643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/s/ Alexander Karavaev</w:t>
      </w:r>
    </w:p>
    <w:p>
      <w:pPr>
        <w:pStyle w:val="Normal"/>
        <w:framePr w:w="2507" w:hAnchor="page" w:vAnchor="page" w:x="6435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7pt;margin-top:1pt;z-index:-16776888;width:598pt;height:139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3pt;margin-top:1pt;z-index:-167768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3pt;margin-top:2.5pt;z-index:-1677688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97.75pt;margin-top:1pt;z-index:-167768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3pt;margin-top:1pt;z-index:-1677687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0.3pt;margin-top:100.85pt;z-index:-16776868;width:25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1200b37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styles.xml" Type="http://schemas.openxmlformats.org/officeDocument/2006/relationships/styles"/><Relationship Id="rId89" Target="fontTable.xml" Type="http://schemas.openxmlformats.org/officeDocument/2006/relationships/fontTable"/><Relationship Id="rId9" Target="media/image9.png" Type="http://schemas.openxmlformats.org/officeDocument/2006/relationships/image"/><Relationship Id="rId90" Target="settings.xml" Type="http://schemas.openxmlformats.org/officeDocument/2006/relationships/settings"/><Relationship Id="rId91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701</Words>
  <Characters>3689</Characters>
  <Application>e-iceblue</Application>
  <DocSecurity>0</DocSecurity>
  <Lines>108</Lines>
  <Paragraphs>108</Paragraphs>
  <ScaleCrop>false</ScaleCrop>
  <Company>e-iceblue</Company>
  <LinksUpToDate>false</LinksUpToDate>
  <CharactersWithSpaces>4427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2021-11-30T20:31:58Z</dcterms:created>
  <dc:creator>root</dc:creator>
  <cp:lastModifiedBy>root</cp:lastModifiedBy>
  <dcterms:modified xsi:type="dcterms:W3CDTF">2021-11-30T20:31:58Z</dcterms:modified>
  <cp:revision>1</cp:revision>
</cp:coreProperties>
</file>