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 6-K</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REPORT OF A FOREIGN ISSUER</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PURSUANT TO RULE 13A-16 OR 15D-16</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OF THE SECURITIES EXCHANGE ACT OF 1934</w:t>
      </w:r>
      <w:r>
        <w:rPr>
          <w:rFonts w:ascii="Times New Roman" w:hAnsi="Times New Roman"/>
          <w:b w:val="false"/>
          <w:i w:val="false"/>
          <w:color w:val="000000"/>
          <w:sz w:val="24"/>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November 10, 2015</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12-14 Kennedy Ave.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Business Centre, 2nd Floor, Office 203</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by check mark whether the registrant files or will file annual reports under cover of Form 20-F or Form 40-F. </w:t>
      </w:r>
    </w:p>
    <w:p>
      <w:pPr>
        <w:spacing w:before="240" w:after="0"/>
        <w:ind w:left="120"/>
        <w:jc w:val="center"/>
      </w:pPr>
      <w:r>
        <w:rPr>
          <w:rFonts w:ascii="Times New Roman" w:hAnsi="Times New Roman"/>
          <w:b w:val="false"/>
          <w:i w:val="false"/>
          <w:color w:val="000000"/>
          <w:sz w:val="20"/>
        </w:rPr>
        <w:t xml:space="preserve"> Form 20-F   </w:t>
      </w:r>
      <w:r>
        <w:rPr>
          <w:rFonts w:ascii="Wingdings" w:hAnsi="Wingdings"/>
          <w:b w:val="false"/>
          <w:i w:val="false"/>
          <w:color w:val="000000"/>
          <w:sz w:val="20"/>
        </w:rPr>
        <w:t>☒</w:t>
      </w:r>
      <w:r>
        <w:rPr>
          <w:rFonts w:ascii="Times New Roman" w:hAnsi="Times New Roman"/>
          <w:b w:val="false"/>
          <w:i w:val="false"/>
          <w:color w:val="000000"/>
          <w:sz w:val="20"/>
        </w:rPr>
        <w:t xml:space="preserve">             Form 40-F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by furnishing the information contained in this Form is also thereby furnishing the information to the Commission pursuant to Rule 12g3-2(b) under the Securities Exchange Act of 1934. </w:t>
      </w:r>
    </w:p>
    <w:p>
      <w:pPr>
        <w:spacing w:before="240" w:after="0"/>
        <w:ind w:left="120"/>
        <w:jc w:val="center"/>
      </w:pPr>
      <w:r>
        <w:rPr>
          <w:rFonts w:ascii="Times New Roman" w:hAnsi="Times New Roman"/>
          <w:b w:val="false"/>
          <w:i w:val="false"/>
          <w:color w:val="000000"/>
          <w:sz w:val="20"/>
        </w:rPr>
        <w:t xml:space="preserve">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If ‘‘Yes’’ is marked, indicate below the file number assigned to the registrant in connection with Rule 12g3-2(b):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EXHIBIT 99.1 TO THIS REPORT ON FORM 6-K IS INCORPORATED BY REFERENCE IN THE REGISTRATION STATEMENT ON FORM S-8 (FILE NO. 333-190918) OF QIWI PLC AND IN THE OUTSTANDING PROSPECTUS CONTAINED IN SUCH REGISTRATION STATEMENT.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u w:val="single"/>
        </w:rPr>
        <w:t>Exhibits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468"/>
        <w:gridCol w:w="407"/>
        <w:gridCol w:w="12759"/>
      </w:tblGrid>
      <w:tr>
        <w:trPr/>
        <w:tc>
          <w:tcPr>
            <w:tcW w:w="468"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bottom"/>
          </w:tcPr>
          <w:p/>
        </w:tc>
        <w:tc>
          <w:tcPr>
            <w:tcW w:w="12759" w:type="dxa"/>
            <w:tcBorders/>
            <w:tcMar>
              <w:top w:w="15" w:type="dxa"/>
              <w:left w:w="15" w:type="dxa"/>
              <w:bottom w:w="15" w:type="dxa"/>
              <w:right w:w="15" w:type="dxa"/>
            </w:tcMar>
            <w:vAlign w:val="center"/>
          </w:tcPr>
          <w:p/>
        </w:tc>
      </w:tr>
      <w:tr>
        <w:trPr>
          <w:trHeight w:val="120" w:hRule="atLeast"/>
        </w:trPr>
        <w:tc>
          <w:tcPr>
            <w:tcW w:w="46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46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99.1</w:t>
            </w:r>
          </w:p>
        </w:tc>
        <w:tc>
          <w:tcPr>
            <w:tcW w:w="40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5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“QIWI Announces Third Quarter 2015 Results” press release dated November 10, 2015</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Pursuant to the requirements of the Securities Exchange Act of 1934, the registrant has duly caused this report to be signed on its behalf by the undersigned, thereunto duly authorized.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251"/>
        <w:gridCol w:w="136"/>
        <w:gridCol w:w="543"/>
        <w:gridCol w:w="67"/>
        <w:gridCol w:w="386"/>
        <w:gridCol w:w="136"/>
        <w:gridCol w:w="6115"/>
      </w:tblGrid>
      <w:tr>
        <w:trPr/>
        <w:tc>
          <w:tcPr>
            <w:tcW w:w="625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543"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6115" w:type="dxa"/>
            <w:tcBorders/>
            <w:tcMar>
              <w:top w:w="15" w:type="dxa"/>
              <w:left w:w="15" w:type="dxa"/>
              <w:bottom w:w="15" w:type="dxa"/>
              <w:right w:w="15" w:type="dxa"/>
            </w:tcMar>
            <w:vAlign w:val="center"/>
          </w:tcPr>
          <w:p/>
        </w:tc>
      </w:tr>
      <w:tr>
        <w:trPr>
          <w:trHeight w:val="210" w:hRule="atLeast"/>
        </w:trPr>
        <w:tc>
          <w:tcPr>
            <w:tcW w:w="625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QIWI PLC (Registrant)</w:t>
            </w:r>
          </w:p>
        </w:tc>
      </w:tr>
      <w:tr>
        <w:trPr>
          <w:trHeight w:val="240" w:hRule="atLeast"/>
        </w:trPr>
        <w:tc>
          <w:tcPr>
            <w:tcW w:w="6251"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6251"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 November 10, 2015</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By:</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5" w:type="dxa"/>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625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6251" w:type="dxa"/>
            <w:tcBorders/>
            <w:tcMar>
              <w:top w:w="15" w:type="dxa"/>
              <w:left w:w="15" w:type="dxa"/>
              <w:bottom w:w="15" w:type="dxa"/>
              <w:right w:w="15" w:type="dxa"/>
            </w:tcMar>
            <w:vAlign w:val="top"/>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86" w:type="dxa"/>
            <w:tcBorders/>
            <w:tcMar>
              <w:top w:w="15" w:type="dxa"/>
              <w:left w:w="15" w:type="dxa"/>
              <w:bottom w:w="15" w:type="dxa"/>
              <w:right w:w="15" w:type="dxa"/>
            </w:tcMar>
            <w:vAlign w:val="bottom"/>
          </w:tcP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11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bl>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99.1</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spacing w:before="0" w:after="0"/>
        <w:ind w:left="120"/>
        <w:jc w:val="center"/>
      </w:pPr>
      <w:r>
        <w:rPr>
          <w:rFonts w:ascii="Times New Roman" w:hAnsi="Times New Roman"/>
          <w:b w:val="false"/>
          <w:i w:val="false"/>
          <w:color w:val="000000"/>
          <w:sz w:val="22"/>
        </w:rPr>
        <w:t xml:space="preserve"> </w:t>
      </w:r>
      <w:r>
        <w:drawing>
          <wp:inline distT="0" distB="0" distL="0" distR="0">
            <wp:extent cx="1028700" cy="1476375"/>
            <wp:effectExtent l="0" t="0" r="0" b="0"/>
            <wp:docPr id="0" name="" descr="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1476375"/>
                    </a:xfrm>
                    <a:prstGeom prst="rect">
                      <a:avLst/>
                    </a:prstGeom>
                  </pic:spPr>
                </pic:pic>
              </a:graphicData>
            </a:graphic>
          </wp:inline>
        </w:drawing>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ANNOUNCES THIRD QUARTER 2015 RESULTS</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Third-Quarter Total Adjusted Net Revenue Increased 6% to RUB 2,529 Million</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Adjusted Net Profit Decreased 3% to RUB 1,133 Million or RUB 18.74 per diluted share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val="false"/>
          <w:i/>
          <w:color w:val="000000"/>
          <w:sz w:val="20"/>
        </w:rPr>
        <w:t>QIWI reiterates 2015 Guidance</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NICOSIA, CYPRUS – November 10, 2015 – QIWI plc, (NASDAQ: QIWI) (“QIWI” or the “Company”) today announced results for the third quarter ended September 30, 2015.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Third-Quarter 2015 Operating and Financial Highlights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Total Adjusted Net Revenue increased 6% to RUB 2,529 million ($38.2 million)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EBITDA decreased 12% to RUB 1,340 million ($20.2 million)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Adjusted Net Profit decreased 3% to RUB 1,133 million ($17.1 million), or RUB </w:t>
            </w:r>
            <w:r>
              <w:rPr>
                <w:rFonts w:ascii="Times New Roman" w:hAnsi="Times New Roman"/>
                <w:b w:val="false"/>
                <w:i/>
                <w:color w:val="000000"/>
                <w:sz w:val="20"/>
              </w:rPr>
              <w:t>18.74</w:t>
            </w:r>
            <w:r>
              <w:rPr>
                <w:rFonts w:ascii="Times New Roman" w:hAnsi="Times New Roman"/>
                <w:b w:val="false"/>
                <w:i w:val="false"/>
                <w:color w:val="000000"/>
                <w:sz w:val="20"/>
              </w:rPr>
              <w:t xml:space="preserve">  per diluted share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Total payment volume increased 65% to RUB 270.5 billion ($4.1 billion)</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Active kiosks and terminals decreased 15% to 149,553 units</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Active Qiwi Wallet accounts increased 1% to 16.7 millions</w:t>
            </w:r>
          </w:p>
        </w:tc>
      </w:tr>
    </w:tbl>
    <w:p>
      <w:pPr>
        <w:spacing w:before="240" w:after="0"/>
        <w:ind w:left="120"/>
        <w:jc w:val="left"/>
      </w:pPr>
      <w:r>
        <w:rPr>
          <w:rFonts w:ascii="Times New Roman" w:hAnsi="Times New Roman"/>
          <w:b w:val="false"/>
          <w:i w:val="false"/>
          <w:color w:val="000000"/>
          <w:sz w:val="20"/>
        </w:rPr>
        <w:t xml:space="preserve"> “We are continuing to confront the pressure from both the macroeconomic slowdown in Russia and stricter regulation of the agent network,” said Sergey Solonin, QIWI’s chief executive officer. “Despite the abovementioned factors, we undertook actions necessary to maintain the agents’ economics and do not expect any further substantial deterioration of the agent network. Contact and Rapida are bringing synergies to the group and strengthening our positions in the payments market in Russia. We continue to see plenty of opportunities ahead, especially in gaining market share in the key verticals, which will be the main focus for the company in the near term.”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Third Quarter 2015 Results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Revenues:</w:t>
      </w:r>
      <w:r>
        <w:rPr>
          <w:rFonts w:ascii="Times New Roman" w:hAnsi="Times New Roman"/>
          <w:b w:val="false"/>
          <w:i w:val="false"/>
          <w:color w:val="000000"/>
          <w:sz w:val="20"/>
        </w:rPr>
        <w:t xml:space="preserve"> Total Adjusted Net Revenue for the quarter ended September 30, 2015 was RUB 2,529 million ($38.2 million), an increase of 6% compared with RUB 2,379 million in the prior year. </w:t>
      </w:r>
    </w:p>
    <w:p>
      <w:pPr>
        <w:spacing w:before="240" w:after="0"/>
        <w:ind w:left="120"/>
        <w:jc w:val="left"/>
      </w:pPr>
      <w:r>
        <w:rPr>
          <w:rFonts w:ascii="Times New Roman" w:hAnsi="Times New Roman"/>
          <w:b w:val="false"/>
          <w:i w:val="false"/>
          <w:color w:val="000000"/>
          <w:sz w:val="20"/>
        </w:rPr>
        <w:t xml:space="preserve"> Payment Adjusted Net Revenue was RUB 1,836 million ($27.7 million), an increase of 5% compared with RUB 1,753 million in the prior year. Payment Adjusted Net Revenue growth was predominantly driven by an increase in payment volume across all verticals, especially the E-commerce and Money Remittances market verticals, that was in turn partially offset by the declining net revenue yields primarily as a result of the acquisition and consolidation of Contact and Rapida which operate on significantly lower net revenue yields than legacy QIWI business. </w:t>
      </w:r>
    </w:p>
    <w:p>
      <w:pPr>
        <w:spacing w:before="240" w:after="0"/>
        <w:ind w:left="120"/>
        <w:jc w:val="left"/>
      </w:pPr>
      <w:r>
        <w:rPr>
          <w:rFonts w:ascii="Times New Roman" w:hAnsi="Times New Roman"/>
          <w:b w:val="false"/>
          <w:i w:val="false"/>
          <w:color w:val="000000"/>
          <w:sz w:val="20"/>
        </w:rPr>
        <w:t xml:space="preserve"> Other Adjusted Net Revenue, which is principally composed of revenue from inactivity fees, interest revenue and gain from currency swaps and overdrafts provided to agents, revenue from rent of space for kiosks and sale of kiosks, cash and settlement services and advertising, was RUB 693 million ($10.5 million), an increase of 11% compared with RUB 626 million in the prior year. The growth in the third-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quarter was mainly due to the increase in inactivity fees, interest revenue from deposits, gain from currency swaps and overdrafts provided to agents, slightly offset by our continuing investment in improving clients’ service, such as call center costs, decreasing revenue from rent of space of kiosks and cash and settlement services.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w:t>
      </w:r>
      <w:r>
        <w:rPr>
          <w:rFonts w:ascii="Times New Roman" w:hAnsi="Times New Roman"/>
          <w:b w:val="false"/>
          <w:i w:val="false"/>
          <w:color w:val="000000"/>
          <w:sz w:val="20"/>
        </w:rPr>
        <w:t xml:space="preserve"> For the quarter ended September 30, 2015, Adjusted EBITDA was RUB 1,340 million ($20.2 million), a decrease of 12% compared with RUB 1,520 million in the prior year. Adjusted EBITDA decline was mainly driven by 44% growth of SG&amp;A cost including: bad debt expense, payroll, rent and office maintenance costs as well as professional fees resulting from the ongoing M&amp;A activities. Adjusted EBITDA margin (Adjusted EBITDA as a percentage of Total Adjusted Net Revenue) was 53.0% compared with 63.9% in the prior year.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Net Profit:</w:t>
      </w:r>
      <w:r>
        <w:rPr>
          <w:rFonts w:ascii="Times New Roman" w:hAnsi="Times New Roman"/>
          <w:b w:val="false"/>
          <w:i w:val="false"/>
          <w:color w:val="000000"/>
          <w:sz w:val="20"/>
        </w:rPr>
        <w:t xml:space="preserve"> For the quarter ended September 30, 2015, Adjusted Net Profit was RUB 1,133 million ($17.1 million), a decrease of 3% compared with RUB 1,163 million in the prior year. The decrease in Adjusted Net Profit was primarily driven by the same factors impacting Adjusted EBITDA, though significantly mitigated by operational ForEx gains.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Other Operating Data:</w:t>
      </w:r>
      <w:r>
        <w:rPr>
          <w:rFonts w:ascii="Times New Roman" w:hAnsi="Times New Roman"/>
          <w:b w:val="false"/>
          <w:i w:val="false"/>
          <w:color w:val="000000"/>
          <w:sz w:val="20"/>
        </w:rPr>
        <w:t xml:space="preserve"> For the quarter ended September 30, 2015, total payment volume was RUB 270.5 billion ($4.1 billion), an increase of 65% compared with RUB 164.4 billion in the prior year. Payment volume increased across all verticals driven largely by Contact and Rapida businesses as well as organic growth in E-commerce and Money Remittances market verticals. Average payment net revenue yield was 0.68%, a decrease of 39 bps compared with 1.07% in the prior period primarily due to the consolidation of lower yielding Contact and Rapida businesses. </w:t>
      </w:r>
    </w:p>
    <w:p>
      <w:pPr>
        <w:spacing w:before="240" w:after="0"/>
        <w:ind w:left="120"/>
        <w:jc w:val="left"/>
      </w:pPr>
      <w:r>
        <w:rPr>
          <w:rFonts w:ascii="Times New Roman" w:hAnsi="Times New Roman"/>
          <w:b w:val="false"/>
          <w:i w:val="false"/>
          <w:color w:val="000000"/>
          <w:sz w:val="20"/>
        </w:rPr>
        <w:t>The total average Net Revenue Yield was 0.93%, a decrease of 52 bps as compared with 1.45% in the prior year.</w:t>
      </w:r>
    </w:p>
    <w:p>
      <w:pPr>
        <w:spacing w:before="240" w:after="0"/>
        <w:ind w:left="120"/>
        <w:jc w:val="left"/>
      </w:pPr>
      <w:r>
        <w:rPr>
          <w:rFonts w:ascii="Times New Roman" w:hAnsi="Times New Roman"/>
          <w:b w:val="false"/>
          <w:i w:val="false"/>
          <w:color w:val="000000"/>
          <w:sz w:val="20"/>
        </w:rPr>
        <w:t xml:space="preserve"> The number of active kiosks and terminals was 149,553, a decrease of 15% compared with the prior year, driven by the stricter regulation of the kiosk market by Central Bank of Russia. The number of active Visa Qiwi Wallet accounts was 16.7 million in the third quarter 2015, an increase of 0.2 million, or 1%, as compared with 16.5 million in the third quarter 2014.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Recent Developments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Dividend:</w:t>
      </w:r>
      <w:r>
        <w:rPr>
          <w:rFonts w:ascii="Times New Roman" w:hAnsi="Times New Roman"/>
          <w:b w:val="false"/>
          <w:i w:val="false"/>
          <w:color w:val="000000"/>
          <w:sz w:val="20"/>
        </w:rPr>
        <w:t xml:space="preserve"> QIWI continues to pursue different M&amp;A opportunities and considers the timing and current market conditions to favor this strategy. We are focusing on business with a long-term growth potential in the areas complementary to our core business. Our current view is to refrain from paying dividends for the next few quarters.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Impact of Contact and Rapida</w:t>
      </w:r>
      <w:r>
        <w:rPr>
          <w:rFonts w:ascii="Times New Roman" w:hAnsi="Times New Roman"/>
          <w:b w:val="false"/>
          <w:i w:val="false"/>
          <w:color w:val="000000"/>
          <w:sz w:val="20"/>
        </w:rPr>
        <w:t xml:space="preserve"> : Starting June 1st 2015 we consolidate financial results of Contact and Rapida in our financial statements which are presented in the Annex below. Contact and Rapida have become a strong addition to the core business of QIWI contributing to Money Remittances, Financial Services and E-commerce market verticals as well as significantly increasing our share of the Russian money remittance market, broadening our merchant relationships and consumer base and strengthening our team. The integration is going in accordance with the plan.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color w:val="000000"/>
          <w:sz w:val="20"/>
        </w:rPr>
        <w:t>Regulation by the Central Bank of Russia:</w:t>
      </w:r>
      <w:r>
        <w:rPr>
          <w:rFonts w:ascii="Times New Roman" w:hAnsi="Times New Roman"/>
          <w:b w:val="false"/>
          <w:i w:val="false"/>
          <w:color w:val="000000"/>
          <w:sz w:val="20"/>
        </w:rPr>
        <w:t xml:space="preserve"> Our kiosk network in Russia was affected by the enhanced controls that the Central Bank of Russia has implemented to ensure compliance by the agents with legislation that requires them to remit their proceeds to special accounts, as disclosed in our Form 6-K filed on November 2, 2015. </w:t>
      </w:r>
    </w:p>
    <w:p>
      <w:pPr>
        <w:spacing w:before="240" w:after="0"/>
        <w:ind w:left="120"/>
        <w:jc w:val="left"/>
      </w:pPr>
      <w:r>
        <w:rPr>
          <w:rFonts w:ascii="Times New Roman" w:hAnsi="Times New Roman"/>
          <w:b w:val="false"/>
          <w:i w:val="false"/>
          <w:color w:val="000000"/>
          <w:sz w:val="20"/>
        </w:rPr>
        <w:t xml:space="preserve"> Although this decrease negatively affects the size of our physical distribution network in the short-term, we continue to believe that increased transparency in the kiosk market will ultimately allow us to improve our market share and strengthen our competitive advantages.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2015 Guidance </w:t>
      </w:r>
      <w:r>
        <w:rPr>
          <w:rFonts w:ascii="Times New Roman" w:hAnsi="Times New Roman"/>
          <w:b/>
          <w:i w:val="false"/>
          <w:color w:val="000000"/>
          <w:vertAlign w:val="superscript"/>
        </w:rPr>
        <w:t>1</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QIWI reiterates its guidance in respect of 2015 outlook:</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Total Adjusted Net Revenue is expected to increase by 18% to 22% over 2014</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545"/>
        <w:gridCol w:w="409"/>
        <w:gridCol w:w="136"/>
        <w:gridCol w:w="12544"/>
      </w:tblGrid>
      <w:tr>
        <w:trPr>
          <w:trHeight w:val="210" w:hRule="atLeast"/>
        </w:trPr>
        <w:tc>
          <w:tcPr>
            <w:tcW w:w="54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0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3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2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Adjusted Net Profit is expected to increase by 18% to 22% over 2014</w:t>
            </w:r>
          </w:p>
        </w:tc>
      </w:tr>
    </w:tbl>
    <w:p>
      <w:pPr>
        <w:spacing w:before="240" w:after="0"/>
        <w:ind w:left="120"/>
        <w:jc w:val="left"/>
      </w:pPr>
      <w:r>
        <w:rPr>
          <w:rFonts w:ascii="Times New Roman" w:hAnsi="Times New Roman"/>
          <w:b w:val="false"/>
          <w:i w:val="false"/>
          <w:color w:val="000000"/>
          <w:sz w:val="20"/>
        </w:rPr>
        <w:t xml:space="preserve"> The overall macroeconomic conditions continue to adversely affect the purchasing power of Russian population as high inflation combined with decreasing real wages put pressure on the disposable income. This in turn leads to the overall decrease in consumer spending and consequently our payment volumes, especially in Financial Services market vertical, which is impacted by several factors including lack of refinancing options for the consumers, and aforementioned decrease in real disposable income. </w:t>
      </w:r>
    </w:p>
    <w:p>
      <w:pPr>
        <w:spacing w:before="0" w:after="0"/>
        <w:ind w:left="120"/>
        <w:jc w:val="left"/>
      </w:pPr>
      <w:r>
        <w:rPr>
          <w:rFonts w:ascii="Times New Roman" w:hAnsi="Times New Roman"/>
          <w:b w:val="false"/>
          <w:i w:val="false"/>
          <w:color w:val="000000"/>
          <w:sz w:val="12"/>
        </w:rPr>
        <w:t> </w:t>
      </w:r>
    </w:p>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vertAlign w:val="superscript"/>
              </w:rPr>
              <w:t>1</w:t>
            </w:r>
            <w:r>
              <w:rPr>
                <w:rFonts w:ascii="Times New Roman" w:hAnsi="Times New Roman"/>
                <w:b w:val="false"/>
                <w:i w:val="false"/>
                <w:color w:val="000000"/>
                <w:sz w:val="20"/>
              </w:rPr>
              <w:t xml:space="preserve">   </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Guidance is provided in Russian rubles and includes consolidated financial result of Contact and Rapida since June 1 </w:t>
            </w:r>
            <w:r>
              <w:rPr>
                <w:rFonts w:ascii="Times New Roman" w:hAnsi="Times New Roman"/>
                <w:b w:val="false"/>
                <w:i w:val="false"/>
                <w:color w:val="000000"/>
                <w:vertAlign w:val="superscript"/>
              </w:rPr>
              <w:t>st</w:t>
            </w:r>
            <w:r>
              <w:rPr>
                <w:rFonts w:ascii="Times New Roman" w:hAnsi="Times New Roman"/>
                <w:b w:val="false"/>
                <w:i w:val="false"/>
                <w:color w:val="000000"/>
                <w:sz w:val="20"/>
              </w:rPr>
              <w:t xml:space="preserve"> , 2015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Earnings Conference Call and Audio Webcast</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will host a conference call to discuss third quarter 2015 financial results today at 8:30 a.m. ET. Hosting the call will be Sergey Solonin, chief executive officer, and Alexander Karavaev, chief financial officer. The conference call can be accessed live over the phone by dialing +1 (877) 407-3982 or for international callers by dialing +1 (201) 493-6780. A replay will be available at 11:30 a.m. ET and can be accessed by dialing +1 (877) 870-5176 or +1 (858) 384-5517 for international callers; the pin number is 13623376. The replay will be available until Tuesday, November 17, 2015. The call will be webcast live from the Company’s website at https://www.qiwi.ru under the Corporate Investor Relations section or directly at http://investor.qiwi.com/.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About QIWI plc.</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QIWI is a leading provider of next generation payment services in Russia and the CIS. It has an integrated proprietary network that enables payment services across physical, online and mobile channels. It has deployed over 16.7 million virtual wallets, over 149,000 kiosks and terminals, and enabled merchants to accept over RUB 70 billion cash and electronic payments monthly from over 57 million consumers using its network at least once a month. QIWI’s consumers can use cash, stored value and other electronic payment methods to order and pay for goods and services across physical or online environments interchangeably.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Forward-Looking Statements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This press release includes “forward-looking statements” within the meaning of, and subject to the protection of, the Private Securities Litigation Reform Act of 1995, including, without limitation, expected total adjusted net revenue, adjusted net profit and net revenue yield, dividend payments, payment volume growth, and growth of physical and virtual distribution channels. Such forward-looking statements involve known and unknown risks, uncertainties, and other factors that may cause the actual results, performance or achievements of QIWI plc. to be materially different from future results, performance or achievements expressed or implied by such forward-looking statements. Various factors that could cause actual future results and other future events to differ materially from those estimated by management include, but are not limited to, the achievement of the expected benefits of the acquisition of Contact and Rapida, risks associated with the integration of Contact and Rapida, a decline in average net revenue yield, fees levied on QIWI’s consumers, regulation, QIWI’s ability to grow physical and virtual distribution channels, QIWI’s ability to expand geographically and other risks identified under the Caption “Risk Factors” in QIWI’s Annual Report on Form 20-F and in other reports QIWI files with the U.S. Securities and Exchange Commission. QIWI undertakes no obligation to revise any forward-looking statements or to report future events that may affect such forward-looking statements unless QIWI is required to do so by law. </w:t>
      </w:r>
    </w:p>
    <w:p>
      <w:pPr>
        <w:spacing w:before="36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Contact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045"/>
        <w:gridCol w:w="136"/>
        <w:gridCol w:w="8453"/>
      </w:tblGrid>
      <w:tr>
        <w:trPr/>
        <w:tc>
          <w:tcPr>
            <w:tcW w:w="5045"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bottom"/>
          </w:tcPr>
          <w:p/>
        </w:tc>
        <w:tc>
          <w:tcPr>
            <w:tcW w:w="8453" w:type="dxa"/>
            <w:tcBorders/>
            <w:tcMar>
              <w:top w:w="15" w:type="dxa"/>
              <w:left w:w="15" w:type="dxa"/>
              <w:bottom w:w="15" w:type="dxa"/>
              <w:right w:w="15" w:type="dxa"/>
            </w:tcMar>
            <w:vAlign w:val="center"/>
          </w:tcPr>
          <w:p/>
        </w:tc>
      </w:tr>
      <w:tr>
        <w:trPr>
          <w:trHeight w:val="900" w:hRule="atLeast"/>
        </w:trPr>
        <w:tc>
          <w:tcPr>
            <w:tcW w:w="5045"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Yakov Barinskiy</w:t>
            </w:r>
          </w:p>
          <w:p>
            <w:pPr>
              <w:spacing w:before="0" w:after="0"/>
              <w:ind w:left="120"/>
              <w:jc w:val="left"/>
            </w:pPr>
            <w:r>
              <w:rPr>
                <w:rFonts w:ascii="Times New Roman" w:hAnsi="Times New Roman"/>
                <w:b w:val="false"/>
                <w:i w:val="false"/>
                <w:color w:val="000000"/>
                <w:sz w:val="20"/>
              </w:rPr>
              <w:t xml:space="preserve"> Head of M&amp;A and Investor Relations </w:t>
            </w:r>
          </w:p>
          <w:p>
            <w:pPr>
              <w:spacing w:before="0" w:after="0"/>
              <w:ind w:left="120"/>
              <w:jc w:val="left"/>
            </w:pPr>
            <w:r>
              <w:rPr>
                <w:rFonts w:ascii="Times New Roman" w:hAnsi="Times New Roman"/>
                <w:b w:val="false"/>
                <w:i w:val="false"/>
                <w:color w:val="000000"/>
                <w:sz w:val="20"/>
              </w:rPr>
              <w:t>+7.499.709.0192</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ir@qiwi.com</w:t>
            </w:r>
            <w:r>
              <w:rPr>
                <w:rFonts w:ascii="Times New Roman" w:hAnsi="Times New Roman"/>
                <w:b w:val="false"/>
                <w:i w:val="false"/>
                <w:color w:val="000000"/>
                <w:sz w:val="20"/>
              </w:rPr>
              <w:t xml:space="preserve"> </w:t>
            </w:r>
          </w:p>
        </w:tc>
        <w:tc>
          <w:tcPr>
            <w:tcW w:w="13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453"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20"/>
              </w:rPr>
              <w:t>Varvara Kiseleva</w:t>
            </w:r>
          </w:p>
          <w:p>
            <w:pPr>
              <w:spacing w:before="0" w:after="0"/>
              <w:ind w:left="120"/>
              <w:jc w:val="left"/>
            </w:pPr>
            <w:r>
              <w:rPr>
                <w:rFonts w:ascii="Times New Roman" w:hAnsi="Times New Roman"/>
                <w:b w:val="false"/>
                <w:i w:val="false"/>
                <w:color w:val="000000"/>
                <w:sz w:val="20"/>
              </w:rPr>
              <w:t>Investor Relations</w:t>
            </w:r>
          </w:p>
          <w:p>
            <w:pPr>
              <w:spacing w:before="0" w:after="0"/>
              <w:ind w:left="120"/>
              <w:jc w:val="left"/>
            </w:pPr>
            <w:r>
              <w:rPr>
                <w:rFonts w:ascii="Times New Roman" w:hAnsi="Times New Roman"/>
                <w:b w:val="false"/>
                <w:i w:val="false"/>
                <w:color w:val="000000"/>
                <w:sz w:val="20"/>
              </w:rPr>
              <w:t>+7.499.709.0192</w:t>
            </w:r>
          </w:p>
          <w:p>
            <w:pPr>
              <w:spacing w:before="0" w:after="2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ir@qiwi.com</w:t>
            </w:r>
            <w:r>
              <w:rPr>
                <w:rFonts w:ascii="Times New Roman" w:hAnsi="Times New Roman"/>
                <w:b w:val="false"/>
                <w:i w:val="false"/>
                <w:color w:val="000000"/>
                <w:sz w:val="20"/>
              </w:rPr>
              <w:t xml:space="preserve">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Consolidated Statement of Financial Position</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thousands)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8465"/>
        <w:gridCol w:w="250"/>
        <w:gridCol w:w="68"/>
        <w:gridCol w:w="1228"/>
        <w:gridCol w:w="156"/>
        <w:gridCol w:w="239"/>
        <w:gridCol w:w="71"/>
        <w:gridCol w:w="1284"/>
        <w:gridCol w:w="134"/>
        <w:gridCol w:w="250"/>
        <w:gridCol w:w="97"/>
        <w:gridCol w:w="1258"/>
        <w:gridCol w:w="134"/>
      </w:tblGrid>
      <w:tr>
        <w:trPr/>
        <w:tc>
          <w:tcPr>
            <w:tcW w:w="8465"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bottom"/>
          </w:tcPr>
          <w:p/>
        </w:tc>
        <w:tc>
          <w:tcPr>
            <w:tcW w:w="68" w:type="dxa"/>
            <w:tcBorders/>
            <w:tcMar>
              <w:top w:w="15" w:type="dxa"/>
              <w:left w:w="15" w:type="dxa"/>
              <w:bottom w:w="15" w:type="dxa"/>
              <w:right w:w="15" w:type="dxa"/>
            </w:tcMar>
            <w:vAlign w:val="center"/>
          </w:tcPr>
          <w:p/>
        </w:tc>
        <w:tc>
          <w:tcPr>
            <w:tcW w:w="1228"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39" w:type="dxa"/>
            <w:tcBorders/>
            <w:tcMar>
              <w:top w:w="15" w:type="dxa"/>
              <w:left w:w="15" w:type="dxa"/>
              <w:bottom w:w="15" w:type="dxa"/>
              <w:right w:w="15" w:type="dxa"/>
            </w:tcMar>
            <w:vAlign w:val="bottom"/>
          </w:tcPr>
          <w:p/>
        </w:tc>
        <w:tc>
          <w:tcPr>
            <w:tcW w:w="71" w:type="dxa"/>
            <w:tcBorders/>
            <w:tcMar>
              <w:top w:w="15" w:type="dxa"/>
              <w:left w:w="15" w:type="dxa"/>
              <w:bottom w:w="15" w:type="dxa"/>
              <w:right w:w="15" w:type="dxa"/>
            </w:tcMar>
            <w:vAlign w:val="center"/>
          </w:tcPr>
          <w:p/>
        </w:tc>
        <w:tc>
          <w:tcPr>
            <w:tcW w:w="1284"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bottom"/>
          </w:tcPr>
          <w:p/>
        </w:tc>
        <w:tc>
          <w:tcPr>
            <w:tcW w:w="97" w:type="dxa"/>
            <w:tcBorders/>
            <w:tcMar>
              <w:top w:w="15" w:type="dxa"/>
              <w:left w:w="15" w:type="dxa"/>
              <w:bottom w:w="15" w:type="dxa"/>
              <w:right w:w="15" w:type="dxa"/>
            </w:tcMar>
            <w:vAlign w:val="center"/>
          </w:tcPr>
          <w:p/>
        </w:tc>
        <w:tc>
          <w:tcPr>
            <w:tcW w:w="1258"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735" w:hRule="atLeast"/>
        </w:trPr>
        <w:tc>
          <w:tcPr>
            <w:tcW w:w="8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December 31, </w:t>
            </w:r>
            <w:r>
              <w:br/>
            </w:r>
            <w:r>
              <w:rPr>
                <w:rFonts w:ascii="Times New Roman" w:hAnsi="Times New Roman"/>
                <w:b/>
                <w:i w:val="false"/>
                <w:color w:val="000000"/>
                <w:sz w:val="16"/>
              </w:rPr>
              <w:t xml:space="preserve"> 2014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September 30, </w:t>
            </w:r>
            <w:r>
              <w:br/>
            </w:r>
            <w:r>
              <w:rPr>
                <w:rFonts w:ascii="Times New Roman" w:hAnsi="Times New Roman"/>
                <w:b/>
                <w:i w:val="false"/>
                <w:color w:val="000000"/>
                <w:sz w:val="16"/>
              </w:rPr>
              <w:t xml:space="preserve"> 2015 </w:t>
            </w:r>
            <w:r>
              <w:br/>
            </w:r>
            <w:r>
              <w:rPr>
                <w:rFonts w:ascii="Times New Roman" w:hAnsi="Times New Roman"/>
                <w:b/>
                <w:i w:val="false"/>
                <w:color w:val="000000"/>
                <w:sz w:val="16"/>
              </w:rPr>
              <w:t xml:space="preserve"> (unaudited)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As of </w:t>
            </w:r>
            <w:r>
              <w:br/>
            </w:r>
            <w:r>
              <w:rPr>
                <w:rFonts w:ascii="Times New Roman" w:hAnsi="Times New Roman"/>
                <w:b/>
                <w:i w:val="false"/>
                <w:color w:val="000000"/>
                <w:sz w:val="16"/>
              </w:rPr>
              <w:t xml:space="preserve"> September 30, </w:t>
            </w:r>
            <w:r>
              <w:br/>
            </w:r>
            <w:r>
              <w:rPr>
                <w:rFonts w:ascii="Times New Roman" w:hAnsi="Times New Roman"/>
                <w:b/>
                <w:i w:val="false"/>
                <w:color w:val="000000"/>
                <w:sz w:val="16"/>
              </w:rPr>
              <w:t xml:space="preserve"> 2015 </w:t>
            </w:r>
            <w:r>
              <w:br/>
            </w:r>
            <w:r>
              <w:rPr>
                <w:rFonts w:ascii="Times New Roman" w:hAnsi="Times New Roman"/>
                <w:b/>
                <w:i w:val="false"/>
                <w:color w:val="000000"/>
                <w:sz w:val="16"/>
              </w:rPr>
              <w:t xml:space="preserve"> (unaudited)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84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Property and equipment</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379,943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390,136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5,890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and other intangible assets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2,367,623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12,390,361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187,061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debt instruments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1,806,295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1,551,633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23,425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loans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52,648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28,223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assets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42,455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53,615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assets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239,571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259,523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3,918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4,888,535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14,673,491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221,530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receivables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5,305,275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4,181,698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63,132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loans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51,060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debt instruments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2,132,887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1,331,207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Prepaid income tax</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89,239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39,599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VAT and other taxes receivable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51,078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44,774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Cash and cash equivalents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17,079,965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15,168,809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229,008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assets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345,688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704,792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10,640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25,035,720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21,521,939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324,923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5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Assets of disposal group classified as held for sale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125,867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assets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30,050,122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36,195,430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546,453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and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Equity attributable to equity holders of the parent</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capital</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Additional paid-in capital</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1,876,104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premium</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3,044,303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12,068,267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182,198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reserve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764,243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814,171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12,292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Retained earnings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2,683,805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5,909,202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89,213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Translation reserve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204,337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318,548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attributable to equity holders of the parent</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8,573,755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20,987,429</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316,854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(239,385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8,639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8,334,370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20,996,068</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316,984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Non-current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Long-term borrowings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41,981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non-current liabilities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tax liabilities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37,758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1,149,924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17,361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non-current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89,120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1,153,521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17,415</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Current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tc>
        <w:tc>
          <w:tcPr>
            <w:tcW w:w="1228"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tc>
        <w:tc>
          <w:tcPr>
            <w:tcW w:w="1284"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tc>
        <w:tc>
          <w:tcPr>
            <w:tcW w:w="1258"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bottom"/>
          </w:tcP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Short-term borrowings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774,748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Trade and other payables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20,179,673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11,940,916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180,276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Amounts due to customers and amounts due to banks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1,001,286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965,225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14,572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73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payable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225,009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3,397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VAT and other taxes payable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127,733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108,473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Deferred revenue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52,008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10,869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current liabilities</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20,601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current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21,373,107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14,045,841</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212,054</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8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Liabilities directly associated with the assets of a disposal group classified as held for sale</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253,525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846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equity and liabilities</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2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30,050,122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8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36,195,430</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258"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546,453</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8465" w:type="dxa"/>
            <w:tcBorders/>
            <w:tcMar>
              <w:top w:w="15" w:type="dxa"/>
              <w:left w:w="15" w:type="dxa"/>
              <w:bottom w:w="15" w:type="dxa"/>
              <w:right w:w="15" w:type="dxa"/>
            </w:tcMar>
            <w:vAlign w:val="bottom"/>
          </w:tcP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6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2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71"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8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25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25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Consolidated Statement of Comprehensive Income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thousands, except per share data)</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894"/>
        <w:gridCol w:w="659"/>
        <w:gridCol w:w="105"/>
        <w:gridCol w:w="1676"/>
        <w:gridCol w:w="156"/>
        <w:gridCol w:w="635"/>
        <w:gridCol w:w="105"/>
        <w:gridCol w:w="1676"/>
        <w:gridCol w:w="156"/>
        <w:gridCol w:w="635"/>
        <w:gridCol w:w="148"/>
        <w:gridCol w:w="1633"/>
        <w:gridCol w:w="156"/>
      </w:tblGrid>
      <w:tr>
        <w:trPr/>
        <w:tc>
          <w:tcPr>
            <w:tcW w:w="5894" w:type="dxa"/>
            <w:tcBorders/>
            <w:tcMar>
              <w:top w:w="15" w:type="dxa"/>
              <w:left w:w="15" w:type="dxa"/>
              <w:bottom w:w="15" w:type="dxa"/>
              <w:right w:w="15" w:type="dxa"/>
            </w:tcMar>
            <w:vAlign w:val="center"/>
          </w:tcPr>
          <w:p/>
        </w:tc>
        <w:tc>
          <w:tcPr>
            <w:tcW w:w="659" w:type="dxa"/>
            <w:tcBorders/>
            <w:tcMar>
              <w:top w:w="15" w:type="dxa"/>
              <w:left w:w="15" w:type="dxa"/>
              <w:bottom w:w="15" w:type="dxa"/>
              <w:right w:w="15" w:type="dxa"/>
            </w:tcMar>
            <w:vAlign w:val="bottom"/>
          </w:tcPr>
          <w:p/>
        </w:tc>
        <w:tc>
          <w:tcPr>
            <w:tcW w:w="105" w:type="dxa"/>
            <w:tcBorders/>
            <w:tcMar>
              <w:top w:w="15" w:type="dxa"/>
              <w:left w:w="15" w:type="dxa"/>
              <w:bottom w:w="15" w:type="dxa"/>
              <w:right w:w="15" w:type="dxa"/>
            </w:tcMar>
            <w:vAlign w:val="center"/>
          </w:tcPr>
          <w:p/>
        </w:tc>
        <w:tc>
          <w:tcPr>
            <w:tcW w:w="167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35" w:type="dxa"/>
            <w:tcBorders/>
            <w:tcMar>
              <w:top w:w="15" w:type="dxa"/>
              <w:left w:w="15" w:type="dxa"/>
              <w:bottom w:w="15" w:type="dxa"/>
              <w:right w:w="15" w:type="dxa"/>
            </w:tcMar>
            <w:vAlign w:val="bottom"/>
          </w:tcPr>
          <w:p/>
        </w:tc>
        <w:tc>
          <w:tcPr>
            <w:tcW w:w="105" w:type="dxa"/>
            <w:tcBorders/>
            <w:tcMar>
              <w:top w:w="15" w:type="dxa"/>
              <w:left w:w="15" w:type="dxa"/>
              <w:bottom w:w="15" w:type="dxa"/>
              <w:right w:w="15" w:type="dxa"/>
            </w:tcMar>
            <w:vAlign w:val="center"/>
          </w:tcPr>
          <w:p/>
        </w:tc>
        <w:tc>
          <w:tcPr>
            <w:tcW w:w="1676"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635"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58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Three months ended (unaudited)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8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8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3,822,175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4,690,738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70,817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 costs and expenses: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1,782,489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2,488,364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37,568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616,364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877,622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93,208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208,854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1,330,114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1,115,898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16,847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gain</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885,133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1,667,372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(350,897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(586,323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(9,351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(36,770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1,825,347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2,168,187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32,734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(269,134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(186,150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1,556,213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1,982,037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29,923</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765" w:hRule="atLeast"/>
        </w:trPr>
        <w:tc>
          <w:tcPr>
            <w:tcW w:w="589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Equity holders of the parent</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1,568,368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1,979,675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29,888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Non-controlling interests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89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comprehensive income</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Exchange differences on translation of foreign operations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89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Differences arising during the year</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22,767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71,852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 net of tax</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1,578,980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2,053,889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31,008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894" w:type="dxa"/>
            <w:tcBorders/>
            <w:tcMar>
              <w:top w:w="15" w:type="dxa"/>
              <w:left w:w="15" w:type="dxa"/>
              <w:bottom w:w="15" w:type="dxa"/>
              <w:right w:w="15" w:type="dxa"/>
            </w:tcMar>
            <w:vAlign w:val="bottom"/>
          </w:tcP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0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7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Equity holders of the parent</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1,610,673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2,050,632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30,959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interests</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(31,693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89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Earnings per share:</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tc>
        <w:tc>
          <w:tcPr>
            <w:tcW w:w="1676"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attributable to ordinary equity holders of the parent</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894"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589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attributable to ordinary equity holders of the parent</w:t>
            </w:r>
          </w:p>
        </w:tc>
        <w:tc>
          <w:tcPr>
            <w:tcW w:w="65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7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32.74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Consolidated Statement of Comprehensive Income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thousands, except per share data)</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105"/>
        <w:gridCol w:w="588"/>
        <w:gridCol w:w="94"/>
        <w:gridCol w:w="1687"/>
        <w:gridCol w:w="156"/>
        <w:gridCol w:w="565"/>
        <w:gridCol w:w="94"/>
        <w:gridCol w:w="1687"/>
        <w:gridCol w:w="156"/>
        <w:gridCol w:w="565"/>
        <w:gridCol w:w="127"/>
        <w:gridCol w:w="1654"/>
        <w:gridCol w:w="156"/>
      </w:tblGrid>
      <w:tr>
        <w:trPr/>
        <w:tc>
          <w:tcPr>
            <w:tcW w:w="6105" w:type="dxa"/>
            <w:tcBorders/>
            <w:tcMar>
              <w:top w:w="15" w:type="dxa"/>
              <w:left w:w="15" w:type="dxa"/>
              <w:bottom w:w="15" w:type="dxa"/>
              <w:right w:w="15" w:type="dxa"/>
            </w:tcMar>
            <w:vAlign w:val="center"/>
          </w:tcPr>
          <w:p/>
        </w:tc>
        <w:tc>
          <w:tcPr>
            <w:tcW w:w="588" w:type="dxa"/>
            <w:tcBorders/>
            <w:tcMar>
              <w:top w:w="15" w:type="dxa"/>
              <w:left w:w="15" w:type="dxa"/>
              <w:bottom w:w="15" w:type="dxa"/>
              <w:right w:w="15" w:type="dxa"/>
            </w:tcMar>
            <w:vAlign w:val="bottom"/>
          </w:tcPr>
          <w:p/>
        </w:tc>
        <w:tc>
          <w:tcPr>
            <w:tcW w:w="94" w:type="dxa"/>
            <w:tcBorders/>
            <w:tcMar>
              <w:top w:w="15" w:type="dxa"/>
              <w:left w:w="15" w:type="dxa"/>
              <w:bottom w:w="15" w:type="dxa"/>
              <w:right w:w="15" w:type="dxa"/>
            </w:tcMar>
            <w:vAlign w:val="center"/>
          </w:tcPr>
          <w:p/>
        </w:tc>
        <w:tc>
          <w:tcPr>
            <w:tcW w:w="168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5" w:type="dxa"/>
            <w:tcBorders/>
            <w:tcMar>
              <w:top w:w="15" w:type="dxa"/>
              <w:left w:w="15" w:type="dxa"/>
              <w:bottom w:w="15" w:type="dxa"/>
              <w:right w:w="15" w:type="dxa"/>
            </w:tcMar>
            <w:vAlign w:val="bottom"/>
          </w:tcPr>
          <w:p/>
        </w:tc>
        <w:tc>
          <w:tcPr>
            <w:tcW w:w="94" w:type="dxa"/>
            <w:tcBorders/>
            <w:tcMar>
              <w:top w:w="15" w:type="dxa"/>
              <w:left w:w="15" w:type="dxa"/>
              <w:bottom w:w="15" w:type="dxa"/>
              <w:right w:w="15" w:type="dxa"/>
            </w:tcMar>
            <w:vAlign w:val="center"/>
          </w:tcPr>
          <w:p/>
        </w:tc>
        <w:tc>
          <w:tcPr>
            <w:tcW w:w="168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565"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Nine months ended (unaudited)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10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Revenue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10,570,075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12,859,147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194,138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Operating costs and expenses: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Cost of revenue (exclusive of depreciation and amortization)</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5,217,187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6,174,610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93,220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Selling general and administrative expenses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1,827,016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2,322,855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35,069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467,584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from operations</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3,267,787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3,894,098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58,790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disposal of subsidiaries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40,900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(10,950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gain</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928,038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1,800,970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27,190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(914,824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(30,362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(77,644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3,657,782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4,742,048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71,592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(697,556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(738,179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2,960,226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4,003,869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76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10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Equity holders of the parent</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3,000,243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3,920,067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59,182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Non-controlling interests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(40,017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83,802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610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comprehensive income</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Exchange differences on translation of foreign operations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10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Differences arising during the year</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19,282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86,792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105"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Accumulated exchange differences reclassified to earnings upon disposal of foreign operations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56,107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comprehensive income net of tax</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2,979,508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4,146,768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62,605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105" w:type="dxa"/>
            <w:tcBorders/>
            <w:tcMar>
              <w:top w:w="15" w:type="dxa"/>
              <w:left w:w="15" w:type="dxa"/>
              <w:bottom w:w="15" w:type="dxa"/>
              <w:right w:w="15" w:type="dxa"/>
            </w:tcMar>
            <w:vAlign w:val="bottom"/>
          </w:tcP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attributable to:</w:t>
            </w:r>
            <w:r>
              <w:rPr>
                <w:rFonts w:ascii="Times New Roman" w:hAnsi="Times New Roman"/>
                <w:b w:val="false"/>
                <w:i w:val="false"/>
                <w:color w:val="000000"/>
                <w:sz w:val="20"/>
              </w:rPr>
              <w:t xml:space="preserve"> </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Equity holders of the parent</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3,040,801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4,034,278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60,907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Non-controlling interests</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(61,293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112,490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610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660"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Earnings per share:</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tc>
        <w:tc>
          <w:tcPr>
            <w:tcW w:w="165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88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 profit attributable to ordinary equity holders of the parent</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56.58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6105"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6105"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 profit attributable to ordinary equity holders of the parent</w:t>
            </w:r>
          </w:p>
        </w:tc>
        <w:tc>
          <w:tcPr>
            <w:tcW w:w="58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68.61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Consolidated Statement of Cash Flows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thousands)</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6334"/>
        <w:gridCol w:w="510"/>
        <w:gridCol w:w="94"/>
        <w:gridCol w:w="1687"/>
        <w:gridCol w:w="156"/>
        <w:gridCol w:w="489"/>
        <w:gridCol w:w="87"/>
        <w:gridCol w:w="1694"/>
        <w:gridCol w:w="156"/>
        <w:gridCol w:w="490"/>
        <w:gridCol w:w="116"/>
        <w:gridCol w:w="1665"/>
        <w:gridCol w:w="156"/>
      </w:tblGrid>
      <w:tr>
        <w:trPr/>
        <w:tc>
          <w:tcPr>
            <w:tcW w:w="6334" w:type="dxa"/>
            <w:tcBorders/>
            <w:tcMar>
              <w:top w:w="15" w:type="dxa"/>
              <w:left w:w="15" w:type="dxa"/>
              <w:bottom w:w="15" w:type="dxa"/>
              <w:right w:w="15" w:type="dxa"/>
            </w:tcMar>
            <w:vAlign w:val="center"/>
          </w:tcPr>
          <w:p/>
        </w:tc>
        <w:tc>
          <w:tcPr>
            <w:tcW w:w="510" w:type="dxa"/>
            <w:tcBorders/>
            <w:tcMar>
              <w:top w:w="15" w:type="dxa"/>
              <w:left w:w="15" w:type="dxa"/>
              <w:bottom w:w="15" w:type="dxa"/>
              <w:right w:w="15" w:type="dxa"/>
            </w:tcMar>
            <w:vAlign w:val="bottom"/>
          </w:tcPr>
          <w:p/>
        </w:tc>
        <w:tc>
          <w:tcPr>
            <w:tcW w:w="94" w:type="dxa"/>
            <w:tcBorders/>
            <w:tcMar>
              <w:top w:w="15" w:type="dxa"/>
              <w:left w:w="15" w:type="dxa"/>
              <w:bottom w:w="15" w:type="dxa"/>
              <w:right w:w="15" w:type="dxa"/>
            </w:tcMar>
            <w:vAlign w:val="center"/>
          </w:tcPr>
          <w:p/>
        </w:tc>
        <w:tc>
          <w:tcPr>
            <w:tcW w:w="1687"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89" w:type="dxa"/>
            <w:tcBorders/>
            <w:tcMar>
              <w:top w:w="15" w:type="dxa"/>
              <w:left w:w="15" w:type="dxa"/>
              <w:bottom w:w="15" w:type="dxa"/>
              <w:right w:w="15" w:type="dxa"/>
            </w:tcMar>
            <w:vAlign w:val="bottom"/>
          </w:tcPr>
          <w:p/>
        </w:tc>
        <w:tc>
          <w:tcPr>
            <w:tcW w:w="87" w:type="dxa"/>
            <w:tcBorders/>
            <w:tcMar>
              <w:top w:w="15" w:type="dxa"/>
              <w:left w:w="15" w:type="dxa"/>
              <w:bottom w:w="15" w:type="dxa"/>
              <w:right w:w="15" w:type="dxa"/>
            </w:tcMar>
            <w:vAlign w:val="center"/>
          </w:tcPr>
          <w:p/>
        </w:tc>
        <w:tc>
          <w:tcPr>
            <w:tcW w:w="169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bottom"/>
          </w:tcPr>
          <w:p/>
        </w:tc>
        <w:tc>
          <w:tcPr>
            <w:tcW w:w="116" w:type="dxa"/>
            <w:tcBorders/>
            <w:tcMar>
              <w:top w:w="15" w:type="dxa"/>
              <w:left w:w="15" w:type="dxa"/>
              <w:bottom w:w="15" w:type="dxa"/>
              <w:right w:w="15" w:type="dxa"/>
            </w:tcMar>
            <w:vAlign w:val="center"/>
          </w:tcPr>
          <w:p/>
        </w:tc>
        <w:tc>
          <w:tcPr>
            <w:tcW w:w="1665"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r>
      <w:tr>
        <w:trPr>
          <w:trHeight w:val="180" w:hRule="atLeast"/>
        </w:trPr>
        <w:tc>
          <w:tcPr>
            <w:tcW w:w="6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Nine months ended (unaudited)</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6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from operating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tc>
        <w:tc>
          <w:tcPr>
            <w:tcW w:w="16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tc>
        <w:tc>
          <w:tcPr>
            <w:tcW w:w="166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Profit before tax</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3,657,782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4,742,048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71,592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900"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Adjustments to reconcile profit before income tax to net cash flow generated from operating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tc>
        <w:tc>
          <w:tcPr>
            <w:tcW w:w="16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tc>
        <w:tc>
          <w:tcPr>
            <w:tcW w:w="166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Depreciation and amortization</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467,584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Foreign exchange gain, net</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(435,773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(886,146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Interest income, net</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(252,476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(455,381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Bad debt expense, net</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55,678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73,653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Share of loss of associates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23,270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Impairment of investment in associates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24,634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Share-based payments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335,491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61,863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 from disposal of subsidiaries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(32,595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Gain from sale of investments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(7,089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Other</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11,565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Operating profit before changes in working capital</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3,678,256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3,959,261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59,774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Decrease in trade and other receivables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743,173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3,441,699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51,960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(Increase)/decrease in other assets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(178,808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134,183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2,026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(Increase)/decrease in amounts due to customers and amounts due to banks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256,071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(868,879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Decrease in accounts payable and accruals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(4,944,812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(12,219,147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(184,476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2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Loans issued/(settled) from banking operations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12,034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used in operations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(455,160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(5,540,849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(83,652</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Interest received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273,811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545,340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Interest paid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(83,590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Income tax paid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(630,533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(585,506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flow used in operating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(833,649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(5,664,605</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(85,520</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used in investing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tc>
        <w:tc>
          <w:tcPr>
            <w:tcW w:w="16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tc>
        <w:tc>
          <w:tcPr>
            <w:tcW w:w="166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Cash acquired upon business combination</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3,200,275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48,316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Contribution to associates without change in ownership</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(24,201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Payment for assignment of loans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(68,063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Purchase of available-for-sale investments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(5,628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Proceeds from sale of investments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7,557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Purchase of property and equipment</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(230,784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(82,044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(1,239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Purchase of intangible assets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(80,209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(191,835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(2,896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Net cash outflow on disposal of subsidiaries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(16,206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Loans issued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(44,676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(43,653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(659</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Repayment of loans issued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39,440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Purchase of debt instruments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(706,846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(981,847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(14,823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Proceeds from settlement of debt instruments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1,242,313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2,045,478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30,881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flow generated from investing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126,974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3,932,097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59,364</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flows generated from financing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tc>
        <w:tc>
          <w:tcPr>
            <w:tcW w:w="1687"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tc>
        <w:tc>
          <w:tcPr>
            <w:tcW w:w="1694"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tc>
        <w:tc>
          <w:tcPr>
            <w:tcW w:w="1665"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bottom"/>
          </w:tcP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Issue of share capital</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3,044,356</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Exercise of options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5,167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Proceeds from borrowings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38,198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55,045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Repayment of borrowings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(484,692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(7,318</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Dividends paid to owners of the Group</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(2,009,163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(698,912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(10,552</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Dividends paid to non-controlling shareholders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(2,170</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Transactions with non-controlling interest</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00" w:hRule="atLeast"/>
        </w:trPr>
        <w:tc>
          <w:tcPr>
            <w:tcW w:w="6334"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cash flow generated from/(used in) financing activities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1,077,499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(1,128,559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(17,038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8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Effect of exchange rate changes on cash and cash equivalents</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488,754</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935,091</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14,117</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decrease in cash and cash equivalents</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859,578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(1,925,976</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(29,077</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88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Cash and cash equivalents at the beginning of the period</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11,636,913</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17,094,785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258,085</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6334" w:type="dxa"/>
            <w:tcBorders/>
            <w:tcMar>
              <w:top w:w="15" w:type="dxa"/>
              <w:left w:w="15" w:type="dxa"/>
              <w:bottom w:w="15" w:type="dxa"/>
              <w:right w:w="15" w:type="dxa"/>
            </w:tcMar>
            <w:vAlign w:val="top"/>
          </w:tcPr>
          <w:p>
            <w:pPr>
              <w:spacing w:before="269" w:after="269"/>
              <w:ind w:left="840"/>
              <w:jc w:val="left"/>
            </w:pPr>
            <w:r>
              <w:rPr>
                <w:rFonts w:ascii="Times New Roman" w:hAnsi="Times New Roman"/>
                <w:b w:val="false"/>
                <w:i w:val="false"/>
                <w:color w:val="000000"/>
                <w:sz w:val="20"/>
              </w:rPr>
              <w:t xml:space="preserve"> </w:t>
            </w:r>
            <w:r>
              <w:rPr>
                <w:rFonts w:ascii="Times New Roman" w:hAnsi="Times New Roman"/>
                <w:b/>
                <w:i w:val="false"/>
                <w:color w:val="000000"/>
                <w:sz w:val="20"/>
              </w:rPr>
              <w:t>Cash and cash equivalents at the end of the period</w:t>
            </w:r>
            <w:r>
              <w:rPr>
                <w:rFonts w:ascii="Times New Roman" w:hAnsi="Times New Roman"/>
                <w:b w:val="false"/>
                <w:i w:val="false"/>
                <w:color w:val="000000"/>
                <w:sz w:val="20"/>
              </w:rPr>
              <w:t xml:space="preserve"> </w:t>
            </w: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8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12,496,491</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9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15,168,809</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6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229,008</w:t>
            </w:r>
            <w:r>
              <w:rPr>
                <w:rFonts w:ascii="Times New Roman" w:hAnsi="Times New Roman"/>
                <w:b w:val="false"/>
                <w:i w:val="false"/>
                <w:color w:val="000000"/>
                <w:sz w:val="20"/>
              </w:rPr>
              <w:t xml:space="preserve">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6334" w:type="dxa"/>
            <w:tcBorders/>
            <w:tcMar>
              <w:top w:w="15" w:type="dxa"/>
              <w:left w:w="15" w:type="dxa"/>
              <w:bottom w:w="15" w:type="dxa"/>
              <w:right w:w="15" w:type="dxa"/>
            </w:tcMar>
            <w:vAlign w:val="bottom"/>
          </w:tcPr>
          <w:p/>
        </w:tc>
        <w:tc>
          <w:tcPr>
            <w:tcW w:w="51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8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8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9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4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16"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65"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5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Non-IFRS Financial Measures and Supplemental Financial Information</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This release presents Total Adjusted Net Revenue, Payment Adjusted Net Revenue, Other Adjusted Net Revenue, Adjusted EBITDA, Adjusted EBITDA margin, Adjusted Net Profit and Adjusted Net Profit per share, which are non-IFRS financial measures. You should not consider these non-IFRS financial measures as substitutes for or superior to revenue, in the case of Total Adjusted Net Revenue, Payment Adjusted Net Revenue and Other Adjusted Net Revenue; Net Profit, in the case of Adjusted EBITDA; and Adjusted Net Profit, or earnings per share, in the case of Adjusted Net Profit per share, each prepared in accordance with IFRS. Furthermore, because these non-IFRS financial measures are not determined in accordance with IFRS, they are susceptible to varying calculations and may not be comparable to other similarly titled measures presented by other companies. QIWI encourages investors and others to review our financial information in its entirety and not rely on a single financial measure. For more information regarding Total Adjusted Net Revenue, Payment Adjusted Net Revenue, Other Adjusted Net Revenue, Adjusted EBITDA, Adjusted EBITDA margin, Adjusted Net Profit, and Adjusted Net Profit per share, including a quantitative reconciliation of Total Adjusted Net Revenue, Payment Adjusted Net Revenue, Other Adjusted Net Revenue, Adjusted EBITDA and Adjusted Net Profit to the most directly comparable IFRS financial performance measure, which is revenue in the case of Total Adjusted Net Revenue, payment revenue in the case of Payment Adjusted Net Revenue, other revenue in the case of Other Adjusted Net Revenue and net profit in the case of Adjusted EBITDA and Adjusted Net Profit, see Reconciliation of IFRS to Non-IFRS Operating Results in this earnings release. </w:t>
      </w:r>
    </w:p>
    <w:p>
      <w:pPr>
        <w:spacing w:before="240" w:after="0"/>
        <w:ind w:left="120"/>
        <w:jc w:val="left"/>
      </w:pPr>
      <w:r>
        <w:rPr>
          <w:rFonts w:ascii="Times New Roman" w:hAnsi="Times New Roman"/>
          <w:b w:val="false"/>
          <w:i w:val="false"/>
          <w:color w:val="000000"/>
          <w:sz w:val="20"/>
        </w:rPr>
        <w:t xml:space="preserve"> Payment Adjusted Net Revenue is the Adjusted Net Revenue consisting of the merchant and consumer fees collected for the payment transactions. E-commerce payment adjusted net revenue consists of fees charged to customers and merchants that buy and sell products and services online, including online games, social networks, online stores, game developers, software producers, coupon websites, tickets and numerous other merchants. Financial Services payment adjusted net revenue primarily consists of fees charged for payments accepted on behalf of our bank partners and microfinance companies. Money Remittances payment adjusted net revenue primarily consists of fees charged for transferring funds via money remittance companies. Telecom payment adjusted net revenue primarily consists of fees charged for payments to MNOs, internet services providers and pay television providers. Other payment adjusted net revenue consists of consumer and merchant fees charged for a variety of payments including multi-level-marketing, utility bills, government payments, education services and many others. Other Adjusted Net Revenue is principally composed of revenue from inactivity fees, interest revenue and gain from currency swaps and overdrafts provided to agents, revenue from rent of space for kiosks and sale of kiosks, cash and settlement services and advertising. </w:t>
      </w:r>
    </w:p>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Reconciliation of IFRS to Non-IFRS Operating Results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millions, except per share data)</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282"/>
        <w:gridCol w:w="733"/>
        <w:gridCol w:w="148"/>
        <w:gridCol w:w="1633"/>
        <w:gridCol w:w="290"/>
        <w:gridCol w:w="703"/>
        <w:gridCol w:w="148"/>
        <w:gridCol w:w="1633"/>
        <w:gridCol w:w="290"/>
        <w:gridCol w:w="703"/>
        <w:gridCol w:w="148"/>
        <w:gridCol w:w="1633"/>
        <w:gridCol w:w="290"/>
      </w:tblGrid>
      <w:tr>
        <w:trPr/>
        <w:tc>
          <w:tcPr>
            <w:tcW w:w="5282" w:type="dxa"/>
            <w:tcBorders/>
            <w:tcMar>
              <w:top w:w="15" w:type="dxa"/>
              <w:left w:w="15" w:type="dxa"/>
              <w:bottom w:w="15" w:type="dxa"/>
              <w:right w:w="15" w:type="dxa"/>
            </w:tcMar>
            <w:vAlign w:val="center"/>
          </w:tcPr>
          <w:p/>
        </w:tc>
        <w:tc>
          <w:tcPr>
            <w:tcW w:w="73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0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0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Three months ended (unaudited)</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3,822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4,691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70.8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Minus: Cost of revenue (exclusive of depreciation and amortization)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1,782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2,488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Plus: Compensation to employees and related taxes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2,379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2,529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Revenue </w:t>
            </w:r>
            <w:r>
              <w:rPr>
                <w:rFonts w:ascii="Times New Roman" w:hAnsi="Times New Roman"/>
                <w:b/>
                <w:i w:val="false"/>
                <w:color w:val="000000"/>
                <w:vertAlign w:val="superscript"/>
              </w:rPr>
              <w:t>(2)</w:t>
            </w:r>
            <w:r>
              <w:rPr>
                <w:rFonts w:ascii="Times New Roman" w:hAnsi="Times New Roman"/>
                <w:b/>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3,001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3,701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Minus: Cost of payment revenue (exclusive of depreciation and amortization)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2,123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Plus: Compensation to employees and related taxes allocated to payment revenue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Other Revenue </w:t>
            </w:r>
            <w:r>
              <w:rPr>
                <w:rFonts w:ascii="Times New Roman" w:hAnsi="Times New Roman"/>
                <w:b/>
                <w:i w:val="false"/>
                <w:color w:val="000000"/>
                <w:vertAlign w:val="superscript"/>
              </w:rPr>
              <w:t>(5)</w:t>
            </w:r>
            <w:r>
              <w:rPr>
                <w:rFonts w:ascii="Times New Roman" w:hAnsi="Times New Roman"/>
                <w:b/>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821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14.9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Minus: Cost of other revenue (exclusive of depreciation and amortization)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Plus: Compensation to employees and related taxes allocated to other revenue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4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626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693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2,379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2,529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38.2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1,556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1,982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Plus: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gain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Income from depositary </w:t>
            </w:r>
            <w:r>
              <w:rPr>
                <w:rFonts w:ascii="Times New Roman" w:hAnsi="Times New Roman"/>
                <w:b w:val="false"/>
                <w:i w:val="false"/>
                <w:color w:val="000000"/>
                <w:vertAlign w:val="superscript"/>
              </w:rPr>
              <w:t>(7)</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EBITDA</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1,520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1,340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 margin</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63.9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53.0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53.0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1,556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1,982</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Amortization of fair value adjustments </w:t>
            </w:r>
            <w:r>
              <w:rPr>
                <w:rFonts w:ascii="Times New Roman" w:hAnsi="Times New Roman"/>
                <w:b w:val="false"/>
                <w:i w:val="false"/>
                <w:color w:val="000000"/>
                <w:vertAlign w:val="superscript"/>
              </w:rPr>
              <w:t>(8)</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from depositary</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taxation of the above items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Foreign Exchange gain on June 2014 offering proceeds </w:t>
            </w:r>
            <w:r>
              <w:rPr>
                <w:rFonts w:ascii="Times New Roman" w:hAnsi="Times New Roman"/>
                <w:b w:val="false"/>
                <w:i w:val="false"/>
                <w:color w:val="000000"/>
                <w:vertAlign w:val="superscript"/>
              </w:rPr>
              <w:t>(9)</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1,163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1,133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Adjusted Net Profit per share: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21.37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21.05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18.74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28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Shares used in computing Adjusted Net Profit per share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54,442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60,373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55,248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60,467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60,467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69" w:after="269"/>
        <w:ind w:left="120"/>
        <w:jc w:val="left"/>
      </w:pPr>
    </w:p>
    <w:p>
      <w:r>
        <w:pict>
          <v:rect style="width:0;height:1.5pt" id="_x0000_i1025" o:hr="t" o:hrstd="t" o:hralign="center" stroked="f" fillcolor="#a0a0a0"/>
        </w:pict>
      </w:r>
    </w:p>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revenue primarily consists of the merchant and consumer fees charged for the payment transactions.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Cost of payment revenue (exclusive of depreciation and amortization) primarily consists of transaction costs to acquire payments from our customers payable to agents, mobile operators, international payment systems and other parties.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does not record the compensation to employees and related taxes within cost of revenue separately for payment revenue and other revenue, therefore it has been allocated between payment revenue and other revenue in proportion to the relevant revenue amounts for the purposes of the reconciliation presented above.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Other revenue is principally composed of revenue from inactivity fees, interest revenue and gain from currency swaps and overdrafts provided to agents, revenue from rent of space for kiosks and sale of kiosks, cash and settlement services and advertising.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Cost of other revenue (exclusive of depreciation and amortization) primarily consists of direct costs associated with other revenue and other costs, including but not limited to: compensation to employees and related taxes allocated to other revenue, costs of call-centers and advertising commissions.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Income from depositary is presented in the separate line in reconciliation tables for convenience purposes, while it is included in other income in financial statements.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Amortization of fair value adjustments includes the effect of the acquisition of control in Contact and Rapida.</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Net effect of foreign exchange gains and losses on June 2014 SPO funds as presented in the reconciliation of Net Profit to Adjusted Net Profit differs from the Foreign exchange loss/(gain), net in the reconciliation of Net Profit to Adjusted EBITDA as the latter includes all the foreign exchange losses/(gains) for the period, while the former only include the foreign exchange gain on the SPO US dollar denominated funds.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Reconciliation of IFRS to Non-IFRS Operating Results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color w:val="000000"/>
          <w:sz w:val="20"/>
        </w:rPr>
        <w:t>(in millions, except per share data)</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282"/>
        <w:gridCol w:w="733"/>
        <w:gridCol w:w="148"/>
        <w:gridCol w:w="1633"/>
        <w:gridCol w:w="290"/>
        <w:gridCol w:w="703"/>
        <w:gridCol w:w="148"/>
        <w:gridCol w:w="1633"/>
        <w:gridCol w:w="290"/>
        <w:gridCol w:w="703"/>
        <w:gridCol w:w="148"/>
        <w:gridCol w:w="1633"/>
        <w:gridCol w:w="290"/>
      </w:tblGrid>
      <w:tr>
        <w:trPr/>
        <w:tc>
          <w:tcPr>
            <w:tcW w:w="5282" w:type="dxa"/>
            <w:tcBorders/>
            <w:tcMar>
              <w:top w:w="15" w:type="dxa"/>
              <w:left w:w="15" w:type="dxa"/>
              <w:bottom w:w="15" w:type="dxa"/>
              <w:right w:w="15" w:type="dxa"/>
            </w:tcMar>
            <w:vAlign w:val="center"/>
          </w:tcPr>
          <w:p/>
        </w:tc>
        <w:tc>
          <w:tcPr>
            <w:tcW w:w="73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0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03" w:type="dxa"/>
            <w:tcBorders/>
            <w:tcMar>
              <w:top w:w="15" w:type="dxa"/>
              <w:left w:w="15" w:type="dxa"/>
              <w:bottom w:w="15" w:type="dxa"/>
              <w:right w:w="15" w:type="dxa"/>
            </w:tcMar>
            <w:vAlign w:val="bottom"/>
          </w:tcPr>
          <w:p/>
        </w:tc>
        <w:tc>
          <w:tcPr>
            <w:tcW w:w="148" w:type="dxa"/>
            <w:tcBorders/>
            <w:tcMar>
              <w:top w:w="15" w:type="dxa"/>
              <w:left w:w="15" w:type="dxa"/>
              <w:bottom w:w="15" w:type="dxa"/>
              <w:right w:w="15" w:type="dxa"/>
            </w:tcMar>
            <w:vAlign w:val="center"/>
          </w:tcPr>
          <w:p/>
        </w:tc>
        <w:tc>
          <w:tcPr>
            <w:tcW w:w="163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180"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Nine months ended</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8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10,570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12,859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194.1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Minus: Cost of revenue (exclusive of depreciation and amortization)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5,217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6,175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Plus: Compensation to employees and related taxes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6,368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7,569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114.3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Revenue </w:t>
            </w:r>
            <w:r>
              <w:rPr>
                <w:rFonts w:ascii="Times New Roman" w:hAnsi="Times New Roman"/>
                <w:b/>
                <w:i w:val="false"/>
                <w:color w:val="000000"/>
                <w:vertAlign w:val="superscript"/>
              </w:rPr>
              <w:t>(2)</w:t>
            </w:r>
            <w:r>
              <w:rPr>
                <w:rFonts w:ascii="Times New Roman" w:hAnsi="Times New Roman"/>
                <w:b/>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8,433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9,945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150.1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Minus: Cost of payment revenue (exclusive of depreciation and amortization) </w:t>
            </w:r>
            <w:r>
              <w:rPr>
                <w:rFonts w:ascii="Times New Roman" w:hAnsi="Times New Roman"/>
                <w:b w:val="false"/>
                <w:i w:val="false"/>
                <w:color w:val="000000"/>
                <w:vertAlign w:val="superscript"/>
              </w:rPr>
              <w:t>(3)</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5,077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Plus: Compensation to employees and related taxes allocated to payment revenue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4,677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5,551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Other Revenue </w:t>
            </w:r>
            <w:r>
              <w:rPr>
                <w:rFonts w:ascii="Times New Roman" w:hAnsi="Times New Roman"/>
                <w:b/>
                <w:i w:val="false"/>
                <w:color w:val="000000"/>
                <w:vertAlign w:val="superscript"/>
              </w:rPr>
              <w:t>(5)</w:t>
            </w:r>
            <w:r>
              <w:rPr>
                <w:rFonts w:ascii="Times New Roman" w:hAnsi="Times New Roman"/>
                <w:b/>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2,137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2,915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Minus: Cost of other revenue (exclusive of depreciation and amortization)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Plus: Compensation to employees and related taxes allocated to other revenue </w:t>
            </w:r>
            <w:r>
              <w:rPr>
                <w:rFonts w:ascii="Times New Roman" w:hAnsi="Times New Roman"/>
                <w:b w:val="false"/>
                <w:i w:val="false"/>
                <w:color w:val="000000"/>
                <w:vertAlign w:val="superscript"/>
              </w:rPr>
              <w:t>(4)</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2,018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4,677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5,551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2,089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4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Other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1,691</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2,018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30.5</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Total Adjusted Net Revenue</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6,368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7,569</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114.3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9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2,960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4,004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Plus: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Depreciation and amortization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468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income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gain</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(1,801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(27.2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Foreign exchange loss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492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915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 of loss of associates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Impairment of investment in associates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income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Interest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tax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738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Offering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Income from depositary </w:t>
            </w:r>
            <w:r>
              <w:rPr>
                <w:rFonts w:ascii="Times New Roman" w:hAnsi="Times New Roman"/>
                <w:b w:val="false"/>
                <w:i w:val="false"/>
                <w:color w:val="000000"/>
                <w:vertAlign w:val="superscript"/>
              </w:rPr>
              <w:t>(7)</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disposal of subsidiaries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EBITDA</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3,907</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4,424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66.8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val="false"/>
                <w:i/>
                <w:color w:val="000000"/>
                <w:sz w:val="20"/>
              </w:rPr>
              <w:t>Adjusted EBITDA margin</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61.3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58.4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val="false"/>
                <w:i/>
                <w:color w:val="000000"/>
                <w:sz w:val="20"/>
              </w:rPr>
              <w:t>58.4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color w:val="000000"/>
                <w:sz w:val="20"/>
              </w:rPr>
              <w:t>% </w:t>
            </w:r>
            <w:r>
              <w:rPr>
                <w:rFonts w:ascii="Times New Roman" w:hAnsi="Times New Roman"/>
                <w:b w:val="false"/>
                <w:i w:val="false"/>
                <w:color w:val="000000"/>
                <w:sz w:val="20"/>
              </w:rPr>
              <w:t xml:space="preserve"> </w:t>
            </w:r>
          </w:p>
        </w:tc>
      </w:tr>
      <w:tr>
        <w:trPr>
          <w:trHeight w:val="90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2,960</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4,004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60.4</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Amortization of fair value adjustments </w:t>
            </w:r>
            <w:r>
              <w:rPr>
                <w:rFonts w:ascii="Times New Roman" w:hAnsi="Times New Roman"/>
                <w:b w:val="false"/>
                <w:i w:val="false"/>
                <w:color w:val="000000"/>
                <w:vertAlign w:val="superscript"/>
              </w:rPr>
              <w:t>(8)</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Offering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Income from depositary</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Share-based payments expenses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Goodwill impairment</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Effect of taxation of the above items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(32</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Gain from disposal of subsidiaries</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Foreign Exchange gain on June 2014 offering proceeds </w:t>
            </w:r>
            <w:r>
              <w:rPr>
                <w:rFonts w:ascii="Times New Roman" w:hAnsi="Times New Roman"/>
                <w:b w:val="false"/>
                <w:i w:val="false"/>
                <w:color w:val="000000"/>
                <w:vertAlign w:val="superscript"/>
              </w:rPr>
              <w:t>(9)</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Adjusted Net Profit</w:t>
            </w:r>
            <w:r>
              <w:rPr>
                <w:rFonts w:ascii="Times New Roman" w:hAnsi="Times New Roman"/>
                <w:b w:val="false"/>
                <w:i w:val="false"/>
                <w:color w:val="000000"/>
                <w:sz w:val="20"/>
              </w:rPr>
              <w:t xml:space="preserve"> </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2,898</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3,283</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49.6</w:t>
            </w:r>
            <w:r>
              <w:rPr>
                <w:rFonts w:ascii="Times New Roman" w:hAnsi="Times New Roman"/>
                <w:b w:val="false"/>
                <w:i w:val="false"/>
                <w:color w:val="000000"/>
                <w:sz w:val="20"/>
              </w:rPr>
              <w:t xml:space="preserv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82" w:type="dxa"/>
            <w:tcBorders/>
            <w:tcMar>
              <w:top w:w="15" w:type="dxa"/>
              <w:left w:w="15" w:type="dxa"/>
              <w:bottom w:w="15" w:type="dxa"/>
              <w:right w:w="15" w:type="dxa"/>
            </w:tcMar>
            <w:vAlign w:val="bottom"/>
          </w:tcP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48"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33"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290"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Adjusted Net Profit per share: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57.65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53.83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57.46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0.87</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5282" w:type="dxa"/>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885"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Shares used in computing Adjusted Net Profit per share</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tc>
        <w:tc>
          <w:tcPr>
            <w:tcW w:w="1633" w:type="dxa"/>
            <w:tcBorders/>
            <w:tcMar>
              <w:top w:w="15" w:type="dxa"/>
              <w:left w:w="15" w:type="dxa"/>
              <w:bottom w:w="15" w:type="dxa"/>
              <w:right w:w="15" w:type="dxa"/>
            </w:tcMar>
            <w:vAlign w:val="bottom"/>
          </w:tcPr>
          <w:p/>
        </w:tc>
        <w:tc>
          <w:tcPr>
            <w:tcW w:w="290" w:type="dxa"/>
            <w:tcBorders/>
            <w:tcMar>
              <w:top w:w="15" w:type="dxa"/>
              <w:left w:w="15" w:type="dxa"/>
              <w:bottom w:w="15" w:type="dxa"/>
              <w:right w:w="15" w:type="dxa"/>
            </w:tcMar>
            <w:vAlign w:val="bottom"/>
          </w:tcP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Basic</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53,023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56,943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56,943</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82"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Diluted</w:t>
            </w:r>
          </w:p>
        </w:tc>
        <w:tc>
          <w:tcPr>
            <w:tcW w:w="73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53,841</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57,139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3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57,139</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ageBreakBefore/>
        <w:spacing w:before="269" w:after="269"/>
        <w:ind w:left="120"/>
        <w:jc w:val="left"/>
      </w:pPr>
    </w:p>
    <w:p>
      <w:r>
        <w:pict>
          <v:rect style="width:0;height:1.5pt" id="_x0000_i1025" o:hr="t" o:hrstd="t" o:hralign="center" stroked="f" fillcolor="#a0a0a0"/>
        </w:pict>
      </w:r>
    </w:p>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 revenue primarily consists of the merchant and consumer fees charged for the payment transactions.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Cost of payment revenue (exclusive of depreciation and amortization) primarily consists of transaction costs to acquire payments from our customers payable to agents, mobile operators, international payment systems and other parties.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The Company does not record the compensation to employees and related taxes within cost of revenue separately for payment revenue and other revenue, therefore it has been allocated between payment revenue and other revenue in proportion to the relevant revenue amounts for the purposes of the reconciliation presented above.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Other revenue is principally composed of revenue from inactivity fees, interest revenue and gain from currency swaps and overdrafts provided to agents, revenue from rent of space for kiosks and sale of kiosks, cash and settlement services and advertising.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Cost of other revenue (exclusive of depreciation and amortization) primarily consists of direct costs associated with other revenue and other costs, including but not limited to: compensation to employees and related taxes allocated to other revenue, costs of call-centers and advertising commissions.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(7)</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Income from depositary is presented in the separate line in reconciliation tables for convenience purposes, while it is included in other income in financial statements.</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2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(8)</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Amortization of fair value adjustments includes the effect of the acquisition of control in Contact and Rapida.</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(9)</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Net effect of foreign exchange gains and losses on June 2014 SPO funds as presented in the reconciliation of Net Profit to Adjusted Net Profit differs from the Foreign exchange loss/(gain), net in the reconciliation of Net Profit to Adjusted EBITDA as the latter includes all the foreign exchange losses/(gains) for the period, while the former only include the foreign exchange gain on the SPO US dollar denominated funds. </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Other Operating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296"/>
        <w:gridCol w:w="683"/>
        <w:gridCol w:w="127"/>
        <w:gridCol w:w="1654"/>
        <w:gridCol w:w="334"/>
        <w:gridCol w:w="655"/>
        <w:gridCol w:w="127"/>
        <w:gridCol w:w="1654"/>
        <w:gridCol w:w="334"/>
        <w:gridCol w:w="655"/>
        <w:gridCol w:w="127"/>
        <w:gridCol w:w="1654"/>
        <w:gridCol w:w="334"/>
      </w:tblGrid>
      <w:tr>
        <w:trPr/>
        <w:tc>
          <w:tcPr>
            <w:tcW w:w="5296" w:type="dxa"/>
            <w:tcBorders/>
            <w:tcMar>
              <w:top w:w="15" w:type="dxa"/>
              <w:left w:w="15" w:type="dxa"/>
              <w:bottom w:w="15" w:type="dxa"/>
              <w:right w:w="15" w:type="dxa"/>
            </w:tcMar>
            <w:vAlign w:val="center"/>
          </w:tcPr>
          <w:p/>
        </w:tc>
        <w:tc>
          <w:tcPr>
            <w:tcW w:w="683"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c>
          <w:tcPr>
            <w:tcW w:w="655"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c>
          <w:tcPr>
            <w:tcW w:w="655"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r>
      <w:tr>
        <w:trPr>
          <w:trHeight w:val="180"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Three months ended</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volume (billion) </w:t>
            </w:r>
            <w:r>
              <w:rPr>
                <w:rFonts w:ascii="Times New Roman" w:hAnsi="Times New Roman"/>
                <w:b/>
                <w:i w:val="false"/>
                <w:color w:val="000000"/>
                <w:vertAlign w:val="superscript"/>
              </w:rPr>
              <w:t>(2)(3)</w:t>
            </w:r>
            <w:r>
              <w:rPr>
                <w:rFonts w:ascii="Times New Roman" w:hAnsi="Times New Roman"/>
                <w:b/>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164.4</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270.5</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4.1</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34.0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adjusted net revenue (million) </w:t>
            </w:r>
            <w:r>
              <w:rPr>
                <w:rFonts w:ascii="Times New Roman" w:hAnsi="Times New Roman"/>
                <w:b/>
                <w:i w:val="false"/>
                <w:color w:val="000000"/>
                <w:vertAlign w:val="superscript"/>
              </w:rPr>
              <w:t>(4)</w:t>
            </w:r>
            <w:r>
              <w:rPr>
                <w:rFonts w:ascii="Times New Roman" w:hAnsi="Times New Roman"/>
                <w:b/>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1,753.3</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1,835.9</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27.7</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527.0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677.8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600.5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233.1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239.8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546.5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282.5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261.8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average net revenue yield</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1.07</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0.68</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0.68</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2.80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average Net Revenue Yield</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175,293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149,553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149,553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Qiwi Wallet accounts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volume by market verticals and consolidated payment volume consist of the amounts paid by our customers to merchants included in each of those market verticals less intra-group eliminations. The methodology of payment volumes allocation between different market verticals in QIWI’s international operations (including Kazakhstan) may differ from the methodology used by QIWI’s Russian operations. We therefore retain the right to restate the presented volumes, net revenues and net revenue yields data in case the methodology of QIWI’s international operations will be brought in conformity with the methodology of QIWI’s Russian operations.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volume by market verticals and consolidated payment volume consist of the amounts paid by our customers to merchants included in each of those market verticals less intra-group eliminations. The methodology of payment volumes allocation between different market verticals in Contact and Rapida may differ from the methodology used by QIWI. We therefore retain the right to restate the presented volumes, net revenues and net revenue yields data in case the methodology of Contact and Rapida will be brought in conformity with the methodology used by QIWI.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Adjusted Net Revenue is calculated as the difference between Payment Gross Revenue and Payment Costs. Payment Gross Revenue primarily consists of merchant and consumer fees. Payment Costs primarily consist of commission to agents.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Active Visa Qiwi Wallet accounts calculated on a yearly basis, i.e. an active account is an account that had at least one transaction within the last 12 months from the reporting date.</w:t>
            </w:r>
          </w:p>
        </w:tc>
      </w:tr>
    </w:tbl>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QIWI plc.</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Other Operating Data</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296"/>
        <w:gridCol w:w="683"/>
        <w:gridCol w:w="127"/>
        <w:gridCol w:w="1654"/>
        <w:gridCol w:w="334"/>
        <w:gridCol w:w="655"/>
        <w:gridCol w:w="127"/>
        <w:gridCol w:w="1654"/>
        <w:gridCol w:w="334"/>
        <w:gridCol w:w="655"/>
        <w:gridCol w:w="127"/>
        <w:gridCol w:w="1654"/>
        <w:gridCol w:w="334"/>
      </w:tblGrid>
      <w:tr>
        <w:trPr/>
        <w:tc>
          <w:tcPr>
            <w:tcW w:w="5296" w:type="dxa"/>
            <w:tcBorders/>
            <w:tcMar>
              <w:top w:w="15" w:type="dxa"/>
              <w:left w:w="15" w:type="dxa"/>
              <w:bottom w:w="15" w:type="dxa"/>
              <w:right w:w="15" w:type="dxa"/>
            </w:tcMar>
            <w:vAlign w:val="center"/>
          </w:tcPr>
          <w:p/>
        </w:tc>
        <w:tc>
          <w:tcPr>
            <w:tcW w:w="683"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c>
          <w:tcPr>
            <w:tcW w:w="655"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c>
          <w:tcPr>
            <w:tcW w:w="655" w:type="dxa"/>
            <w:tcBorders/>
            <w:tcMar>
              <w:top w:w="15" w:type="dxa"/>
              <w:left w:w="15" w:type="dxa"/>
              <w:bottom w:w="15" w:type="dxa"/>
              <w:right w:w="15" w:type="dxa"/>
            </w:tcMar>
            <w:vAlign w:val="bottom"/>
          </w:tcPr>
          <w:p/>
        </w:tc>
        <w:tc>
          <w:tcPr>
            <w:tcW w:w="127" w:type="dxa"/>
            <w:tcBorders/>
            <w:tcMar>
              <w:top w:w="15" w:type="dxa"/>
              <w:left w:w="15" w:type="dxa"/>
              <w:bottom w:w="15" w:type="dxa"/>
              <w:right w:w="15" w:type="dxa"/>
            </w:tcMar>
            <w:vAlign w:val="center"/>
          </w:tcPr>
          <w:p/>
        </w:tc>
        <w:tc>
          <w:tcPr>
            <w:tcW w:w="1654" w:type="dxa"/>
            <w:tcBorders/>
            <w:tcMar>
              <w:top w:w="15" w:type="dxa"/>
              <w:left w:w="15" w:type="dxa"/>
              <w:bottom w:w="15" w:type="dxa"/>
              <w:right w:w="15" w:type="dxa"/>
            </w:tcMar>
            <w:vAlign w:val="center"/>
          </w:tcPr>
          <w:p/>
        </w:tc>
        <w:tc>
          <w:tcPr>
            <w:tcW w:w="334" w:type="dxa"/>
            <w:tcBorders/>
            <w:tcMar>
              <w:top w:w="15" w:type="dxa"/>
              <w:left w:w="15" w:type="dxa"/>
              <w:bottom w:w="15" w:type="dxa"/>
              <w:right w:w="15" w:type="dxa"/>
            </w:tcMar>
            <w:vAlign w:val="center"/>
          </w:tcPr>
          <w:p/>
        </w:tc>
      </w:tr>
      <w:tr>
        <w:trPr>
          <w:trHeight w:val="180"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10"/>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Nine months ended</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2014</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September 30, 2015</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195" w:hRule="atLeast"/>
        </w:trPr>
        <w:tc>
          <w:tcPr>
            <w:tcW w:w="529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RUB</w:t>
            </w:r>
            <w:r>
              <w:rPr>
                <w:rFonts w:ascii="Times New Roman" w:hAnsi="Times New Roman"/>
                <w:b w:val="false"/>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USD </w:t>
            </w:r>
            <w:r>
              <w:rPr>
                <w:rFonts w:ascii="Times New Roman" w:hAnsi="Times New Roman"/>
                <w:b/>
                <w:i w:val="false"/>
                <w:color w:val="000000"/>
                <w:vertAlign w:val="superscript"/>
              </w:rPr>
              <w:t>(1)</w:t>
            </w:r>
            <w:r>
              <w:rPr>
                <w:rFonts w:ascii="Times New Roman" w:hAnsi="Times New Roman"/>
                <w:b/>
                <w:i w:val="false"/>
                <w:color w:val="000000"/>
                <w:sz w:val="16"/>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volume (billion) </w:t>
            </w:r>
            <w:r>
              <w:rPr>
                <w:rFonts w:ascii="Times New Roman" w:hAnsi="Times New Roman"/>
                <w:b/>
                <w:i w:val="false"/>
                <w:color w:val="000000"/>
                <w:vertAlign w:val="superscript"/>
              </w:rPr>
              <w:t>(2)(3)</w:t>
            </w:r>
            <w:r>
              <w:rPr>
                <w:rFonts w:ascii="Times New Roman" w:hAnsi="Times New Roman"/>
                <w:b/>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470.2</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633.2</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9.6</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45.1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185.8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195.7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 xml:space="preserve">Payment adjusted net revenue (million) </w:t>
            </w:r>
            <w:r>
              <w:rPr>
                <w:rFonts w:ascii="Times New Roman" w:hAnsi="Times New Roman"/>
                <w:b/>
                <w:i w:val="false"/>
                <w:color w:val="000000"/>
                <w:vertAlign w:val="superscript"/>
              </w:rPr>
              <w:t>(4)</w:t>
            </w:r>
            <w:r>
              <w:rPr>
                <w:rFonts w:ascii="Times New Roman" w:hAnsi="Times New Roman"/>
                <w:b/>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4,677.2</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5,551.4</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83.8</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1,357.6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2,089.0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31.5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1,444.2</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1,033.7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664.3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1,278.9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19.3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905.1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768.2</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305.9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381.7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75"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Payment average net revenue yield</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0.99</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0.88</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0.88</w:t>
            </w:r>
            <w:r>
              <w:rPr>
                <w:rFonts w:ascii="Times New Roman" w:hAnsi="Times New Roman"/>
                <w:b w:val="false"/>
                <w:i w:val="false"/>
                <w:color w:val="000000"/>
                <w:sz w:val="20"/>
              </w:rPr>
              <w:t xml:space="preserve"> </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 </w:t>
            </w:r>
            <w:r>
              <w:rPr>
                <w:rFonts w:ascii="Times New Roman" w:hAnsi="Times New Roman"/>
                <w:b w:val="false"/>
                <w:i w:val="false"/>
                <w:color w:val="000000"/>
                <w:sz w:val="20"/>
              </w:rPr>
              <w:t xml:space="preserve"> </w:t>
            </w:r>
          </w:p>
        </w:tc>
      </w:tr>
      <w:tr>
        <w:trPr>
          <w:trHeight w:val="6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single" w:color="000000" w:sz="8"/>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E-commerce</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Financial services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0.98</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0.61</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Money remittances</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Telecom</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0.49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Other</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0.79</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0.54</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90" w:hRule="atLeast"/>
        </w:trPr>
        <w:tc>
          <w:tcPr>
            <w:tcW w:w="5296" w:type="dxa"/>
            <w:tcBorders/>
            <w:tcMar>
              <w:top w:w="15" w:type="dxa"/>
              <w:left w:w="15" w:type="dxa"/>
              <w:bottom w:w="15" w:type="dxa"/>
              <w:right w:w="15" w:type="dxa"/>
            </w:tcMar>
            <w:vAlign w:val="bottom"/>
          </w:tcP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
              </w:rPr>
              <w:t> </w:t>
            </w:r>
          </w:p>
        </w:tc>
        <w:tc>
          <w:tcPr>
            <w:tcW w:w="127"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1654" w:type="dxa"/>
            <w:tcBorders/>
            <w:tcMar>
              <w:top w:w="15" w:type="dxa"/>
              <w:left w:w="15" w:type="dxa"/>
              <w:bottom w:w="15" w:type="dxa"/>
              <w:right w:w="15" w:type="dxa"/>
            </w:tcMar>
            <w:vAlign w:val="bottom"/>
          </w:tcPr>
          <w:p>
            <w:pPr>
              <w:pBdr>
                <w:top w:val="double" w:color="000000" w:sz="24"/>
              </w:pBdr>
              <w:spacing w:before="269" w:after="269"/>
              <w:ind w:left="120"/>
              <w:jc w:val="left"/>
            </w:pPr>
            <w:r>
              <w:rPr>
                <w:rFonts w:ascii="Times New Roman" w:hAnsi="Times New Roman"/>
                <w:b w:val="false"/>
                <w:i w:val="false"/>
                <w:color w:val="000000"/>
                <w:sz w:val="1"/>
              </w:rPr>
              <w:t> </w:t>
            </w:r>
          </w:p>
        </w:tc>
        <w:tc>
          <w:tcPr>
            <w:tcW w:w="334"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1"/>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Total average Net Revenue Yield</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1.20</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kiosks and terminals (units) </w:t>
            </w:r>
            <w:r>
              <w:rPr>
                <w:rFonts w:ascii="Times New Roman" w:hAnsi="Times New Roman"/>
                <w:b w:val="false"/>
                <w:i w:val="false"/>
                <w:color w:val="000000"/>
                <w:vertAlign w:val="superscript"/>
              </w:rPr>
              <w:t>(5)</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175,293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149,553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149,553</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660" w:hRule="atLeast"/>
        </w:trPr>
        <w:tc>
          <w:tcPr>
            <w:tcW w:w="5296" w:type="dxa"/>
            <w:tcBorders/>
            <w:tcMar>
              <w:top w:w="15" w:type="dxa"/>
              <w:left w:w="15" w:type="dxa"/>
              <w:bottom w:w="15" w:type="dxa"/>
              <w:right w:w="15" w:type="dxa"/>
            </w:tcMar>
            <w:vAlign w:val="top"/>
          </w:tcPr>
          <w:p>
            <w:pPr>
              <w:spacing w:before="269" w:after="269"/>
              <w:ind w:left="360"/>
              <w:jc w:val="left"/>
            </w:pPr>
            <w:r>
              <w:rPr>
                <w:rFonts w:ascii="Times New Roman" w:hAnsi="Times New Roman"/>
                <w:b w:val="false"/>
                <w:i w:val="false"/>
                <w:color w:val="000000"/>
                <w:sz w:val="20"/>
              </w:rPr>
              <w:t xml:space="preserve"> Active Qiwi Wallet accounts </w:t>
            </w:r>
            <w:r>
              <w:rPr>
                <w:rFonts w:ascii="Times New Roman" w:hAnsi="Times New Roman"/>
                <w:b w:val="false"/>
                <w:i w:val="false"/>
                <w:color w:val="000000"/>
                <w:vertAlign w:val="superscript"/>
              </w:rPr>
              <w:t>(6)</w:t>
            </w:r>
            <w:r>
              <w:rPr>
                <w:rFonts w:ascii="Times New Roman" w:hAnsi="Times New Roman"/>
                <w:b w:val="false"/>
                <w:i w:val="false"/>
                <w:color w:val="000000"/>
                <w:sz w:val="20"/>
              </w:rPr>
              <w:t xml:space="preserve"> </w:t>
            </w:r>
          </w:p>
        </w:tc>
        <w:tc>
          <w:tcPr>
            <w:tcW w:w="68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5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3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pBdr>
          <w:bottom w:val="single" w:color="000000" w:sz="8"/>
        </w:pBdr>
        <w:spacing w:before="0" w:after="40"/>
        <w:ind w:left="120"/>
        <w:jc w:val="left"/>
      </w:pPr>
      <w:r>
        <w:rPr>
          <w:rFonts w:ascii="Times New Roman" w:hAnsi="Times New Roman"/>
          <w:b w:val="false"/>
          <w:i w:val="false"/>
          <w:color w:val="000000"/>
          <w:sz w:val="22"/>
        </w:rPr>
        <w:t> </w:t>
      </w:r>
    </w:p>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Calculated using a ruble to U.S. dollar exchange rate of RUB 66.237 to U.S. $1.00, which the official exchange rate was quoted by the Central Bank of the Russian Federation as of September 30, 2015.</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3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(2)</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volume by market verticals and consolidated payment volume consist of the amounts paid by our customers to merchants included in each of those market verticals less intra-group eliminations. The methodology of payment volumes allocation between different market verticals in QIWI’s international operations (including Kazakhstan) may differ from the methodology used by QIWI’s Russian operations. We therefore retain the right to restate the presented volumes, net revenues and net revenue yields data in case the methodology of QIWI’s international operations will be brought in conformity with the methodology of QIWI’s Russian operations.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111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(3)</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volume by market verticals and consolidated payment volume consist of the amounts paid by our customers to merchants included in each of those market verticals less intra-group eliminations. The methodology of payment volumes allocation between different market verticals in Contact and Rapida may differ from the methodology used by QIWI. We therefore retain the right to restate the presented volumes, net revenues and net revenue yields data in case the methodology of Contact and Rapida will be brought in conformity with the methodology used by QIWI.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660"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(4)</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Payment Adjusted Net Revenue is calculated as the difference between Payment Gross Revenue and Payment Costs. Payment Gross Revenue primarily consists of merchant and consumer fees. Payment Costs primarily consist of commission to agents.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88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(5)</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amount of active kiosks and terminals for the last 30 days of the respective reporting period. </w:t>
            </w:r>
          </w:p>
        </w:tc>
      </w:tr>
    </w:tbl>
    <w:tbl>
      <w:tblPr>
        <w:tblW w:w="0" w:type="auto"/>
        <w:tblCellSpacing w:w="0" w:type="auto"/>
        <w:tblBorders>
          <w:top w:val="none"/>
          <w:left w:val="none"/>
          <w:bottom w:val="none"/>
          <w:right w:val="none"/>
          <w:insideH w:val="none"/>
          <w:insideV w:val="none"/>
        </w:tblBorders>
      </w:tblPr>
      <w:tblGrid>
        <w:gridCol w:w="545"/>
        <w:gridCol w:w="13089"/>
      </w:tblGrid>
      <w:tr>
        <w:trPr>
          <w:trHeight w:val="435" w:hRule="atLeast"/>
        </w:trPr>
        <w:tc>
          <w:tcPr>
            <w:tcW w:w="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(6)</w:t>
            </w:r>
          </w:p>
        </w:tc>
        <w:tc>
          <w:tcPr>
            <w:tcW w:w="130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Active Visa Qiwi Wallet accounts calculated on a yearly basis, i.e. an active account is an account that had at least one transaction within the last 12 months from the reporting date.</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jpe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