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1049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‘‘Yes’’ is marked, indicate below the file number assigned to the registrant in connection with Rule 12g3-2(b):</w:t>
      </w:r>
    </w:p>
    <w:p>
      <w:pPr>
        <w:pStyle w:val="Normal"/>
        <w:framePr w:w="2372" w:hAnchor="page" w:vAnchor="page" w:x="5232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70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1521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4215" w:hAnchor="page" w:vAnchor="page" w:x="4847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 Office 203</w:t>
      </w:r>
    </w:p>
    <w:p>
      <w:pPr>
        <w:pStyle w:val="Normal"/>
        <w:framePr w:w="264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409" w:hAnchor="page" w:vAnchor="page" w:x="5216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October 28, 2014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02.4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06.1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288" w:hAnchor="page" w:vAnchor="page" w:x="640" w:y="7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60" w:hAnchor="page" w:vAnchor="page" w:x="280" w:y="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99.1</w:t>
      </w:r>
    </w:p>
    <w:p>
      <w:pPr>
        <w:pStyle w:val="Normal"/>
        <w:framePr w:w="11813" w:hAnchor="page" w:vAnchor="page" w:x="986" w:y="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to Announce Third Quarter 2014 Financial Results on November 11, 2014” press release dated October 28, 2014</w:t>
      </w:r>
    </w:p>
    <w:p>
      <w:pPr>
        <w:pStyle w:val="Normal"/>
        <w:framePr w:w="109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9pt;z-index:-16777152;width:3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6705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587" w:hAnchor="page" w:vAnchor="page" w:x="630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494" w:hAnchor="page" w:vAnchor="page" w:x="28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October 28, 2014</w:t>
      </w:r>
    </w:p>
    <w:p>
      <w:pPr>
        <w:pStyle w:val="Normal"/>
        <w:framePr w:w="2507" w:hAnchor="page" w:vAnchor="page" w:x="6705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14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4.25pt;margin-top:106.85pt;z-index:-16777128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288" w:hAnchor="page" w:vAnchor="page" w:x="4379" w:y="89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" w:hAnchor="page" w:vAnchor="page" w:x="8237" w:y="89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08" w:hAnchor="page" w:vAnchor="page" w:x="280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508" w:hAnchor="page" w:vAnchor="page" w:x="4499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288" w:hAnchor="page" w:vAnchor="page" w:x="4379" w:y="86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" w:hAnchor="page" w:vAnchor="page" w:x="8237" w:y="86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76" w:hAnchor="page" w:vAnchor="page" w:x="280" w:y="85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+7 499 709 0192</w:t>
      </w:r>
    </w:p>
    <w:p>
      <w:pPr>
        <w:pStyle w:val="Normal"/>
        <w:framePr w:w="1876" w:hAnchor="page" w:vAnchor="page" w:x="4499" w:y="85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+7 499 709 0192</w:t>
      </w:r>
    </w:p>
    <w:p>
      <w:pPr>
        <w:pStyle w:val="Normal"/>
        <w:framePr w:w="288" w:hAnchor="page" w:vAnchor="page" w:x="4379" w:y="824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" w:hAnchor="page" w:vAnchor="page" w:x="8237" w:y="824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401" w:hAnchor="page" w:vAnchor="page" w:x="280" w:y="8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Investor Relations</w:t>
      </w:r>
    </w:p>
    <w:p>
      <w:pPr>
        <w:pStyle w:val="Normal"/>
        <w:framePr w:w="3380" w:hAnchor="page" w:vAnchor="page" w:x="280" w:y="79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Head of Corporate Development</w:t>
      </w:r>
    </w:p>
    <w:p>
      <w:pPr>
        <w:pStyle w:val="Normal"/>
        <w:framePr w:w="1994" w:hAnchor="page" w:vAnchor="page" w:x="4499" w:y="79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288" w:hAnchor="page" w:vAnchor="page" w:x="4379" w:y="76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" w:hAnchor="page" w:vAnchor="page" w:x="8237" w:y="76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50" w:hAnchor="page" w:vAnchor="page" w:x="280" w:y="75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Yakov Barinskiy</w:t>
      </w:r>
    </w:p>
    <w:p>
      <w:pPr>
        <w:pStyle w:val="Normal"/>
        <w:framePr w:w="1887" w:hAnchor="page" w:vAnchor="page" w:x="4499" w:y="75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Varvara Kiseleva</w:t>
      </w:r>
    </w:p>
    <w:p>
      <w:pPr>
        <w:pStyle w:val="Normal"/>
        <w:framePr w:w="1054" w:hAnchor="page" w:vAnchor="page" w:x="280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6865" w:hAnchor="page" w:vAnchor="page" w:x="280" w:y="65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services across physical or online environments interchangeably.</w:t>
      </w:r>
    </w:p>
    <w:p>
      <w:pPr>
        <w:pStyle w:val="Normal"/>
        <w:framePr w:w="13915" w:hAnchor="page" w:vAnchor="page" w:x="280" w:y="63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</w:t>
      </w:r>
    </w:p>
    <w:p>
      <w:pPr>
        <w:pStyle w:val="Normal"/>
        <w:framePr w:w="14163" w:hAnchor="page" w:vAnchor="page" w:x="280" w:y="61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50 billion cash and electronic payments monthly from over 70 million consumers using its</w:t>
      </w:r>
    </w:p>
    <w:p>
      <w:pPr>
        <w:pStyle w:val="Normal"/>
        <w:framePr w:w="13376" w:hAnchor="page" w:vAnchor="page" w:x="280" w:y="58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over 15.8 million virtual wallets, over 171,000 kiosks and</w:t>
      </w:r>
    </w:p>
    <w:p>
      <w:pPr>
        <w:pStyle w:val="Normal"/>
        <w:framePr w:w="13622" w:hAnchor="page" w:vAnchor="page" w:x="280" w:y="5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554" w:hAnchor="page" w:vAnchor="page" w:x="280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</w:t>
      </w:r>
    </w:p>
    <w:p>
      <w:pPr>
        <w:pStyle w:val="Normal"/>
        <w:framePr w:w="11487" w:hAnchor="page" w:vAnchor="page" w:x="280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website at https://www.qiwi.ru under the Corporate Investor Relations section or directly at http://investor.qiwi.com/.</w:t>
      </w:r>
    </w:p>
    <w:p>
      <w:pPr>
        <w:pStyle w:val="Normal"/>
        <w:framePr w:w="13672" w:hAnchor="page" w:vAnchor="page" w:x="280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pin number is 13594458. The replay will be available until Tuesday, November 18, 2014. The call will be webcast live from the Company’s</w:t>
      </w:r>
    </w:p>
    <w:p>
      <w:pPr>
        <w:pStyle w:val="Normal"/>
        <w:framePr w:w="14124" w:hAnchor="page" w:vAnchor="page" w:x="280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replay will be available at 11:30 a.m. ET and can be accessed by dialing +1 (877) 870-5176 or +1 (858) 384-5517 for international callers; the</w:t>
      </w:r>
    </w:p>
    <w:p>
      <w:pPr>
        <w:pStyle w:val="Normal"/>
        <w:framePr w:w="14046" w:hAnchor="page" w:vAnchor="page" w:x="280" w:y="39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conference call can be accessed live over the phone by dialing +1 (877) 407-3982 or for international callers by dialing +1 (201) 493-6780.</w:t>
      </w:r>
    </w:p>
    <w:p>
      <w:pPr>
        <w:pStyle w:val="Normal"/>
        <w:framePr w:w="10549" w:hAnchor="page" w:vAnchor="page" w:x="280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third quarter 2014 financial results will be issued before the market opens on Tuesday, November 11, 2014.</w:t>
      </w:r>
    </w:p>
    <w:p>
      <w:pPr>
        <w:pStyle w:val="Normal"/>
        <w:framePr w:w="14062" w:hAnchor="page" w:vAnchor="page" w:x="280" w:y="3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conference call and webcast on Tuesday, November 11, 2014 at 8:30 a.m. ET to review third quarter 2014 financial results. A press release with</w:t>
      </w:r>
    </w:p>
    <w:p>
      <w:pPr>
        <w:pStyle w:val="Normal"/>
        <w:framePr w:w="13488" w:hAnchor="page" w:vAnchor="page" w:x="280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MOSCOW, RUSSIA – October 28, 2014 – QIWI plc, (NASDAQ: QIWI) (“QIWI” or the “Company”) today announced that it will host a</w:t>
      </w:r>
    </w:p>
    <w:p>
      <w:pPr>
        <w:pStyle w:val="Normal"/>
        <w:framePr w:w="8466" w:hAnchor="page" w:vAnchor="page" w:x="2692" w:y="25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to Announce Third Quarter 2014 Financial Results on November 11, 2014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462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76.75pt;margin-top:27.5pt;z-index:-16777120;width:58.55pt;height:85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jpeg" Type="http://schemas.openxmlformats.org/officeDocument/2006/relationships/image"/><Relationship Id="rId25" Target="styles.xml" Type="http://schemas.openxmlformats.org/officeDocument/2006/relationships/styles"/><Relationship Id="rId26" Target="fontTable.xml" Type="http://schemas.openxmlformats.org/officeDocument/2006/relationships/fontTable"/><Relationship Id="rId27" Target="settings.xml" Type="http://schemas.openxmlformats.org/officeDocument/2006/relationships/settings"/><Relationship Id="rId28" Target="webSettings.xml" Type="http://schemas.openxmlformats.org/officeDocument/2006/relationships/webSettings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488</Words>
  <Characters>2587</Characters>
  <Application>e-iceblue</Application>
  <DocSecurity>0</DocSecurity>
  <Lines>65</Lines>
  <Paragraphs>65</Paragraphs>
  <ScaleCrop>false</ScaleCrop>
  <Company>e-iceblue</Company>
  <LinksUpToDate>false</LinksUpToDate>
  <CharactersWithSpaces>3065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2021-11-30T20:38:07Z</dcterms:created>
  <dc:creator>root</dc:creator>
  <cp:lastModifiedBy>root</cp:lastModifiedBy>
  <dcterms:modified xsi:type="dcterms:W3CDTF">2021-11-30T20:38:07Z</dcterms:modified>
  <cp:revision>1</cp:revision>
</cp:coreProperties>
</file>