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367" w:hAnchor="page" w:vAnchor="page" w:x="280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 PROSPECTUS CONTAINED IN SUCH REGISTRATION STATEMENTS.</w:t>
      </w:r>
    </w:p>
    <w:p>
      <w:pPr>
        <w:pStyle w:val="Normal"/>
        <w:framePr w:w="13246" w:hAnchor="page" w:vAnchor="page" w:x="280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REGISTRATION STATEMENTS ON FORM S-8 (FILE NO. 333-190918; FILE NO. 333-212441) OF QIWI PLC AND IN THE</w:t>
      </w:r>
    </w:p>
    <w:p>
      <w:pPr>
        <w:pStyle w:val="Normal"/>
        <w:framePr w:w="13791" w:hAnchor="page" w:vAnchor="page" w:x="280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"ADJUSTED NET PROFIT PER SHARE", EXHIBIT 99.1 TO THIS REPORT ON FORM 6-K IS INCORPORATED BY REFERENCE IN</w:t>
      </w:r>
    </w:p>
    <w:p>
      <w:pPr>
        <w:pStyle w:val="Normal"/>
        <w:framePr w:w="13518" w:hAnchor="page" w:vAnchor="page" w:x="280" w:y="9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 NET REVENUE YIELD", "ADJUSTED EBITDA", "ADJUSTED EBITDA MARGIN", "ADJUSTED NET PROFIT", AND</w:t>
      </w:r>
    </w:p>
    <w:p>
      <w:pPr>
        <w:pStyle w:val="Normal"/>
        <w:framePr w:w="14183" w:hAnchor="page" w:vAnchor="page" w:x="280" w:y="95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"PS OTHER REVENUE", "PS OTHER ADJUSTED NET REVENUE", "PAYMENT AVERAGE ADJUSTED NET REVENUE YIELD", "CFS</w:t>
      </w:r>
    </w:p>
    <w:p>
      <w:pPr>
        <w:pStyle w:val="Normal"/>
        <w:framePr w:w="14080" w:hAnchor="page" w:vAnchor="page" w:x="280" w:y="9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FOR REFERENCES TO "TOTAL NET REVENUE", "PS PAYMENT REVENUE", "PS PAYMENT ADJUSTED NET REVENUE",</w:t>
      </w:r>
    </w:p>
    <w:p>
      <w:pPr>
        <w:pStyle w:val="Normal"/>
        <w:framePr w:w="10938" w:hAnchor="page" w:vAnchor="page" w:x="280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''Yes'' is marked, indicate below the file number assigned to the registrant in connection with Rule 12g3-2(b):</w:t>
      </w:r>
    </w:p>
    <w:p>
      <w:pPr>
        <w:pStyle w:val="Normal"/>
        <w:framePr w:w="1952" w:hAnchor="page" w:vAnchor="page" w:x="5407" w:y="83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No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377" w:hAnchor="page" w:vAnchor="page" w:x="4813" w:y="71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Form 40-F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992" w:hAnchor="page" w:vAnchor="page" w:x="4557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Address of principal executive offices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</w:t>
      </w:r>
    </w:p>
    <w:p>
      <w:pPr>
        <w:pStyle w:val="Normal"/>
        <w:framePr w:w="2267" w:hAnchor="page" w:vAnchor="page" w:x="5275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4921" w:hAnchor="page" w:vAnchor="page" w:x="4170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29" w:hAnchor="page" w:vAnchor="page" w:x="529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1566" w:hAnchor="page" w:vAnchor="page" w:x="5548" w:y="4279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QIWI plc</w:t>
      </w:r>
    </w:p>
    <w:p>
      <w:pPr>
        <w:pStyle w:val="Normal"/>
        <w:framePr w:w="2263" w:hAnchor="page" w:vAnchor="page" w:x="5277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March 23, 2022</w:t>
      </w:r>
    </w:p>
    <w:p>
      <w:pPr>
        <w:pStyle w:val="Normal"/>
        <w:framePr w:w="5603" w:hAnchor="page" w:vAnchor="page" w:x="388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THE SECURITIES EXCHANGE ACT OF 1934</w:t>
      </w:r>
    </w:p>
    <w:p>
      <w:pPr>
        <w:pStyle w:val="Normal"/>
        <w:framePr w:w="4684" w:hAnchor="page" w:vAnchor="page" w:x="4268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PURSUANT TO RULE 13A-16 OR 15D-16</w:t>
      </w:r>
    </w:p>
    <w:p>
      <w:pPr>
        <w:pStyle w:val="Normal"/>
        <w:framePr w:w="3967" w:hAnchor="page" w:vAnchor="page" w:x="4567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REPORT OF A FOREIGN ISSUER</w:t>
      </w:r>
    </w:p>
    <w:p>
      <w:pPr>
        <w:pStyle w:val="Normal"/>
        <w:framePr w:w="1420" w:hAnchor="page" w:vAnchor="page" w:x="5628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FORM 6-K</w:t>
      </w:r>
    </w:p>
    <w:p>
      <w:pPr>
        <w:pStyle w:val="Normal"/>
        <w:framePr w:w="2715" w:hAnchor="page" w:vAnchor="page" w:x="5089" w:y="10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5410" w:hAnchor="page" w:vAnchor="page" w:x="3966" w:y="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22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2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32.2pt;margin-top:79.8pt;z-index:-16777200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32.2pt;margin-top:195.4pt;z-index:-16777196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32.2pt;margin-top:316.25pt;z-index:-16777192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51.9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54.2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94.7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660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99.1</w:t>
      </w:r>
    </w:p>
    <w:p>
      <w:pPr>
        <w:pStyle w:val="Normal"/>
        <w:framePr w:w="9028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“QIWI Announces Changes to The Board of Directors” press release dated March 23, 2022</w:t>
      </w:r>
    </w:p>
    <w:p>
      <w:pPr>
        <w:pStyle w:val="Normal"/>
        <w:framePr w:w="1094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115.1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52.8pt;z-index:-16777168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76.8pt;z-index:-16777164;width: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49.05pt;margin-top:76.8pt;z-index:-16777160;width:36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p>
      <w:pPr>
        <w:pStyle w:val="Normal"/>
        <w:framePr w:w="2476" w:hAnchor="page" w:vAnchor="page" w:x="660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347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March 23, 2022</w:t>
      </w:r>
    </w:p>
    <w:p>
      <w:pPr>
        <w:pStyle w:val="Normal"/>
        <w:framePr w:w="3186" w:hAnchor="page" w:vAnchor="page" w:x="6135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 /s/ Alexey Mashchenkov</w:t>
      </w:r>
    </w:p>
    <w:p>
      <w:pPr>
        <w:pStyle w:val="Normal"/>
        <w:framePr w:w="2507" w:hAnchor="page" w:vAnchor="page" w:x="613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714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undersigned, thereunto duly authorized.</w:t>
      </w:r>
    </w:p>
    <w:p>
      <w:pPr>
        <w:pStyle w:val="Normal"/>
        <w:framePr w:w="13296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</w:t>
      </w:r>
    </w:p>
    <w:p>
      <w:pPr>
        <w:pStyle w:val="Normal"/>
        <w:framePr w:w="1783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pt;margin-top:1pt;z-index:-16777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329pt;margin-top:139.1pt;z-index:-16777152;width:26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87.9pt;z-index:-167771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1508" w:hAnchor="page" w:vAnchor="page" w:x="280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054" w:hAnchor="page" w:vAnchor="page" w:x="280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4695" w:hAnchor="page" w:vAnchor="page" w:x="280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more information, visit investor.qiwi.com.</w:t>
      </w:r>
    </w:p>
    <w:p>
      <w:pPr>
        <w:pStyle w:val="Normal"/>
        <w:framePr w:w="6368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traded on the NASDAQ and Moscow Exchange (ticker: QIWI).</w:t>
      </w:r>
    </w:p>
    <w:p>
      <w:pPr>
        <w:pStyle w:val="Normal"/>
        <w:framePr w:w="14100" w:hAnchor="page" w:vAnchor="page" w:x="280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FY 2020 QIWI had revenue of RUB 40.6 billion and an Adjusted EBITDA of RUB 13.8 billion. QIWI's American depositary shares are</w:t>
      </w:r>
    </w:p>
    <w:p>
      <w:pPr>
        <w:pStyle w:val="Normal"/>
        <w:framePr w:w="11916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needs. Our ROWI brand serves businesses with digital factoring, bank guarantees and other financial solutions for SMEs.</w:t>
      </w:r>
    </w:p>
    <w:p>
      <w:pPr>
        <w:pStyle w:val="Normal"/>
        <w:framePr w:w="13716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well as employ QIWI’s open API infrastructure and highly customizable, sophisticated payment solutions to serve their business or personal</w:t>
      </w:r>
    </w:p>
    <w:p>
      <w:pPr>
        <w:pStyle w:val="Normal"/>
        <w:framePr w:w="14126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electronic payment methods in order to pay for goods and services or transfer money across virtual or physical environments interchangeably, as</w:t>
      </w:r>
    </w:p>
    <w:p>
      <w:pPr>
        <w:pStyle w:val="Normal"/>
        <w:framePr w:w="13282" w:hAnchor="page" w:vAnchor="page" w:x="280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 185 countries via over 670 thousand service points. Our customers and partners can use cash, stored value, prepaid cards and other</w:t>
      </w:r>
    </w:p>
    <w:p>
      <w:pPr>
        <w:pStyle w:val="Normal"/>
        <w:framePr w:w="14208" w:hAnchor="page" w:vAnchor="page" w:x="280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RUB 148 billion of cash and electronic payments monthly. Company’s money remittance payment platform connects businesses and people from</w:t>
      </w:r>
    </w:p>
    <w:p>
      <w:pPr>
        <w:pStyle w:val="Normal"/>
        <w:framePr w:w="13802" w:hAnchor="page" w:vAnchor="page" w:x="280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 for retail customers and B2B partners. Our network allows over 27 million of customers and partners to accept and transfer</w:t>
      </w:r>
    </w:p>
    <w:p>
      <w:pPr>
        <w:pStyle w:val="Normal"/>
        <w:framePr w:w="13868" w:hAnchor="page" w:vAnchor="page" w:x="28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has an integrated proprietary network that enables payment services across online, mobile and physical channels and provides access to</w:t>
      </w:r>
    </w:p>
    <w:p>
      <w:pPr>
        <w:pStyle w:val="Normal"/>
        <w:framePr w:w="12602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products for SME, Flocktory services in marketing automation and advertising technologies, and several other startups.</w:t>
      </w:r>
    </w:p>
    <w:p>
      <w:pPr>
        <w:pStyle w:val="Normal"/>
        <w:framePr w:w="13695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directions: QIWI payment and financial services ecosystem for merchants and B2C clients across digital use-cases, ROWI digital structured</w:t>
      </w:r>
    </w:p>
    <w:p>
      <w:pPr>
        <w:pStyle w:val="Normal"/>
        <w:framePr w:w="14251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cutting-edge payment and financial services in Russia and the CIS. We offer a wide range of products under several</w:t>
      </w:r>
    </w:p>
    <w:p>
      <w:pPr>
        <w:pStyle w:val="Normal"/>
        <w:framePr w:w="11022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clients providing unique financial and technological solutions to make the impossible accessible and simple.</w:t>
      </w:r>
    </w:p>
    <w:p>
      <w:pPr>
        <w:pStyle w:val="Normal"/>
        <w:framePr w:w="13969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over 20 years we stood at the fore point of fintech innovations to facilitate and secure digitalization of payments. Our mission is to connect</w:t>
      </w:r>
    </w:p>
    <w:p>
      <w:pPr>
        <w:pStyle w:val="Normal"/>
        <w:framePr w:w="1981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12115" w:hAnchor="page" w:vAnchor="page" w:x="280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of Directors I would like to thank Nadiya for her valuable contribution and wisdom she has shared over these years.”</w:t>
      </w:r>
    </w:p>
    <w:p>
      <w:pPr>
        <w:pStyle w:val="Normal"/>
        <w:framePr w:w="13864" w:hAnchor="page" w:vAnchor="page" w:x="280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Solonin, the Chairman of the Board of Directors, commented: “Nadiya played an important role in developing QIWI. On behalf of the</w:t>
      </w:r>
    </w:p>
    <w:p>
      <w:pPr>
        <w:pStyle w:val="Normal"/>
        <w:framePr w:w="8862" w:hAnchor="page" w:vAnchor="page" w:x="280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 remain vacant for the time being. We will announce new appointments in due course.</w:t>
      </w:r>
    </w:p>
    <w:p>
      <w:pPr>
        <w:pStyle w:val="Normal"/>
        <w:framePr w:w="14016" w:hAnchor="page" w:vAnchor="page" w:x="2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Ms. Nadiya Cherkasova has served as our non-executive director and a member of the Compensation Committee since June 2018. The position</w:t>
      </w:r>
    </w:p>
    <w:p>
      <w:pPr>
        <w:pStyle w:val="Normal"/>
        <w:framePr w:w="4456" w:hAnchor="page" w:vAnchor="page" w:x="280" w:y="35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Directors, with effect from 21 March, 2022.</w:t>
      </w:r>
    </w:p>
    <w:p>
      <w:pPr>
        <w:pStyle w:val="Normal"/>
        <w:framePr w:w="14176" w:hAnchor="page" w:vAnchor="page" w:x="28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edge payment and financial services in Russia and the CIS, today announced that Nadiya Cherkasova has resigned from the Company’s Board of</w:t>
      </w:r>
    </w:p>
    <w:p>
      <w:pPr>
        <w:pStyle w:val="Normal"/>
        <w:framePr w:w="14016" w:hAnchor="page" w:vAnchor="page" w:x="28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March 23, 2022 – QIWI plc (NASDAQ and MOEX: QIWI) (“QIWI” or the “Company”), a leading provider of cutting-</w:t>
      </w:r>
    </w:p>
    <w:p>
      <w:pPr>
        <w:pStyle w:val="Normal"/>
        <w:framePr w:w="5685" w:hAnchor="page" w:vAnchor="page" w:x="3851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Changes to The Board of Directors</w:t>
      </w:r>
    </w:p>
    <w:p>
      <w:pPr>
        <w:pStyle w:val="Normal"/>
        <w:framePr w:w="1481" w:hAnchor="page" w:vAnchor="page" w:x="10926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648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622.5pt;z-index:-167771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5.7pt;margin-top:38.05pt;z-index:-16777136;width:160.65pt;height:9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4.45pt;margin-top:524.2pt;z-index:-16777132;width:7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584.25pt;z-index:-16777128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520054c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jpe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styles.xml" Type="http://schemas.openxmlformats.org/officeDocument/2006/relationships/styles"/><Relationship Id="rId24" Target="fontTable.xml" Type="http://schemas.openxmlformats.org/officeDocument/2006/relationships/fontTable"/><Relationship Id="rId25" Target="settings.xml" Type="http://schemas.openxmlformats.org/officeDocument/2006/relationships/settings"/><Relationship Id="rId26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709</Words>
  <Characters>3882</Characters>
  <Application>e-iceblue</Application>
  <DocSecurity>0</DocSecurity>
  <Lines>63</Lines>
  <Paragraphs>63</Paragraphs>
  <ScaleCrop>false</ScaleCrop>
  <Company>e-iceblue</Company>
  <LinksUpToDate>false</LinksUpToDate>
  <CharactersWithSpaces>4542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2022-03-23T14:37:13Z</dcterms:created>
  <dc:creator>root</dc:creator>
  <cp:lastModifiedBy>root</cp:lastModifiedBy>
  <dcterms:modified xsi:type="dcterms:W3CDTF">2022-03-23T14:37:13Z</dcterms:modified>
  <cp:revision>1</cp:revision>
</cp:coreProperties>
</file>