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367" w:hAnchor="page" w:vAnchor="page" w:x="280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 PROSPECTUS CONTAINED IN SUCH REGISTRATION STATEMENTS.</w:t>
      </w:r>
    </w:p>
    <w:p>
      <w:pPr>
        <w:pStyle w:val="Normal"/>
        <w:framePr w:w="13246" w:hAnchor="page" w:vAnchor="page" w:x="280" w:y="9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REGISTRATION STATEMENTS ON FORM S-8 (FILE NO. 333-190918; FILE NO. 333-212441) OF QIWI PLC AND IN THE</w:t>
      </w:r>
    </w:p>
    <w:p>
      <w:pPr>
        <w:pStyle w:val="Normal"/>
        <w:framePr w:w="13791" w:hAnchor="page" w:vAnchor="page" w:x="280" w:y="95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"ADJUSTED NET PROFIT PER SHARE", EXHIBIT 99.1 TO THIS REPORT ON FORM 6-K IS INCORPORATED BY REFERENCE IN</w:t>
      </w:r>
    </w:p>
    <w:p>
      <w:pPr>
        <w:pStyle w:val="Normal"/>
        <w:framePr w:w="13513" w:hAnchor="page" w:vAnchor="page" w:x="280" w:y="9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 NET REVENUE YIELD", "ADJUSTED EBITDA", "ADJUSTED EBITDA MARGIN", "ADJUSTED NET PROFIT", AND</w:t>
      </w:r>
    </w:p>
    <w:p>
      <w:pPr>
        <w:pStyle w:val="Normal"/>
        <w:framePr w:w="14183" w:hAnchor="page" w:vAnchor="page" w:x="280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"PS OTHER REVENUE", "PS OTHER ADJUSTED NET REVENUE", "PAYMENT AVERAGE ADJUSTED NET REVENUE YIELD", "CFS</w:t>
      </w:r>
    </w:p>
    <w:p>
      <w:pPr>
        <w:pStyle w:val="Normal"/>
        <w:framePr w:w="14085" w:hAnchor="page" w:vAnchor="page" w:x="280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FOR REFERENCES TO "TOTAL NET REVENUE", "PS PAYMENT REVENUE", "PS PAYMENT ADJUSTED NET REVENUE",</w:t>
      </w:r>
    </w:p>
    <w:p>
      <w:pPr>
        <w:pStyle w:val="Normal"/>
        <w:framePr w:w="10938" w:hAnchor="page" w:vAnchor="page" w:x="280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''Yes'' is marked, indicate below the file number assigned to the registrant in connection with Rule 12g3-2(b):</w:t>
      </w:r>
    </w:p>
    <w:p>
      <w:pPr>
        <w:pStyle w:val="Normal"/>
        <w:framePr w:w="2192" w:hAnchor="page" w:vAnchor="page" w:x="5307" w:y="78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248" w:hAnchor="page" w:vAnchor="page" w:x="280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66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Form 40-F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992" w:hAnchor="page" w:vAnchor="page" w:x="4557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Address of principal executive offices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</w:t>
      </w:r>
    </w:p>
    <w:p>
      <w:pPr>
        <w:pStyle w:val="Normal"/>
        <w:framePr w:w="2267" w:hAnchor="page" w:vAnchor="page" w:x="5275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4921" w:hAnchor="page" w:vAnchor="page" w:x="417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29" w:hAnchor="page" w:vAnchor="page" w:x="529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1566" w:hAnchor="page" w:vAnchor="page" w:x="5548" w:y="3919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QIWI plc</w:t>
      </w:r>
    </w:p>
    <w:p>
      <w:pPr>
        <w:pStyle w:val="Normal"/>
        <w:framePr w:w="2107" w:hAnchor="page" w:vAnchor="page" w:x="5342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April 29, 2022</w:t>
      </w:r>
    </w:p>
    <w:p>
      <w:pPr>
        <w:pStyle w:val="Normal"/>
        <w:framePr w:w="5603" w:hAnchor="page" w:vAnchor="page" w:x="3885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THE SECURITIES EXCHANGE ACT OF 1934</w:t>
      </w:r>
    </w:p>
    <w:p>
      <w:pPr>
        <w:pStyle w:val="Normal"/>
        <w:framePr w:w="4684" w:hAnchor="page" w:vAnchor="page" w:x="4268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PURSUANT TO RULE 13A-16 OR 15D-16</w:t>
      </w:r>
    </w:p>
    <w:p>
      <w:pPr>
        <w:pStyle w:val="Normal"/>
        <w:framePr w:w="3967" w:hAnchor="page" w:vAnchor="page" w:x="4567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REPORT OF A FOREIGN ISSUER</w:t>
      </w:r>
    </w:p>
    <w:p>
      <w:pPr>
        <w:pStyle w:val="Normal"/>
        <w:framePr w:w="1420" w:hAnchor="page" w:vAnchor="page" w:x="5628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FORM 6-K</w:t>
      </w:r>
    </w:p>
    <w:p>
      <w:pPr>
        <w:pStyle w:val="Normal"/>
        <w:framePr w:w="2715" w:hAnchor="page" w:vAnchor="page" w:x="5089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5410" w:hAnchor="page" w:vAnchor="page" w:x="396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19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22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32.2pt;margin-top:70.8pt;z-index:-16777200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32.2pt;margin-top:180.4pt;z-index:-16777196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32.2pt;margin-top:295.25pt;z-index:-16777192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24.9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27.2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64.7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660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99.1</w:t>
      </w:r>
    </w:p>
    <w:p>
      <w:pPr>
        <w:pStyle w:val="Normal"/>
        <w:framePr w:w="8941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“QIWI Confirms Receipt of Notification From Nasdaq” press release dated April 29, 2022</w:t>
      </w:r>
    </w:p>
    <w:p>
      <w:pPr>
        <w:pStyle w:val="Normal"/>
        <w:framePr w:w="1094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115.1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52.8pt;z-index:-16777168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76.8pt;z-index:-16777164;width: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49.05pt;margin-top:76.8pt;z-index:-16777160;width:36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p>
      <w:pPr>
        <w:pStyle w:val="Normal"/>
        <w:framePr w:w="2476" w:hAnchor="page" w:vAnchor="page" w:x="64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7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April 29, 2022</w:t>
      </w:r>
    </w:p>
    <w:p>
      <w:pPr>
        <w:pStyle w:val="Normal"/>
        <w:framePr w:w="3042" w:hAnchor="page" w:vAnchor="page" w:x="6135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/s/ Alexey Mashchenkov</w:t>
      </w:r>
    </w:p>
    <w:p>
      <w:pPr>
        <w:pStyle w:val="Normal"/>
        <w:framePr w:w="2507" w:hAnchor="page" w:vAnchor="page" w:x="613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714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undersigned, thereunto duly authorized.</w:t>
      </w:r>
    </w:p>
    <w:p>
      <w:pPr>
        <w:pStyle w:val="Normal"/>
        <w:framePr w:w="13296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</w:t>
      </w:r>
    </w:p>
    <w:p>
      <w:pPr>
        <w:pStyle w:val="Normal"/>
        <w:framePr w:w="1783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pt;margin-top:1pt;z-index:-16777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323pt;margin-top:139.1pt;z-index:-16777152;width:27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87.9pt;z-index:-167771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1508" w:hAnchor="page" w:vAnchor="page" w:x="280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122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054" w:hAnchor="page" w:vAnchor="page" w:x="280" w:y="119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4695" w:hAnchor="page" w:vAnchor="page" w:x="280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more information, visit investor.qiwi.com.</w:t>
      </w:r>
    </w:p>
    <w:p>
      <w:pPr>
        <w:pStyle w:val="Normal"/>
        <w:framePr w:w="6368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traded on the NASDAQ and Moscow Exchange (ticker: QIWI).</w:t>
      </w:r>
    </w:p>
    <w:p>
      <w:pPr>
        <w:pStyle w:val="Normal"/>
        <w:framePr w:w="14244" w:hAnchor="page" w:vAnchor="page" w:x="280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FY 2020 QIWI had revenue of RUB 40.6 billion and an Adjusted EBITDA of RUB 13.8 billion. QIWI's American depositary shares are</w:t>
      </w:r>
    </w:p>
    <w:p>
      <w:pPr>
        <w:pStyle w:val="Normal"/>
        <w:framePr w:w="8849" w:hAnchor="page" w:vAnchor="page" w:x="280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businesses with digital factoring, bank guarantees and other financial solutions for SMEs.</w:t>
      </w:r>
    </w:p>
    <w:p>
      <w:pPr>
        <w:pStyle w:val="Normal"/>
        <w:framePr w:w="14255" w:hAnchor="page" w:vAnchor="page" w:x="280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infrastructure  and  highly  customizable,  sophisticated  payment  solutions  to  serve  their  business  or  personal  needs.  Our  ROWI  brand  serves</w:t>
      </w:r>
    </w:p>
    <w:p>
      <w:pPr>
        <w:pStyle w:val="Normal"/>
        <w:framePr w:w="14251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 for goods and services or transfer money across virtual or physical environments interchangeably, as well as employ QIWI’s open API</w:t>
      </w:r>
    </w:p>
    <w:p>
      <w:pPr>
        <w:pStyle w:val="Normal"/>
        <w:framePr w:w="14248" w:hAnchor="page" w:vAnchor="page" w:x="280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points across the globe. Our customers and partners can use cash, stored value, prepaid cards and other electronic payment methods in order to</w:t>
      </w:r>
    </w:p>
    <w:p>
      <w:pPr>
        <w:pStyle w:val="Normal"/>
        <w:framePr w:w="14252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 through our network. The Company’s money remittance payment platform connects businesses and people via thousands of service</w:t>
      </w:r>
    </w:p>
    <w:p>
      <w:pPr>
        <w:pStyle w:val="Normal"/>
        <w:framePr w:w="14238" w:hAnchor="page" w:vAnchor="page" w:x="280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 services  for  retail  customers  and  B2B  partners.  Millions  of  consumers  and  partners  may  receive  and  transmit  cash  and  electronic</w:t>
      </w:r>
    </w:p>
    <w:p>
      <w:pPr>
        <w:pStyle w:val="Normal"/>
        <w:framePr w:w="14246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has an integrated proprietary network that enables payment services across online, mobile and physical channels and provides access to</w:t>
      </w:r>
    </w:p>
    <w:p>
      <w:pPr>
        <w:pStyle w:val="Normal"/>
        <w:framePr w:w="12602" w:hAnchor="page" w:vAnchor="page" w:x="280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products for SME, Flocktory services in marketing automation and advertising technologies, and several other startups.</w:t>
      </w:r>
    </w:p>
    <w:p>
      <w:pPr>
        <w:pStyle w:val="Normal"/>
        <w:framePr w:w="14254" w:hAnchor="page" w:vAnchor="page" w:x="280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directions: QIWI payment and financial services ecosystem for merchants and B2C clients across digital use-cases, ROWI digital structured</w:t>
      </w:r>
    </w:p>
    <w:p>
      <w:pPr>
        <w:pStyle w:val="Normal"/>
        <w:framePr w:w="14251" w:hAnchor="page" w:vAnchor="page" w:x="280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cutting-edge payment and financial services in Russia and the CIS. We offer a wide range of products under several</w:t>
      </w:r>
    </w:p>
    <w:p>
      <w:pPr>
        <w:pStyle w:val="Normal"/>
        <w:framePr w:w="11022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clients providing unique financial and technological solutions to make the impossible accessible and simple.</w:t>
      </w:r>
    </w:p>
    <w:p>
      <w:pPr>
        <w:pStyle w:val="Normal"/>
        <w:framePr w:w="14240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over 20 years we stood at the fore point of fintech innovations to facilitate and secure digitalization of payments. Our mission is to connect</w:t>
      </w:r>
    </w:p>
    <w:p>
      <w:pPr>
        <w:pStyle w:val="Normal"/>
        <w:framePr w:w="1981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4634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announce the new appointment in due course.</w:t>
      </w:r>
    </w:p>
    <w:p>
      <w:pPr>
        <w:pStyle w:val="Normal"/>
        <w:framePr w:w="14249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Audit Committee within the stated cure period. If we fail do so, the Company could become subject to delisting by Nasdaq. We will</w:t>
      </w:r>
    </w:p>
    <w:p>
      <w:pPr>
        <w:pStyle w:val="Normal"/>
        <w:framePr w:w="14249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has conducted a search for a qualified replacement for Ms. Titova and expects to appoint a third independent director to the Board and</w:t>
      </w:r>
    </w:p>
    <w:p>
      <w:pPr>
        <w:pStyle w:val="Normal"/>
        <w:framePr w:w="1974" w:hAnchor="page" w:vAnchor="page" w:x="1001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17, 2022.</w:t>
      </w:r>
    </w:p>
    <w:p>
      <w:pPr>
        <w:pStyle w:val="Normal"/>
        <w:framePr w:w="350" w:hAnchor="page" w:vAnchor="page" w:x="640" w:y="5258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SymbolMT" w:hAnsi="SymbolMT" w:fareast="SymbolMT" w:cs="SymbolMT"/>
          <w:color w:val="000000"/>
          <w:w w:val="100"/>
          <w:sz w:val="20"/>
          <w:szCs w:val="20"/>
        </w:rPr>
      </w:pPr>
      <w:r>
        <w:rPr>
          <w:rFonts w:ascii="SymbolMT" w:hAnsi="SymbolMT" w:fareast="SymbolMT" w:cs="SymbolMT"/>
          <w:color w:val="000000"/>
          <w:w w:val="100"/>
          <w:sz w:val="20"/>
          <w:szCs w:val="20"/>
        </w:rPr>
        <w:t></w:t>
      </w:r>
    </w:p>
    <w:p>
      <w:pPr>
        <w:pStyle w:val="Normal"/>
        <w:framePr w:w="13389" w:hAnchor="page" w:vAnchor="page" w:x="1001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if the next annual shareholders’ meeting is held before October 17, 2022, then the Company must evidence compliance no later than</w:t>
      </w:r>
    </w:p>
    <w:p>
      <w:pPr>
        <w:pStyle w:val="Normal"/>
        <w:framePr w:w="350" w:hAnchor="page" w:vAnchor="page" w:x="640" w:y="5018"/>
        <w:widowControl w:val="off"/>
        <w:autoSpaceDE w:val="off"/>
        <w:autoSpaceDN w:val="off"/>
        <w:spacing w:before="0" w:after="0" w:line="245" w:lineRule="exact"/>
        <w:ind w:left="0" w:right="0" w:first-line="0"/>
        <w:jc w:val="left"/>
        <w:rPr>
          <w:rFonts w:ascii="SymbolMT" w:hAnsi="SymbolMT" w:fareast="SymbolMT" w:cs="SymbolMT"/>
          <w:color w:val="000000"/>
          <w:w w:val="100"/>
          <w:sz w:val="20"/>
          <w:szCs w:val="20"/>
        </w:rPr>
      </w:pPr>
      <w:r>
        <w:rPr>
          <w:rFonts w:ascii="SymbolMT" w:hAnsi="SymbolMT" w:fareast="SymbolMT" w:cs="SymbolMT"/>
          <w:color w:val="000000"/>
          <w:w w:val="100"/>
          <w:sz w:val="20"/>
          <w:szCs w:val="20"/>
        </w:rPr>
        <w:t></w:t>
      </w:r>
    </w:p>
    <w:p>
      <w:pPr>
        <w:pStyle w:val="Normal"/>
        <w:framePr w:w="8562" w:hAnchor="page" w:vAnchor="page" w:x="1001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until the earlier of the Company’s next annual shareholders’ meeting or April 20, 2023</w:t>
      </w:r>
    </w:p>
    <w:p>
      <w:pPr>
        <w:pStyle w:val="Normal"/>
        <w:framePr w:w="11089" w:hAnchor="page" w:vAnchor="page" w:x="28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April 28, 2022, in which the Company was provided with a cure period in order to regain compliance as follows:</w:t>
      </w:r>
    </w:p>
    <w:p>
      <w:pPr>
        <w:pStyle w:val="Normal"/>
        <w:framePr w:w="14244" w:hAnchor="page" w:vAnchor="page" w:x="280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have an audit committee comprised of at least three independent directors. The Company has received a Nasdaq Staff Notification letter dated</w:t>
      </w:r>
    </w:p>
    <w:p>
      <w:pPr>
        <w:pStyle w:val="Normal"/>
        <w:framePr w:w="14247" w:hAnchor="page" w:vAnchor="page" w:x="2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whom are independent. As a result, the Company is not compliant with the Rule 5605(c)(2) of the Nasdaq Rules, which requires a company to</w:t>
      </w:r>
    </w:p>
    <w:p>
      <w:pPr>
        <w:pStyle w:val="Normal"/>
        <w:framePr w:w="14255" w:hAnchor="page" w:vAnchor="page" w:x="280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such resignation of Ms. Elena Titova from the committees of QIWI, the Audit Committee currently consists of two members, both of</w:t>
      </w:r>
    </w:p>
    <w:p>
      <w:pPr>
        <w:pStyle w:val="Normal"/>
        <w:framePr w:w="7443" w:hAnchor="page" w:vAnchor="page" w:x="28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audit committee (the “Audit Committee”), effective April 20, 2022</w:t>
      </w:r>
    </w:p>
    <w:p>
      <w:pPr>
        <w:pStyle w:val="Normal"/>
        <w:framePr w:w="14249" w:hAnchor="page" w:vAnchor="page" w:x="28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Listing Rule 5605, as a result of Ms. Elena Titova’s resignation from QIWI’s board of directors (the “Board”) and QIWI’s committees, including</w:t>
      </w:r>
    </w:p>
    <w:p>
      <w:pPr>
        <w:pStyle w:val="Normal"/>
        <w:framePr w:w="14251" w:hAnchor="page" w:vAnchor="page" w:x="280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Nasdaq Stock Market ("Nasdaq") that QIWI no longer complies with Nasdaq’s audit committee requirement as set forth in the Nasdaq</w:t>
      </w:r>
    </w:p>
    <w:p>
      <w:pPr>
        <w:pStyle w:val="Normal"/>
        <w:framePr w:w="14242" w:hAnchor="page" w:vAnchor="page" w:x="280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edge payment and financial services in Russia and the CIS, today confirms receipt of notification from the Listing Qualifications Department of</w:t>
      </w:r>
    </w:p>
    <w:p>
      <w:pPr>
        <w:pStyle w:val="Normal"/>
        <w:framePr w:w="14239" w:hAnchor="page" w:vAnchor="page" w:x="28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April 29, 2022 – QIWI plc (NASDAQ and MOEX: QIWI) (“QIWI” or the “Company”), a leading provider of cutting-</w:t>
      </w:r>
    </w:p>
    <w:p>
      <w:pPr>
        <w:pStyle w:val="Normal"/>
        <w:framePr w:w="5718" w:hAnchor="page" w:vAnchor="page" w:x="3838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Confirms Receipt of Notification From Nasdaq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70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682.55pt;z-index:-167771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44.45pt;margin-top:26pt;z-index:-16777136;width:120.1pt;height:5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4.45pt;margin-top:584.25pt;z-index:-16777132;width:7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644.3pt;z-index:-16777128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520054c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caef09bc-0000-0000-0000-000000000000}"/>
  </w:font>
  <w:font w:name="SymbolMT">
    <w:panose-1>"05050102010706020507"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17b42c6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jpe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styles.xml" Type="http://schemas.openxmlformats.org/officeDocument/2006/relationships/styles"/><Relationship Id="rId24" Target="fontTable.xml" Type="http://schemas.openxmlformats.org/officeDocument/2006/relationships/fontTable"/><Relationship Id="rId25" Target="settings.xml" Type="http://schemas.openxmlformats.org/officeDocument/2006/relationships/settings"/><Relationship Id="rId26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850</Words>
  <Characters>4627</Characters>
  <Application>e-iceblue</Application>
  <DocSecurity>0</DocSecurity>
  <Lines>73</Lines>
  <Paragraphs>73</Paragraphs>
  <ScaleCrop>false</ScaleCrop>
  <Company>e-iceblue</Company>
  <LinksUpToDate>false</LinksUpToDate>
  <CharactersWithSpaces>5462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2022-04-29T15:14:12Z</dcterms:created>
  <dc:creator>root</dc:creator>
  <cp:lastModifiedBy>root</cp:lastModifiedBy>
  <dcterms:modified xsi:type="dcterms:W3CDTF">2022-04-29T15:14:12Z</dcterms:modified>
  <cp:revision>1</cp:revision>
</cp:coreProperties>
</file>