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0643" w:hAnchor="page" w:vAnchor="page" w:x="276" w:y="79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‘‘Yes’’ is marked, indicate below the file number assigned to the registrant in connection with Rule 12g3-2(b):</w:t>
      </w:r>
    </w:p>
    <w:p>
      <w:pPr>
        <w:pStyle w:val="Normal"/>
        <w:framePr w:w="9552" w:hAnchor="page" w:vAnchor="page" w:x="276" w:y="744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Commission pursuant to Rule 12g3-2(b) under the Securities Exchange Act of 1934. Yes 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No 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☒</w:t>
      </w:r>
    </w:p>
    <w:p>
      <w:pPr>
        <w:pStyle w:val="Normal"/>
        <w:framePr w:w="13875" w:hAnchor="page" w:vAnchor="page" w:x="276" w:y="72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Indicate by check mark whether the registrant by furnishing the information contained in this Form is also thereby furnishing the information to the</w:t>
      </w:r>
    </w:p>
    <w:p>
      <w:pPr>
        <w:pStyle w:val="Normal"/>
        <w:framePr w:w="14008" w:hAnchor="page" w:vAnchor="page" w:x="276" w:y="67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Indicate by check mark whether the registrant files or will file annual reports under cover of Form 20-F or Form 40-F. Form 20-F 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☒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Form 40-F 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3239" w:hAnchor="page" w:vAnchor="page" w:x="4903" w:y="594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(Address of principal executive offices)</w:t>
      </w:r>
    </w:p>
    <w:p>
      <w:pPr>
        <w:pStyle w:val="Normal"/>
        <w:framePr w:w="2606" w:hAnchor="page" w:vAnchor="page" w:x="5332" w:y="57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1087 Nicosia Cyprus</w:t>
      </w:r>
    </w:p>
    <w:p>
      <w:pPr>
        <w:pStyle w:val="Normal"/>
        <w:framePr w:w="1462" w:hAnchor="page" w:vAnchor="page" w:x="4212" w:y="54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Kennedy</w:t>
      </w:r>
    </w:p>
    <w:p>
      <w:pPr>
        <w:pStyle w:val="Normal"/>
        <w:framePr w:w="4058" w:hAnchor="page" w:vAnchor="page" w:x="4952" w:y="54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 Business Centre, 2nd Floor, Office 203</w:t>
      </w:r>
    </w:p>
    <w:p>
      <w:pPr>
        <w:pStyle w:val="Normal"/>
        <w:framePr w:w="2544" w:hAnchor="page" w:vAnchor="page" w:x="5358" w:y="52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12-14 Kennedy Ave.</w:t>
      </w:r>
    </w:p>
    <w:p>
      <w:pPr>
        <w:pStyle w:val="Normal"/>
        <w:framePr w:w="2586" w:hAnchor="page" w:vAnchor="page" w:x="5233" w:y="4503"/>
        <w:widowControl w:val="off"/>
        <w:autoSpaceDE w:val="off"/>
        <w:autoSpaceDN w:val="off"/>
        <w:spacing w:before="0" w:after="0" w:line="5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6"/>
          <w:szCs w:val="4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6"/>
          <w:szCs w:val="46"/>
        </w:rPr>
        <w:t>QIWI plc</w:t>
      </w:r>
    </w:p>
    <w:p>
      <w:pPr>
        <w:pStyle w:val="Normal"/>
        <w:framePr w:w="1989" w:hAnchor="page" w:vAnchor="page" w:x="5444" w:y="36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For June 08, 2021</w:t>
      </w:r>
    </w:p>
    <w:p>
      <w:pPr>
        <w:pStyle w:val="Normal"/>
        <w:framePr w:w="5940" w:hAnchor="page" w:vAnchor="page" w:x="3593" w:y="314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OF THE SECURITIES EXCHANGE ACT OF 1934</w:t>
      </w:r>
    </w:p>
    <w:p>
      <w:pPr>
        <w:pStyle w:val="Normal"/>
        <w:framePr w:w="4965" w:hAnchor="page" w:vAnchor="page" w:x="4036" w:y="288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PURSUANT TO RULE 13A-16 OR 15D-16</w:t>
      </w:r>
    </w:p>
    <w:p>
      <w:pPr>
        <w:pStyle w:val="Normal"/>
        <w:framePr w:w="4191" w:hAnchor="page" w:vAnchor="page" w:x="4381" w:y="262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REPORT OF A FOREIGN ISSUER</w:t>
      </w:r>
    </w:p>
    <w:p>
      <w:pPr>
        <w:pStyle w:val="Normal"/>
        <w:framePr w:w="2262" w:hAnchor="page" w:vAnchor="page" w:x="5325" w:y="1611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FORM 6-K</w:t>
      </w:r>
    </w:p>
    <w:p>
      <w:pPr>
        <w:pStyle w:val="Normal"/>
        <w:framePr w:w="2877" w:hAnchor="page" w:vAnchor="page" w:x="4985" w:y="71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Washington, D.C. 20549</w:t>
      </w:r>
    </w:p>
    <w:p>
      <w:pPr>
        <w:pStyle w:val="Normal"/>
        <w:framePr w:w="8608" w:hAnchor="page" w:vAnchor="page" w:x="2440" w:y="324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2.8pt;margin-top:7.5pt;z-index:-16777208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2.8pt;margin-top:11.15pt;z-index:-16777204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5.7pt;margin-top:67.55pt;z-index:-16777200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5.7pt;margin-top:118.15pt;z-index:-16777196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5.7pt;margin-top:211.5pt;z-index:-16777192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5.7pt;margin-top:324.3pt;z-index:-16777188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12.8pt;margin-top:418.35pt;z-index:-16777184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2.8pt;margin-top:421.95pt;z-index:-16777180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</w:p>
    <w:p>
      <w:pPr>
        <w:pStyle w:val="Normal"/>
        <w:framePr w:w="778" w:hAnchor="page" w:vAnchor="page" w:x="276" w:y="6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99.1  </w:t>
      </w:r>
    </w:p>
    <w:p>
      <w:pPr>
        <w:pStyle w:val="Normal"/>
        <w:framePr w:w="7297" w:hAnchor="page" w:vAnchor="page" w:x="985" w:y="6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  <w:t>“QIWI Appoints Chief Executive Officer” press release dated June 08, 2021</w:t>
      </w:r>
    </w:p>
    <w:p>
      <w:pPr>
        <w:pStyle w:val="Normal"/>
        <w:framePr w:w="1051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7pt;margin-top:1pt;z-index:-1677717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2.8pt;margin-top:1pt;z-index:-1677717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2.8pt;margin-top:2.45pt;z-index:-1677716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597.95pt;margin-top:1pt;z-index:-1677716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2.8pt;margin-top:1pt;z-index:-1677716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2.8pt;margin-top:18.35pt;z-index:-16777156;width:36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48.25pt;margin-top:42.95pt;z-index:-16777152;width:296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3121" w:hAnchor="page" w:vAnchor="page" w:x="6771" w:y="23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Interim Chief Financial Officer</w:t>
      </w:r>
    </w:p>
    <w:p>
      <w:pPr>
        <w:pStyle w:val="Normal"/>
        <w:framePr w:w="1725" w:hAnchor="page" w:vAnchor="page" w:x="6771" w:y="21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Elena Nikonova</w:t>
      </w:r>
    </w:p>
    <w:p>
      <w:pPr>
        <w:pStyle w:val="Normal"/>
        <w:framePr w:w="2079" w:hAnchor="page" w:vAnchor="page" w:x="276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Date: June 08, 2021</w:t>
      </w:r>
    </w:p>
    <w:p>
      <w:pPr>
        <w:pStyle w:val="Normal"/>
        <w:framePr w:w="2557" w:hAnchor="page" w:vAnchor="page" w:x="6308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By:    /s/ Elena Nikonova</w:t>
      </w:r>
    </w:p>
    <w:p>
      <w:pPr>
        <w:pStyle w:val="Normal"/>
        <w:framePr w:w="2413" w:hAnchor="page" w:vAnchor="page" w:x="6308" w:y="1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QIWI PLC (Registrant)</w:t>
      </w:r>
    </w:p>
    <w:p>
      <w:pPr>
        <w:pStyle w:val="Normal"/>
        <w:framePr w:w="3910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undersigned, thereunto duly authorized.</w:t>
      </w:r>
    </w:p>
    <w:p>
      <w:pPr>
        <w:pStyle w:val="Normal"/>
        <w:framePr w:w="13438" w:hAnchor="page" w:vAnchor="page" w:x="748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Pursuant to the requirements of the Securities Exchange Act of 1934, the registrant has duly caused this report to be signed on its behalf by the</w:t>
      </w:r>
    </w:p>
    <w:p>
      <w:pPr>
        <w:pStyle w:val="Normal"/>
        <w:framePr w:w="1715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2.8pt;margin-top:1pt;z-index:-1677714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2.8pt;margin-top:2.45pt;z-index:-1677714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97.95pt;margin-top:1pt;z-index:-1677713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2.8pt;margin-top:1pt;z-index:-1677713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37.55pt;margin-top:103pt;z-index:-16777128;width:26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p>
      <w:pPr>
        <w:pStyle w:val="Normal"/>
        <w:framePr w:w="1450" w:hAnchor="page" w:vAnchor="page" w:x="276" w:y="113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ir@qiwi.com</w:t>
      </w:r>
    </w:p>
    <w:p>
      <w:pPr>
        <w:pStyle w:val="Normal"/>
        <w:framePr w:w="1689" w:hAnchor="page" w:vAnchor="page" w:x="276" w:y="111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+357.25028091</w:t>
      </w:r>
    </w:p>
    <w:p>
      <w:pPr>
        <w:pStyle w:val="Normal"/>
        <w:framePr w:w="1918" w:hAnchor="page" w:vAnchor="page" w:x="276" w:y="108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Investor Relations</w:t>
      </w:r>
    </w:p>
    <w:p>
      <w:pPr>
        <w:pStyle w:val="Normal"/>
        <w:framePr w:w="1012" w:hAnchor="page" w:vAnchor="page" w:x="276" w:y="105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Contact</w:t>
      </w:r>
    </w:p>
    <w:p>
      <w:pPr>
        <w:pStyle w:val="Normal"/>
        <w:framePr w:w="9278" w:hAnchor="page" w:vAnchor="page" w:x="276" w:y="99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goods and services or transfer money across virtual or physical environments interchangeably.</w:t>
      </w:r>
    </w:p>
    <w:p>
      <w:pPr>
        <w:pStyle w:val="Normal"/>
        <w:framePr w:w="14196" w:hAnchor="page" w:vAnchor="page" w:x="276" w:y="97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consumers using its network at least once a month. QIWI’s consumers can use cash, stored value and other electronic payment methods in order to pay</w:t>
      </w:r>
    </w:p>
    <w:p>
      <w:pPr>
        <w:pStyle w:val="Normal"/>
        <w:framePr w:w="13618" w:hAnchor="page" w:vAnchor="page" w:x="276" w:y="95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enabled merchants and customers to accept and transfer over RUB 128 billion cash and electronic payments monthly connecting over 29 million</w:t>
      </w:r>
    </w:p>
    <w:p>
      <w:pPr>
        <w:pStyle w:val="Normal"/>
        <w:framePr w:w="14255" w:hAnchor="page" w:vAnchor="page" w:x="276" w:y="92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services across online, mobile and physical channels. It has deployed over 16.6 million virtual wallets, over 106,000 kiosks and terminals, and</w:t>
      </w:r>
    </w:p>
    <w:p>
      <w:pPr>
        <w:pStyle w:val="Normal"/>
        <w:framePr w:w="14382" w:hAnchor="page" w:vAnchor="page" w:x="276" w:y="90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QIWI is a leading provider of next generation payment and financial services in Russia and the CIS. It has an integrated proprietary network that enables</w:t>
      </w:r>
    </w:p>
    <w:p>
      <w:pPr>
        <w:pStyle w:val="Normal"/>
        <w:framePr w:w="1906" w:hAnchor="page" w:vAnchor="page" w:x="276" w:y="86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About QIWI plc.</w:t>
      </w:r>
    </w:p>
    <w:p>
      <w:pPr>
        <w:pStyle w:val="Normal"/>
        <w:framePr w:w="9665" w:hAnchor="page" w:vAnchor="page" w:x="276" w:y="81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provide the best career experience to our employees and deliver additional value to our shareholders.”</w:t>
      </w:r>
    </w:p>
    <w:p>
      <w:pPr>
        <w:pStyle w:val="Normal"/>
        <w:framePr w:w="13696" w:hAnchor="page" w:vAnchor="page" w:x="276" w:y="78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at the payment market aiming to serve our clients with the most convenient digital solutions. Together, we will capture new growth opportunities,</w:t>
      </w:r>
    </w:p>
    <w:p>
      <w:pPr>
        <w:pStyle w:val="Normal"/>
        <w:framePr w:w="14352" w:hAnchor="page" w:vAnchor="page" w:x="276" w:y="76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exceptional senior leadership team, along with Sergei, as our Chairman, and our entire Board of Directors. QIWI unites the team of most talented people</w:t>
      </w:r>
    </w:p>
    <w:p>
      <w:pPr>
        <w:pStyle w:val="Normal"/>
        <w:framePr w:w="13438" w:hAnchor="page" w:vAnchor="page" w:x="276" w:y="74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“I am truly honored to lead QIWI as the Chief Executive Officer," said Mr. Protopopov. "I look forward to continuing to work closely with our</w:t>
      </w:r>
    </w:p>
    <w:p>
      <w:pPr>
        <w:pStyle w:val="Normal"/>
        <w:framePr w:w="13617" w:hAnchor="page" w:vAnchor="page" w:x="276" w:y="69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operational CEO experience, leadership skills, and technology industry expertise required to elevate QIWI to the next level,” added Mr. Solonin.</w:t>
      </w:r>
    </w:p>
    <w:p>
      <w:pPr>
        <w:pStyle w:val="Normal"/>
        <w:framePr w:w="13470" w:hAnchor="page" w:vAnchor="page" w:x="276" w:y="67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commented Mr. Sergey Solonin, QIWI’s Chairman of the Board of Directors. “Moreover, I truly believe that Andrey possesses the right mix of</w:t>
      </w:r>
    </w:p>
    <w:p>
      <w:pPr>
        <w:pStyle w:val="Normal"/>
        <w:framePr w:w="14331" w:hAnchor="page" w:vAnchor="page" w:x="276" w:y="64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continued success. His appointment comes after a thorough and careful succession planning process, spearheaded by the Board and Boris Kim himself,”</w:t>
      </w:r>
    </w:p>
    <w:p>
      <w:pPr>
        <w:pStyle w:val="Normal"/>
        <w:framePr w:w="13959" w:hAnchor="page" w:vAnchor="page" w:x="276" w:y="62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will take it in. As a founder and long-running ex-CEO of QIWI myself, I am confident that Andrey has the drive and the vision to position QIWI for</w:t>
      </w:r>
    </w:p>
    <w:p>
      <w:pPr>
        <w:pStyle w:val="Normal"/>
        <w:framePr w:w="14342" w:hAnchor="page" w:vAnchor="page" w:x="276" w:y="60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“Andrey has done a tremendous job during his eight years with the Company. I am inspired to see him at the helm of our Company and the directions he</w:t>
      </w:r>
    </w:p>
    <w:p>
      <w:pPr>
        <w:pStyle w:val="Normal"/>
        <w:framePr w:w="10201" w:hAnchor="page" w:vAnchor="page" w:x="276" w:y="55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Mr. Protopopov graduated from Novosibirsk State University in 2004 with a Master degree in mathematics.</w:t>
      </w:r>
    </w:p>
    <w:p>
      <w:pPr>
        <w:pStyle w:val="Normal"/>
        <w:framePr w:w="1481" w:hAnchor="page" w:vAnchor="page" w:x="276" w:y="51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development.</w:t>
      </w:r>
    </w:p>
    <w:p>
      <w:pPr>
        <w:pStyle w:val="Normal"/>
        <w:framePr w:w="13715" w:hAnchor="page" w:vAnchor="page" w:x="276" w:y="48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QIWI, Mr. Protopopov worked at Procter &amp; Gamble for 12 years, holding numerous positions in market strategy and planning as well as business</w:t>
      </w:r>
    </w:p>
    <w:p>
      <w:pPr>
        <w:pStyle w:val="Normal"/>
        <w:framePr w:w="14048" w:hAnchor="page" w:vAnchor="page" w:x="276" w:y="46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Management from September 2013 to June 2015. Mr. Protopopov has over 12 years of commercial and product managing experience. Before joining</w:t>
      </w:r>
    </w:p>
    <w:p>
      <w:pPr>
        <w:pStyle w:val="Normal"/>
        <w:framePr w:w="13782" w:hAnchor="page" w:vAnchor="page" w:x="276" w:y="44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Officer of Payment Services Segment, Mr. Protopopov has served as Head of IT and Product from June 2015 to August 2019 and Head of Product</w:t>
      </w:r>
    </w:p>
    <w:p>
      <w:pPr>
        <w:pStyle w:val="Normal"/>
        <w:framePr w:w="14290" w:hAnchor="page" w:vAnchor="page" w:x="276" w:y="41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Mr. Protopopov has long played a vital role at QIWI, in particular, its product development function. Prior to his current position as the Chief Executive</w:t>
      </w:r>
    </w:p>
    <w:p>
      <w:pPr>
        <w:pStyle w:val="Normal"/>
        <w:framePr w:w="12658" w:hAnchor="page" w:vAnchor="page" w:x="276" w:y="37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Executive Officer effective June 2, 2021. As Chief Executive Officer, Mr. Protopopov will take over the responsibilities of Boris Kim.</w:t>
      </w:r>
    </w:p>
    <w:p>
      <w:pPr>
        <w:pStyle w:val="Normal"/>
        <w:framePr w:w="13939" w:hAnchor="page" w:vAnchor="page" w:x="276" w:y="34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provider of next generation payment and financial services in Russia and the CIS, today announced the appointment of Andrey Protopopov as Chief</w:t>
      </w:r>
    </w:p>
    <w:p>
      <w:pPr>
        <w:pStyle w:val="Normal"/>
        <w:framePr w:w="13740" w:hAnchor="page" w:vAnchor="page" w:x="276" w:y="32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NICOSIA, Cyprus, June 8, 2021 (GLOBE NEWSWIRE) -- QIWI plc (NASDAQ: QIWI) (MOEX: QIWI) (“QIWI” or the “Company”), a leading</w:t>
      </w:r>
    </w:p>
    <w:p>
      <w:pPr>
        <w:pStyle w:val="Normal"/>
        <w:framePr w:w="4161" w:hAnchor="page" w:vAnchor="page" w:x="4539" w:y="27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QIWI Appoints Chief Executive Officer</w:t>
      </w:r>
    </w:p>
    <w:p>
      <w:pPr>
        <w:pStyle w:val="Normal"/>
        <w:framePr w:w="1424" w:hAnchor="page" w:vAnchor="page" w:x="11084" w:y="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pt;margin-top:1pt;z-index:-16777124;width:598pt;height:5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1.5pt;margin-top:26.6pt;z-index:-16777120;width:154.8pt;height:89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</w:p>
    <w:sectPr>
      <w:pgSz w:w="12240" w:h="20160"/>
      <w:pgMar w:top="400" w:right="400" w:bottom="400" w:left="400" w:header="720" w:footer="720"/>
      <w:pgNumType w:start="4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e00ae22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jpeg" Type="http://schemas.openxmlformats.org/officeDocument/2006/relationships/image"/><Relationship Id="rId25" Target="styles.xml" Type="http://schemas.openxmlformats.org/officeDocument/2006/relationships/styles"/><Relationship Id="rId26" Target="fontTable.xml" Type="http://schemas.openxmlformats.org/officeDocument/2006/relationships/fontTable"/><Relationship Id="rId27" Target="settings.xml" Type="http://schemas.openxmlformats.org/officeDocument/2006/relationships/settings"/><Relationship Id="rId28" Target="webSettings.xml" Type="http://schemas.openxmlformats.org/officeDocument/2006/relationships/webSettings"/><Relationship Id="rId3" Target="media/image3.png" Type="http://schemas.openxmlformats.org/officeDocument/2006/relationships/image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4</Pages>
  <Words>695</Words>
  <Characters>3700</Characters>
  <Application>e-iceblue</Application>
  <DocSecurity>0</DocSecurity>
  <Lines>58</Lines>
  <Paragraphs>58</Paragraphs>
  <ScaleCrop>false</ScaleCrop>
  <Company>e-iceblue</Company>
  <LinksUpToDate>false</LinksUpToDate>
  <CharactersWithSpaces>4351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2021-11-30T21:11:32Z</dcterms:created>
  <dc:creator>root</dc:creator>
  <cp:lastModifiedBy>root</cp:lastModifiedBy>
  <dcterms:modified xsi:type="dcterms:W3CDTF">2021-11-30T21:11:32Z</dcterms:modified>
  <cp:revision>1</cp:revision>
</cp:coreProperties>
</file>