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9023" w:hAnchor="page" w:vAnchor="page" w:x="276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OUTSTANDING PROSPECTUS CONTAINED IN SUCH REGISTRATION STATEMENTS.</w:t>
      </w:r>
    </w:p>
    <w:p>
      <w:pPr>
        <w:pStyle w:val="Normal"/>
        <w:framePr w:w="13320" w:hAnchor="page" w:vAnchor="page" w:x="276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THE REGISTRATION STATEMENTS ON FORM S-8 (FILE NO. 333-190918; FILE NO. 333-212441) OF QIWI PLC AND IN THE</w:t>
      </w:r>
    </w:p>
    <w:p>
      <w:pPr>
        <w:pStyle w:val="Normal"/>
        <w:framePr w:w="14194" w:hAnchor="page" w:vAnchor="page" w:x="276" w:y="11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REPORT ON FORM 6-K IS INCORPORATED BY REFERENCE IN THE REGISTRATION STATEMENT ON FORM F-3 (FILE NO. 333-235239)</w:t>
      </w:r>
    </w:p>
    <w:p>
      <w:pPr>
        <w:pStyle w:val="Normal"/>
        <w:framePr w:w="14227" w:hAnchor="page" w:vAnchor="page" w:x="276" w:y="108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EBITDA MARGIN”, “ADJUSTED NET PROFIT”, “ADJUSTED NET PROFIT PER SHARE”, AND “2020 GUIDANCE”, EXHIBIT 99.1 TO THIS</w:t>
      </w:r>
    </w:p>
    <w:p>
      <w:pPr>
        <w:pStyle w:val="Normal"/>
        <w:framePr w:w="14166" w:hAnchor="page" w:vAnchor="page" w:x="276" w:y="106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“CFS SEGMENT NET REVENUE YIELD”, “SME NET REVENUE”, “ROCKETBANK NET REVENUE”, “ADJUSTED EBITDA”, “ADJUSTED</w:t>
      </w:r>
    </w:p>
    <w:p>
      <w:pPr>
        <w:pStyle w:val="Normal"/>
        <w:framePr w:w="13997" w:hAnchor="page" w:vAnchor="page" w:x="276" w:y="103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YIELD”, “PAYMENT SERVICES SEGMENT NET REVENUE YIELD”, “CONSUMER FINANCIAL SERVICES SEGMENT NET REVENUE”,</w:t>
      </w:r>
    </w:p>
    <w:p>
      <w:pPr>
        <w:pStyle w:val="Normal"/>
        <w:framePr w:w="13535" w:hAnchor="page" w:vAnchor="page" w:x="276" w:y="10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REVENUE”, “PS OTHER REVENUE”, “PS OTHER ADJUSTED NET REVENUE”, “PAYMENT AVERAGE ADJUSTED NET REVENUE</w:t>
      </w:r>
    </w:p>
    <w:p>
      <w:pPr>
        <w:pStyle w:val="Normal"/>
        <w:framePr w:w="13544" w:hAnchor="page" w:vAnchor="page" w:x="276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EXCEPT FOR REFERENCES TO “TOTAL ADJUSTED NET REVENUE”, “PS PAYMENT REVENUE”, “PS PAYMENT ADJUSTED NET</w:t>
      </w:r>
    </w:p>
    <w:p>
      <w:pPr>
        <w:pStyle w:val="Normal"/>
        <w:framePr w:w="10643" w:hAnchor="page" w:vAnchor="page" w:x="276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If ‘‘Yes’’ is marked, indicate below the file number assigned to the registrant in connection with Rule 12g3-2(b):</w:t>
      </w:r>
    </w:p>
    <w:p>
      <w:pPr>
        <w:pStyle w:val="Normal"/>
        <w:framePr w:w="2420" w:hAnchor="page" w:vAnchor="page" w:x="5264" w:y="8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Yes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☐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        No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☒</w:t>
      </w:r>
    </w:p>
    <w:p>
      <w:pPr>
        <w:pStyle w:val="Normal"/>
        <w:framePr w:w="8054" w:hAnchor="page" w:vAnchor="page" w:x="276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Commission pursuant to Rule 12g3-2(b) under the Securities Exchange Act of 1934.</w:t>
      </w:r>
    </w:p>
    <w:p>
      <w:pPr>
        <w:pStyle w:val="Normal"/>
        <w:framePr w:w="13875" w:hAnchor="page" w:vAnchor="page" w:x="27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Indicate by check mark whether the registrant by furnishing the information contained in this Form is also thereby furnishing the information to the</w:t>
      </w:r>
    </w:p>
    <w:p>
      <w:pPr>
        <w:pStyle w:val="Normal"/>
        <w:framePr w:w="3850" w:hAnchor="page" w:vAnchor="page" w:x="4668" w:y="7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Form 20-F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☒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         Form 40-F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☐</w:t>
      </w:r>
    </w:p>
    <w:p>
      <w:pPr>
        <w:pStyle w:val="Normal"/>
        <w:framePr w:w="11138" w:hAnchor="page" w:vAnchor="page" w:x="276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Indicate by check mark whether the registrant files or will file annual reports under cover of Form 20-F or Form 40-F.</w:t>
      </w:r>
    </w:p>
    <w:p>
      <w:pPr>
        <w:pStyle w:val="Normal"/>
        <w:framePr w:w="3239" w:hAnchor="page" w:vAnchor="page" w:x="4903" w:y="63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(Address of principal executive offices)</w:t>
      </w:r>
    </w:p>
    <w:p>
      <w:pPr>
        <w:pStyle w:val="Normal"/>
        <w:framePr w:w="2606" w:hAnchor="page" w:vAnchor="page" w:x="5332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1087 Nicosia Cyprus</w:t>
      </w:r>
    </w:p>
    <w:p>
      <w:pPr>
        <w:pStyle w:val="Normal"/>
        <w:framePr w:w="1462" w:hAnchor="page" w:vAnchor="page" w:x="4212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Kennedy</w:t>
      </w:r>
    </w:p>
    <w:p>
      <w:pPr>
        <w:pStyle w:val="Normal"/>
        <w:framePr w:w="4058" w:hAnchor="page" w:vAnchor="page" w:x="4952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Business Centre, 2nd Floor, Office 203</w:t>
      </w:r>
    </w:p>
    <w:p>
      <w:pPr>
        <w:pStyle w:val="Normal"/>
        <w:framePr w:w="2544" w:hAnchor="page" w:vAnchor="page" w:x="5358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12-14 Kennedy Ave.</w:t>
      </w:r>
    </w:p>
    <w:p>
      <w:pPr>
        <w:pStyle w:val="Normal"/>
        <w:framePr w:w="2586" w:hAnchor="page" w:vAnchor="page" w:x="5233" w:y="4503"/>
        <w:widowControl w:val="off"/>
        <w:autoSpaceDE w:val="off"/>
        <w:autoSpaceDN w:val="off"/>
        <w:spacing w:before="0" w:after="0" w:line="5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46"/>
          <w:szCs w:val="4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46"/>
          <w:szCs w:val="46"/>
        </w:rPr>
        <w:t>QIWI plc</w:t>
      </w:r>
    </w:p>
    <w:p>
      <w:pPr>
        <w:pStyle w:val="Normal"/>
        <w:framePr w:w="2177" w:hAnchor="page" w:vAnchor="page" w:x="5366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For March 24, 2020</w:t>
      </w:r>
    </w:p>
    <w:p>
      <w:pPr>
        <w:pStyle w:val="Normal"/>
        <w:framePr w:w="5940" w:hAnchor="page" w:vAnchor="page" w:x="3593" w:y="3146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OF THE SECURITIES EXCHANGE ACT OF 1934</w:t>
      </w:r>
    </w:p>
    <w:p>
      <w:pPr>
        <w:pStyle w:val="Normal"/>
        <w:framePr w:w="4965" w:hAnchor="page" w:vAnchor="page" w:x="4036" w:y="2886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PURSUANT TO RULE 13A-16 OR 15D-16</w:t>
      </w:r>
    </w:p>
    <w:p>
      <w:pPr>
        <w:pStyle w:val="Normal"/>
        <w:framePr w:w="4191" w:hAnchor="page" w:vAnchor="page" w:x="4381" w:y="2626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REPORT OF A FOREIGN ISSUER</w:t>
      </w:r>
    </w:p>
    <w:p>
      <w:pPr>
        <w:pStyle w:val="Normal"/>
        <w:framePr w:w="2262" w:hAnchor="page" w:vAnchor="page" w:x="5325" w:y="1611"/>
        <w:widowControl w:val="off"/>
        <w:autoSpaceDE w:val="off"/>
        <w:autoSpaceDN w:val="off"/>
        <w:spacing w:before="0" w:after="0" w:line="38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  <w:t>FORM 6-K</w:t>
      </w:r>
    </w:p>
    <w:p>
      <w:pPr>
        <w:pStyle w:val="Normal"/>
        <w:framePr w:w="2877" w:hAnchor="page" w:vAnchor="page" w:x="4985" w:y="716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Washington, D.C. 20549</w:t>
      </w:r>
    </w:p>
    <w:p>
      <w:pPr>
        <w:pStyle w:val="Normal"/>
        <w:framePr w:w="8608" w:hAnchor="page" w:vAnchor="page" w:x="2440" w:y="324"/>
        <w:widowControl w:val="off"/>
        <w:autoSpaceDE w:val="off"/>
        <w:autoSpaceDN w:val="off"/>
        <w:spacing w:before="0" w:after="0" w:line="38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  <w:t>SECURITIES AND EXCHANGE COMMISSION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2.8pt;margin-top:7.5pt;z-index:-16777208;width:592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2.8pt;margin-top:11.15pt;z-index:-16777204;width:592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245.7pt;margin-top:67.55pt;z-index:-16777200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245.7pt;margin-top:118.15pt;z-index:-16777196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245.7pt;margin-top:211.5pt;z-index:-16777192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245.7pt;margin-top:270.05pt;z-index:-16777188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245.7pt;margin-top:343.85pt;z-index:-16777184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2.8pt;margin-top:594.1pt;z-index:-16777180;width:592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2.8pt;margin-top:597.7pt;z-index:-16777176;width:592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</w:p>
    <w:p>
      <w:pPr>
        <w:pStyle w:val="Normal"/>
        <w:framePr w:w="778" w:hAnchor="page" w:vAnchor="page" w:x="276" w:y="6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99.1  </w:t>
      </w:r>
    </w:p>
    <w:p>
      <w:pPr>
        <w:pStyle w:val="Normal"/>
        <w:framePr w:w="10318" w:hAnchor="page" w:vAnchor="page" w:x="985" w:y="6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“QIWI Announces Fourth Quarter and Full Year 2019 Financial Results” press release dated March 24, 2020</w:t>
      </w:r>
    </w:p>
    <w:p>
      <w:pPr>
        <w:pStyle w:val="Normal"/>
        <w:framePr w:w="1051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7pt;margin-top:1pt;z-index:-167771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2.8pt;margin-top:1pt;z-index:-167771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2.8pt;margin-top:2.45pt;z-index:-167771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597.95pt;margin-top:1pt;z-index:-167771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12.8pt;margin-top:1pt;z-index:-167771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2.8pt;margin-top:18.35pt;z-index:-16777152;width:36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</w:p>
    <w:p>
      <w:pPr>
        <w:pStyle w:val="Normal"/>
        <w:framePr w:w="3121" w:hAnchor="page" w:vAnchor="page" w:x="6771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Chief Financial Officer</w:t>
      </w:r>
    </w:p>
    <w:p>
      <w:pPr>
        <w:pStyle w:val="Normal"/>
        <w:framePr w:w="1815" w:hAnchor="page" w:vAnchor="page" w:x="6771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Varvara Kiseleva</w:t>
      </w:r>
    </w:p>
    <w:p>
      <w:pPr>
        <w:pStyle w:val="Normal"/>
        <w:framePr w:w="2258" w:hAnchor="page" w:vAnchor="page" w:x="276" w:y="1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Date: March 24, 2020</w:t>
      </w:r>
    </w:p>
    <w:p>
      <w:pPr>
        <w:pStyle w:val="Normal"/>
        <w:framePr w:w="2647" w:hAnchor="page" w:vAnchor="page" w:x="6308" w:y="1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By:   /s/ Varvara Kiseleva</w:t>
      </w:r>
    </w:p>
    <w:p>
      <w:pPr>
        <w:pStyle w:val="Normal"/>
        <w:framePr w:w="2413" w:hAnchor="page" w:vAnchor="page" w:x="6308" w:y="1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 (Registrant)</w:t>
      </w:r>
    </w:p>
    <w:p>
      <w:pPr>
        <w:pStyle w:val="Normal"/>
        <w:framePr w:w="3910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undersigned, thereunto duly authorized.</w:t>
      </w:r>
    </w:p>
    <w:p>
      <w:pPr>
        <w:pStyle w:val="Normal"/>
        <w:framePr w:w="13438" w:hAnchor="page" w:vAnchor="page" w:x="748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Pursuant to the requirements of the Securities Exchange Act of 1934, the registrant has duly caused this report to be signed on its behalf by the</w:t>
      </w:r>
    </w:p>
    <w:p>
      <w:pPr>
        <w:pStyle w:val="Normal"/>
        <w:framePr w:w="1715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7pt;margin-top:1pt;z-index:-1677714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2.8pt;margin-top:1pt;z-index:-1677714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2.8pt;margin-top:2.45pt;z-index:-167771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597.95pt;margin-top:1pt;z-index:-1677713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2.8pt;margin-top:1pt;z-index:-167771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37.55pt;margin-top:97.2pt;z-index:-16777128;width:2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331.75pt;margin-top:97.2pt;z-index:-167771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</w:p>
    <w:p>
      <w:pPr>
        <w:pStyle w:val="Normal"/>
        <w:framePr w:w="5909" w:hAnchor="page" w:vAnchor="page" w:x="276" w:y="118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decelerate towards the end of the fourth quarter of 2019. This</w:t>
      </w:r>
    </w:p>
    <w:p>
      <w:pPr>
        <w:pStyle w:val="Normal"/>
        <w:framePr w:w="13768" w:hAnchor="page" w:vAnchor="page" w:x="276" w:y="11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proposition we offer to our users, merchants and partners underpinned by the secular trends in our key markets, the latter, however, have started to</w:t>
      </w:r>
    </w:p>
    <w:p>
      <w:pPr>
        <w:pStyle w:val="Normal"/>
        <w:framePr w:w="14195" w:hAnchor="page" w:vAnchor="page" w:x="276" w:y="11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growth year over year. The performance of our payment services business was driven predominantly by the expansion and enhancement of the product</w:t>
      </w:r>
    </w:p>
    <w:p>
      <w:pPr>
        <w:pStyle w:val="Normal"/>
        <w:framePr w:w="14209" w:hAnchor="page" w:vAnchor="page" w:x="276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demonstrated outstanding performance, especially in our Payment Services business, which delivered 27% segment net revenue and segment net profit</w:t>
      </w:r>
    </w:p>
    <w:p>
      <w:pPr>
        <w:pStyle w:val="Normal"/>
        <w:framePr w:w="13394" w:hAnchor="page" w:vAnchor="page" w:x="276" w:y="10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“Today, I’m glad to present our fourth quarter and full year 2019 financial results and share several operating highlights with you. In 2019, we</w:t>
      </w:r>
    </w:p>
    <w:p>
      <w:pPr>
        <w:pStyle w:val="Normal"/>
        <w:framePr w:w="309" w:hAnchor="page" w:vAnchor="page" w:x="854" w:y="10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5549" w:hAnchor="page" w:vAnchor="page" w:x="1317" w:y="10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Wallet active accounts increased 8% to 22.5 million</w:t>
      </w:r>
    </w:p>
    <w:p>
      <w:pPr>
        <w:pStyle w:val="Normal"/>
        <w:framePr w:w="309" w:hAnchor="page" w:vAnchor="page" w:x="854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7981" w:hAnchor="page" w:vAnchor="page" w:x="1317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Payment Services volume increased 31% to RUB 1,449 billion ($24.0 billion)</w:t>
      </w:r>
    </w:p>
    <w:p>
      <w:pPr>
        <w:pStyle w:val="Normal"/>
        <w:framePr w:w="309" w:hAnchor="page" w:vAnchor="page" w:x="854" w:y="97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1981" w:hAnchor="page" w:vAnchor="page" w:x="1317" w:y="97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Profit increased 27% to RUB 12,105 million ($195.5 million) or RUB 194.41 per diluted share</w:t>
      </w:r>
    </w:p>
    <w:p>
      <w:pPr>
        <w:pStyle w:val="Normal"/>
        <w:framePr w:w="309" w:hAnchor="page" w:vAnchor="page" w:x="854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0240" w:hAnchor="page" w:vAnchor="page" w:x="1317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increased 61% to RUB 6,679 million ($107.9 million), or RUB 107.27 per diluted share</w:t>
      </w:r>
    </w:p>
    <w:p>
      <w:pPr>
        <w:pStyle w:val="Normal"/>
        <w:framePr w:w="309" w:hAnchor="page" w:vAnchor="page" w:x="854" w:y="9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7033" w:hAnchor="page" w:vAnchor="page" w:x="1317" w:y="9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EBITDA increased 53% to RUB 9,099 million ($147.0 million)</w:t>
      </w:r>
    </w:p>
    <w:p>
      <w:pPr>
        <w:pStyle w:val="Normal"/>
        <w:framePr w:w="309" w:hAnchor="page" w:vAnchor="page" w:x="854" w:y="8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9186" w:hAnchor="page" w:vAnchor="page" w:x="1317" w:y="8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increased 27% to RUB 20,965 million ($338.7 million)</w:t>
      </w:r>
    </w:p>
    <w:p>
      <w:pPr>
        <w:pStyle w:val="Normal"/>
        <w:framePr w:w="309" w:hAnchor="page" w:vAnchor="page" w:x="854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8032" w:hAnchor="page" w:vAnchor="page" w:x="1317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Adjusted Net Revenue increased 18% to RUB 23,176 million ($374.4 million)</w:t>
      </w:r>
    </w:p>
    <w:p>
      <w:pPr>
        <w:pStyle w:val="Normal"/>
        <w:framePr w:w="5261" w:hAnchor="page" w:vAnchor="page" w:x="276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Full-Year 2019 Operating and Financial Highlights</w:t>
      </w:r>
    </w:p>
    <w:p>
      <w:pPr>
        <w:pStyle w:val="Normal"/>
        <w:framePr w:w="309" w:hAnchor="page" w:vAnchor="page" w:x="854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7865" w:hAnchor="page" w:vAnchor="page" w:x="1317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Payment Services volume increased 22% to RUB 400.5 billion ($6.5 billion)</w:t>
      </w:r>
    </w:p>
    <w:p>
      <w:pPr>
        <w:pStyle w:val="Normal"/>
        <w:framePr w:w="309" w:hAnchor="page" w:vAnchor="page" w:x="854" w:y="70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1518" w:hAnchor="page" w:vAnchor="page" w:x="1317" w:y="70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Profit increased 3% to RUB 2,652 million ($42.8 million) or RUB 42.55 per diluted share</w:t>
      </w:r>
    </w:p>
    <w:p>
      <w:pPr>
        <w:pStyle w:val="Normal"/>
        <w:framePr w:w="309" w:hAnchor="page" w:vAnchor="page" w:x="854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0008" w:hAnchor="page" w:vAnchor="page" w:x="1317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increased 15% to RUB 1,168 million ($18.9 million), or RUB 18.74 per diluted share</w:t>
      </w:r>
    </w:p>
    <w:p>
      <w:pPr>
        <w:pStyle w:val="Normal"/>
        <w:framePr w:w="309" w:hAnchor="page" w:vAnchor="page" w:x="854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6802" w:hAnchor="page" w:vAnchor="page" w:x="1317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EBITDA increased 9% to RUB 1,609 million ($26.0 million)</w:t>
      </w:r>
    </w:p>
    <w:p>
      <w:pPr>
        <w:pStyle w:val="Normal"/>
        <w:framePr w:w="309" w:hAnchor="page" w:vAnchor="page" w:x="854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8954" w:hAnchor="page" w:vAnchor="page" w:x="1317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increased 16% to RUB 5,487 million ($88.6 million)</w:t>
      </w:r>
    </w:p>
    <w:p>
      <w:pPr>
        <w:pStyle w:val="Normal"/>
        <w:framePr w:w="309" w:hAnchor="page" w:vAnchor="page" w:x="854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7801" w:hAnchor="page" w:vAnchor="page" w:x="1317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Adjusted Net Revenue increased 7% to RUB 6,253 million ($101.0 million)</w:t>
      </w:r>
    </w:p>
    <w:p>
      <w:pPr>
        <w:pStyle w:val="Normal"/>
        <w:framePr w:w="5884" w:hAnchor="page" w:vAnchor="page" w:x="276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Fourth Quarter 2019 Operating and Financial Highlights</w:t>
      </w:r>
    </w:p>
    <w:p>
      <w:pPr>
        <w:pStyle w:val="Normal"/>
        <w:framePr w:w="5278" w:hAnchor="page" w:vAnchor="page" w:x="276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fourth quarter and full year ended December 31, 2019.</w:t>
      </w:r>
    </w:p>
    <w:p>
      <w:pPr>
        <w:pStyle w:val="Normal"/>
        <w:framePr w:w="14062" w:hAnchor="page" w:vAnchor="page" w:x="276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NICOSIA, CYPRUS – March 24, 2020 – QIWI plc (NASDAQ: QIWI) (MOEX: QIWI) (“QIWI” or the “Company”) today announced results for the</w:t>
      </w:r>
    </w:p>
    <w:p>
      <w:pPr>
        <w:pStyle w:val="Normal"/>
        <w:framePr w:w="5921" w:hAnchor="page" w:vAnchor="page" w:x="3806" w:y="39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Board of Directors Approves Dividend Payout Ratio for 2020</w:t>
      </w:r>
    </w:p>
    <w:p>
      <w:pPr>
        <w:pStyle w:val="Normal"/>
        <w:framePr w:w="2753" w:hAnchor="page" w:vAnchor="page" w:x="5126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QIWI gives 2020 Guidance</w:t>
      </w:r>
    </w:p>
    <w:p>
      <w:pPr>
        <w:pStyle w:val="Normal"/>
        <w:framePr w:w="2494" w:hAnchor="page" w:vAnchor="page" w:x="5234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107.27 per diluted share</w:t>
      </w:r>
    </w:p>
    <w:p>
      <w:pPr>
        <w:pStyle w:val="Normal"/>
        <w:framePr w:w="14329" w:hAnchor="page" w:vAnchor="page" w:x="302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Full-Year 2019 Total Adjusted Net Revenue Increases 18% to RUB 23,176 Million and Adjusted Net Profit Increases 61% to RUB 6,679 Million or RUB</w:t>
      </w:r>
    </w:p>
    <w:p>
      <w:pPr>
        <w:pStyle w:val="Normal"/>
        <w:framePr w:w="2379" w:hAnchor="page" w:vAnchor="page" w:x="5282" w:y="29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18.74 per diluted share</w:t>
      </w:r>
    </w:p>
    <w:p>
      <w:pPr>
        <w:pStyle w:val="Normal"/>
        <w:framePr w:w="14145" w:hAnchor="page" w:vAnchor="page" w:x="379" w:y="27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Fourth Quarter Total Adjusted Net Revenue Increases 7% to RUB 6,253 Million and Adjusted Net Profit Increases 15% to RUB 1,168 Million or RUB</w:t>
      </w:r>
    </w:p>
    <w:p>
      <w:pPr>
        <w:pStyle w:val="Normal"/>
        <w:framePr w:w="7279" w:hAnchor="page" w:vAnchor="page" w:x="3240" w:y="22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Announces Fourth Quarter and Full Year 2019 Financial Results</w:t>
      </w:r>
    </w:p>
    <w:p>
      <w:pPr>
        <w:pStyle w:val="Normal"/>
        <w:framePr w:w="1424" w:hAnchor="page" w:vAnchor="page" w:x="11084" w:y="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Exhibit 99.1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7pt;margin-top:1pt;z-index:-1677712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31.5pt;margin-top:13.55pt;z-index:-16777116;width:154.8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</w:p>
    <w:p>
      <w:pPr>
        <w:pStyle w:val="Normal"/>
        <w:framePr w:w="4983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Medium Enterprises (SME) Segment Net Revenue.</w:t>
      </w:r>
    </w:p>
    <w:p>
      <w:pPr>
        <w:pStyle w:val="Normal"/>
        <w:framePr w:w="13627" w:hAnchor="page" w:vAnchor="page" w:x="276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 (PS) and Consumer Financial Services (CFS) Segments Net Revenue growth, which was partially offset by the decline in the Small and</w:t>
      </w:r>
    </w:p>
    <w:p>
      <w:pPr>
        <w:pStyle w:val="Normal"/>
        <w:framePr w:w="13837" w:hAnchor="page" w:vAnchor="page" w:x="276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6,253 million ($101.0 million), an increase of 7% compared with RUB 5,818 million in the prior year. The increase was mainly driven by Payment</w:t>
      </w:r>
    </w:p>
    <w:p>
      <w:pPr>
        <w:pStyle w:val="Normal"/>
        <w:framePr w:w="13971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and Segment Net Revenues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Total Adjusted Net Revenue (Total Segment Net Revenue) for the quarter ended December 31, 2019 was RUB</w:t>
      </w:r>
    </w:p>
    <w:p>
      <w:pPr>
        <w:pStyle w:val="Normal"/>
        <w:framePr w:w="3088" w:hAnchor="page" w:vAnchor="page" w:x="276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Fourth Quarter 2019 Results</w:t>
      </w:r>
    </w:p>
    <w:p>
      <w:pPr>
        <w:pStyle w:val="Normal"/>
        <w:framePr w:w="12430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are well positioned to continue strengthening our ecosystem with the ultimate goal of securing our long-term growth prospects.”</w:t>
      </w:r>
    </w:p>
    <w:p>
      <w:pPr>
        <w:pStyle w:val="Normal"/>
        <w:framePr w:w="14286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paying dividends. Even in these challenging times, we see many opportunities both in the payment space and in the adjacent markets and I believe</w:t>
      </w:r>
    </w:p>
    <w:p>
      <w:pPr>
        <w:pStyle w:val="Normal"/>
        <w:framePr w:w="14376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Tochka. Taking this into account, we remain committed to distributing excess cash to our shareholders and currently have no plans to postpone or refrain</w:t>
      </w:r>
    </w:p>
    <w:p>
      <w:pPr>
        <w:pStyle w:val="Normal"/>
        <w:framePr w:w="14208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see the majority of the projects that we have been investing in demonstrate improving operating and financial performance, primarily SOVEST and</w:t>
      </w:r>
    </w:p>
    <w:p>
      <w:pPr>
        <w:pStyle w:val="Normal"/>
        <w:framePr w:w="14305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well fitted to serve our users, merchants and partners. At the same time, we continue to optimize our operations and implement stricter cost controls and</w:t>
      </w:r>
    </w:p>
    <w:p>
      <w:pPr>
        <w:pStyle w:val="Normal"/>
        <w:framePr w:w="13998" w:hAnchor="page" w:vAnchor="page" w:x="276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adaptive and consumer oriented and will continue to develop it further by targeting our core niches and areas of expertise and creating new use cases</w:t>
      </w:r>
    </w:p>
    <w:p>
      <w:pPr>
        <w:pStyle w:val="Normal"/>
        <w:framePr w:w="14137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oil prices and ruble devaluation. Nevertheless, we believe and have proved many times before that we have created a resilient ecosystem that is highly</w:t>
      </w:r>
    </w:p>
    <w:p>
      <w:pPr>
        <w:pStyle w:val="Normal"/>
        <w:framePr w:w="14338" w:hAnchor="page" w:vAnchor="page" w:x="276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many challenges ahead, primarily resulting from the recent pandemic coronavirus outbreak that affects some of our key categories and a steep decline in</w:t>
      </w:r>
    </w:p>
    <w:p>
      <w:pPr>
        <w:pStyle w:val="Normal"/>
        <w:framePr w:w="14040" w:hAnchor="page" w:vAnchor="page" w:x="27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ecosystem we have developed so far and aim to develop further,” said Boris Kim, QIWI’s chief executive officer. “At the same time, we see</w:t>
      </w:r>
    </w:p>
    <w:p>
      <w:pPr>
        <w:pStyle w:val="Normal"/>
        <w:framePr w:w="13842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impressive achievement and would like to thank our entire team for their contribution. Our results clearly emphasize the value and relevance of the</w:t>
      </w:r>
    </w:p>
    <w:p>
      <w:pPr>
        <w:pStyle w:val="Normal"/>
        <w:framePr w:w="13842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 we have processed close to 1.5 trillion rubles in cash and electronic payments, increasing our turnover by almost one third. I believe, this is an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7pt;margin-top:1pt;z-index:-167771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2.8pt;margin-top:1pt;z-index:-167771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2.8pt;margin-top:2.45pt;z-index:-1677710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597.95pt;margin-top:1pt;z-index:-167771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12.8pt;margin-top:1pt;z-index:-167770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</w:p>
    <w:p>
      <w:pPr>
        <w:pStyle w:val="Normal"/>
        <w:framePr w:w="4732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25.3% for the same period in the prior year.</w:t>
      </w:r>
    </w:p>
    <w:p>
      <w:pPr>
        <w:pStyle w:val="Normal"/>
        <w:framePr w:w="14053" w:hAnchor="page" w:vAnchor="page" w:x="276" w:y="76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EBITDA margin (Adjusted EBITDA as a percentage of Total Adjusted Net Revenue) was 25.7% for the quarter ended December 31, 2019 compared</w:t>
      </w:r>
    </w:p>
    <w:p>
      <w:pPr>
        <w:pStyle w:val="Normal"/>
        <w:framePr w:w="14344" w:hAnchor="page" w:vAnchor="page" w:x="276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quarter ended December 31, 2019 and an increase of compensation to employees and related taxes (excluding effect of share-based payments). Adjusted</w:t>
      </w:r>
    </w:p>
    <w:p>
      <w:pPr>
        <w:pStyle w:val="Normal"/>
        <w:framePr w:w="13801" w:hAnchor="page" w:vAnchor="page" w:x="276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 arising after the transfer of the Tochka’s operations to an associate starting from February 2019, in the amount of RUB 187 million for the</w:t>
      </w:r>
    </w:p>
    <w:p>
      <w:pPr>
        <w:pStyle w:val="Normal"/>
        <w:framePr w:w="13838" w:hAnchor="page" w:vAnchor="page" w:x="27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related utility expenses resulting from the adoption of IFRS 16. The growth was partially offset by the new expense line related to Tochka platform</w:t>
      </w:r>
    </w:p>
    <w:p>
      <w:pPr>
        <w:pStyle w:val="Normal"/>
        <w:framePr w:w="14158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administrative expenses to RUB 458 million compared to RUB 475 million in the fourth quarter of the prior year and a decline of rent of premises and</w:t>
      </w:r>
    </w:p>
    <w:p>
      <w:pPr>
        <w:pStyle w:val="Normal"/>
        <w:framePr w:w="14238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RUB 1,473 million in the prior year. The adjusted EBITDA increase was driven by Total Adjusted Net Revenue growth as well as decline in other</w:t>
      </w:r>
    </w:p>
    <w:p>
      <w:pPr>
        <w:pStyle w:val="Normal"/>
        <w:framePr w:w="14184" w:hAnchor="page" w:vAnchor="page" w:x="276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EBITDA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For the quarter ended December 31, 2019, Adjusted EBITDA was RUB 1,609 million ($26.0 million), an increase of 9% compared</w:t>
      </w:r>
    </w:p>
    <w:p>
      <w:pPr>
        <w:pStyle w:val="Normal"/>
        <w:framePr w:w="7283" w:hAnchor="page" w:vAnchor="page" w:x="27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the information and technology service agreements with Otkritie Bank.</w:t>
      </w:r>
    </w:p>
    <w:p>
      <w:pPr>
        <w:pStyle w:val="Normal"/>
        <w:framePr w:w="14366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is now recognized as an associate. As a result of this transition we no longer recognize a substantial portion of Tochka project revenues associated</w:t>
      </w:r>
    </w:p>
    <w:p>
      <w:pPr>
        <w:pStyle w:val="Normal"/>
        <w:framePr w:w="13804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prior year. Segment Net Revenue dynamics were primarily due to the transfer of Tochka project to JSC Tochka starting from February 1, 2019,</w:t>
      </w:r>
    </w:p>
    <w:p>
      <w:pPr>
        <w:pStyle w:val="Normal"/>
        <w:framePr w:w="14341" w:hAnchor="page" w:vAnchor="page" w:x="2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project for the quarter ended December 31, 2019 was RUB 193 million ($3.1 million) compared with RUB 1,057 million in the fourth quarter of</w:t>
      </w:r>
    </w:p>
    <w:p>
      <w:pPr>
        <w:pStyle w:val="Normal"/>
        <w:framePr w:w="14157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Small and Medium Enterprises Segment Net Revenue which is composed of revenue from cash and settlement services related to the operations of the</w:t>
      </w:r>
    </w:p>
    <w:p>
      <w:pPr>
        <w:pStyle w:val="Normal"/>
        <w:framePr w:w="9166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primarily from improving monetization and expansion of the operations of the SOVEST project.</w:t>
      </w:r>
    </w:p>
    <w:p>
      <w:pPr>
        <w:pStyle w:val="Normal"/>
        <w:framePr w:w="13844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RUB 469 million ($7.6 million) compared with RUB 199 million in the fourth quarter of the prior year. Segment Net Revenue growth resulted</w:t>
      </w:r>
    </w:p>
    <w:p>
      <w:pPr>
        <w:pStyle w:val="Normal"/>
        <w:framePr w:w="14312" w:hAnchor="page" w:vAnchor="page" w:x="276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Segment Net Revenue which is composed of revenue from our SOVEST project for the quarter ended December 31, 2019</w:t>
      </w:r>
    </w:p>
    <w:p>
      <w:pPr>
        <w:pStyle w:val="Normal"/>
        <w:framePr w:w="14305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payments increased 14% compared with the same period in the prior year to RUB 241 million predominantly as a result the increase in interest revenue.</w:t>
      </w:r>
    </w:p>
    <w:p>
      <w:pPr>
        <w:pStyle w:val="Normal"/>
        <w:framePr w:w="14195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all newly inactive wallets starting October 2019. PS Other Adjusted Net Revenue excluding revenue from fees for inactive accounts and unclaimed</w:t>
      </w:r>
    </w:p>
    <w:p>
      <w:pPr>
        <w:pStyle w:val="Normal"/>
        <w:framePr w:w="14185" w:hAnchor="page" w:vAnchor="page" w:x="276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resulted primarily from changes in regulation regarding inactivity fee charges, where the period of inactivity was changed from 6 months to 12 months</w:t>
      </w:r>
    </w:p>
    <w:p>
      <w:pPr>
        <w:pStyle w:val="Normal"/>
        <w:framePr w:w="13724" w:hAnchor="page" w:vAnchor="page" w:x="27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million) compared with RUB 410 million for the corresponding period in the prior year, growth deceleration as compared to the previous quarters</w:t>
      </w:r>
    </w:p>
    <w:p>
      <w:pPr>
        <w:pStyle w:val="Normal"/>
        <w:framePr w:w="13785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prior year. Fees for inactive accounts and unclaimed payments for the fourth quarter ended December 31, 2019 were RUB 406 million ($6.6</w:t>
      </w:r>
    </w:p>
    <w:p>
      <w:pPr>
        <w:pStyle w:val="Normal"/>
        <w:framePr w:w="14236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 from overdrafts provided to agents, and advertising, was RUB 647 million ($10.5 million), an increase of 4% compared with RUB 623 million</w:t>
      </w:r>
    </w:p>
    <w:p>
      <w:pPr>
        <w:pStyle w:val="Normal"/>
        <w:framePr w:w="14138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Other Adjusted Net Revenue, which is principally composed of revenue from fees for inactive accounts and unclaimed payments, interest revenue,</w:t>
      </w:r>
    </w:p>
    <w:p>
      <w:pPr>
        <w:pStyle w:val="Normal"/>
        <w:framePr w:w="7026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category adjusted net revenue yield resulting from changing product mix.</w:t>
      </w:r>
    </w:p>
    <w:p>
      <w:pPr>
        <w:pStyle w:val="Normal"/>
        <w:framePr w:w="13859" w:hAnchor="page" w:vAnchor="page" w:x="276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verticals partially offset by a slight decline in the Payment Average Adjusted Net Revenue Yield driven predominantly by a decline in E-commerce</w:t>
      </w:r>
    </w:p>
    <w:p>
      <w:pPr>
        <w:pStyle w:val="Normal"/>
        <w:framePr w:w="14344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Adjusted Net Revenue growth was predominantly driven by volume growth in E-commerce, Money Remittance and Financial Services market</w:t>
      </w:r>
    </w:p>
    <w:p>
      <w:pPr>
        <w:pStyle w:val="Normal"/>
        <w:framePr w:w="14273" w:hAnchor="page" w:vAnchor="page" w:x="276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was RUB 4,840 million ($78.2 million), an increase of 18% compared with RUB 4,118 million in the prior year. PS</w:t>
      </w:r>
    </w:p>
    <w:p>
      <w:pPr>
        <w:pStyle w:val="Normal"/>
        <w:framePr w:w="5034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compared with RUB 4,741 million in the prior year.</w:t>
      </w:r>
    </w:p>
    <w:p>
      <w:pPr>
        <w:pStyle w:val="Normal"/>
        <w:framePr w:w="13470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for the quarter ended December 31, 2019 was RUB 5,487 million ($88.6 million), an increase of 16%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7pt;margin-top:1pt;z-index:-1677709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2.8pt;margin-top:1pt;z-index:-167770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2.8pt;margin-top:2.45pt;z-index:-167770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97.95pt;margin-top:1pt;z-index:-167770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2.8pt;margin-top:1pt;z-index:-167770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</w:p>
    <w:p>
      <w:pPr>
        <w:pStyle w:val="Normal"/>
        <w:framePr w:w="6509" w:hAnchor="page" w:vAnchor="page" w:x="507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foreign exchange gain/loss on June 2014 offering proceeds</w:t>
      </w:r>
    </w:p>
    <w:p>
      <w:pPr>
        <w:pStyle w:val="Normal"/>
        <w:framePr w:w="14237" w:hAnchor="page" w:vAnchor="page" w:x="276" w:y="80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gain/loss is calculated as total foreign exchange gain/loss, net recognized in the statement of comprehensive income excluding the</w:t>
      </w:r>
    </w:p>
    <w:p>
      <w:pPr>
        <w:pStyle w:val="Normal"/>
        <w:framePr w:w="12571" w:hAnchor="page" w:vAnchor="page" w:x="276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CFS Segment Net Revenue Yield increased to 4.81% driven primarily by the development of the consumer paid value added options.</w:t>
      </w:r>
    </w:p>
    <w:p>
      <w:pPr>
        <w:pStyle w:val="Normal"/>
        <w:framePr w:w="13992" w:hAnchor="page" w:vAnchor="page" w:x="276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RUB 9.8 billion ($0.2 billion). CFS payment volume increased by 69% as compared to the RUB 5.8 billion for the fourth quarter of 2018, while</w:t>
      </w:r>
    </w:p>
    <w:p>
      <w:pPr>
        <w:pStyle w:val="Normal"/>
        <w:framePr w:w="14377" w:hAnchor="page" w:vAnchor="page" w:x="27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Consumer Financial Services Other Operating Data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For the quarter ended December 31, 2019, Consumer Financial Services Segment payment volume</w:t>
      </w:r>
    </w:p>
    <w:p>
      <w:pPr>
        <w:pStyle w:val="Normal"/>
        <w:framePr w:w="11446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Yield was 1.37%, a decrease of 6 bps as compared with 1.43% in the prior year.</w:t>
      </w:r>
    </w:p>
    <w:p>
      <w:pPr>
        <w:pStyle w:val="Normal"/>
        <w:framePr w:w="5504" w:hAnchor="page" w:vAnchor="page" w:x="276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shift of the product mix towards lower yielding volumes.</w:t>
      </w:r>
    </w:p>
    <w:p>
      <w:pPr>
        <w:pStyle w:val="Normal"/>
        <w:framePr w:w="14177" w:hAnchor="page" w:vAnchor="page" w:x="27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Yield was 1.21%, decrease of 4 bps as compared with 1.25% in the prior year primarily driven by the development of new products and corresponding</w:t>
      </w:r>
    </w:p>
    <w:p>
      <w:pPr>
        <w:pStyle w:val="Normal"/>
        <w:framePr w:w="14039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merchants including betting merchants, new contracts and new projects targeting the self-employed market. Payment Average Adjusted Net Revenue</w:t>
      </w:r>
    </w:p>
    <w:p>
      <w:pPr>
        <w:pStyle w:val="Normal"/>
        <w:framePr w:w="13754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E-commerce, Money Remittances and Financial Services market verticals resulting largely from the development of certain payment solutions for</w:t>
      </w:r>
    </w:p>
    <w:p>
      <w:pPr>
        <w:pStyle w:val="Normal"/>
        <w:framePr w:w="14178" w:hAnchor="page" w:vAnchor="page" w:x="2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billion ($6.5 billion), an increase of 22% compared with RUB 328.9 billion in the prior year. The increase in payment volume was driven by growth in</w:t>
      </w:r>
    </w:p>
    <w:p>
      <w:pPr>
        <w:pStyle w:val="Normal"/>
        <w:framePr w:w="13747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Payment Services Other Operating Data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For the quarter ended December 31, 2019, Payment Services Segment payment volume was RUB 400.5</w:t>
      </w:r>
    </w:p>
    <w:p>
      <w:pPr>
        <w:pStyle w:val="Normal"/>
        <w:framePr w:w="11946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 primarily driven by the increase of marketing and advertising expenses and compensation to employees and related taxes.</w:t>
      </w:r>
    </w:p>
    <w:p>
      <w:pPr>
        <w:pStyle w:val="Normal"/>
        <w:framePr w:w="14042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 Segment Net Loss was RUB 684 million ($11.1 million), an increase of 17% compared with the net loss of RUB 584 million in the prior</w:t>
      </w:r>
    </w:p>
    <w:p>
      <w:pPr>
        <w:pStyle w:val="Normal"/>
        <w:framePr w:w="7992" w:hAnchor="page" w:vAnchor="page" w:x="276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profit increase was primarily driven by the development of the Tochka business.</w:t>
      </w:r>
    </w:p>
    <w:p>
      <w:pPr>
        <w:pStyle w:val="Normal"/>
        <w:framePr w:w="14346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Small and Medium Enterprises Net Profit was RUB 187 million ($3.0 million) as compared to a Net Loss of RUB 281 million in the prior year. The</w:t>
      </w:r>
    </w:p>
    <w:p>
      <w:pPr>
        <w:pStyle w:val="Normal"/>
        <w:framePr w:w="8346" w:hAnchor="page" w:vAnchor="page" w:x="276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operations of the SOVEST projects that was offset by Segment Net Revenue growth.</w:t>
      </w:r>
    </w:p>
    <w:p>
      <w:pPr>
        <w:pStyle w:val="Normal"/>
        <w:framePr w:w="14286" w:hAnchor="page" w:vAnchor="page" w:x="27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advertising expenses mostly related to consumer acquisition and loss from initial recognition of loans at market rate resulting from to the expansion</w:t>
      </w:r>
    </w:p>
    <w:p>
      <w:pPr>
        <w:pStyle w:val="Normal"/>
        <w:framePr w:w="14383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compared to a Net Loss of RUB 538 million for the same period of the prior year. The increase in Net Loss was primarily driven by growth of marketing</w:t>
      </w:r>
    </w:p>
    <w:p>
      <w:pPr>
        <w:pStyle w:val="Normal"/>
        <w:framePr w:w="14204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Consumer Financial Services Segment Net Loss for the fourth quarter 2019 was RUB 590 million ($9.5 million) an increase of RUB 52 million as</w:t>
      </w:r>
    </w:p>
    <w:p>
      <w:pPr>
        <w:pStyle w:val="Normal"/>
        <w:framePr w:w="12501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employees and related taxes (excluding effect of share-based payments) as well as by growth in marketing and advertising expenses.</w:t>
      </w:r>
    </w:p>
    <w:p>
      <w:pPr>
        <w:pStyle w:val="Normal"/>
        <w:framePr w:w="13692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RUB 2,584 million in the prior year driven by Payment Services Segment Net Revenue growth offset by growth of payroll, compensation to</w:t>
      </w:r>
    </w:p>
    <w:p>
      <w:pPr>
        <w:pStyle w:val="Normal"/>
        <w:framePr w:w="14152" w:hAnchor="page" w:vAnchor="page" w:x="276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quarter ended December 31, 2019, Payment Services Segment Net Profit was RUB 2,652 million ($42.8 million), an increase of 3% compared</w:t>
      </w:r>
    </w:p>
    <w:p>
      <w:pPr>
        <w:pStyle w:val="Normal"/>
        <w:framePr w:w="1757" w:hAnchor="page" w:vAnchor="page" w:x="276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prior year.</w:t>
      </w:r>
    </w:p>
    <w:p>
      <w:pPr>
        <w:pStyle w:val="Normal"/>
        <w:framePr w:w="14352" w:hAnchor="page" w:vAnchor="page" w:x="276" w:y="6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primarily driven by the same factors impacting Adjusted EBITDA as well as by a decrease in net foreign exchange loss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as compared to the same period</w:t>
      </w:r>
    </w:p>
    <w:p>
      <w:pPr>
        <w:pStyle w:val="Normal"/>
        <w:framePr w:w="13972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($18.9 million), an increase of 15% compared with RUB 1,014 million in the fourth quarter of the prior year. The growth of Adjusted Net Profit was</w:t>
      </w:r>
    </w:p>
    <w:p>
      <w:pPr>
        <w:pStyle w:val="Normal"/>
        <w:framePr w:w="13948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and Segment Net Profit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For the quarter ended December 31, 2019, Adjusted Net Profit (Total Segment Net Profit) was RUB 1,168 million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pt;margin-top:1pt;z-index:-167770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2.8pt;margin-top:1pt;z-index:-167770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2.8pt;margin-top:2.45pt;z-index:-167770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597.95pt;margin-top:1pt;z-index:-167770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2.8pt;margin-top:1pt;z-index:-167770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2.8pt;margin-top:399.55pt;z-index:-16777052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</w:p>
    <w:p>
      <w:pPr>
        <w:pStyle w:val="Normal"/>
        <w:framePr w:w="3852" w:hAnchor="page" w:vAnchor="page" w:x="276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compared with 30.3% in the prior year.</w:t>
      </w:r>
    </w:p>
    <w:p>
      <w:pPr>
        <w:pStyle w:val="Normal"/>
        <w:framePr w:w="13719" w:hAnchor="page" w:vAnchor="page" w:x="276" w:y="77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EBITDA margin (Adjusted EBITDA as a percentage of Total Adjusted Net Revenue) was 39.3% for the year ended December 31, 2018</w:t>
      </w:r>
    </w:p>
    <w:p>
      <w:pPr>
        <w:pStyle w:val="Normal"/>
        <w:framePr w:w="13933" w:hAnchor="page" w:vAnchor="page" w:x="276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corporate and other category; (iii) an increase of the credit loss expenses to RUB 642 million as compared to RUB 474 million in the prior year.</w:t>
      </w:r>
    </w:p>
    <w:p>
      <w:pPr>
        <w:pStyle w:val="Normal"/>
        <w:framePr w:w="14008" w:hAnchor="page" w:vAnchor="page" w:x="276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31, 2019 as compared to RUB 7,113 million in the prior year resulting from a personnel expense growth predominantly in payment services segment</w:t>
      </w:r>
    </w:p>
    <w:p>
      <w:pPr>
        <w:pStyle w:val="Normal"/>
        <w:framePr w:w="14345" w:hAnchor="page" w:vAnchor="page" w:x="276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 of compensation to employees and related taxes (excluding effect of share-based payments) to RUB 7,301 million for the year ended December</w:t>
      </w:r>
    </w:p>
    <w:p>
      <w:pPr>
        <w:pStyle w:val="Normal"/>
        <w:framePr w:w="14092" w:hAnchor="page" w:vAnchor="page" w:x="276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Tochka’s operations to an associate starting from February 2019, in the amount of RUB 538 million for the year ended December 31, 2019; (ii) an</w:t>
      </w:r>
    </w:p>
    <w:p>
      <w:pPr>
        <w:pStyle w:val="Normal"/>
        <w:framePr w:w="14130" w:hAnchor="page" w:vAnchor="page" w:x="276" w:y="65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IFRS 16. The growth was partially offset by the following factors: (i) new expense line related to Tochka platform services arising after the transfer of</w:t>
      </w:r>
    </w:p>
    <w:p>
      <w:pPr>
        <w:pStyle w:val="Normal"/>
        <w:framePr w:w="13974" w:hAnchor="page" w:vAnchor="page" w:x="276" w:y="63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prior year driven mostly by the transfer of Tochka project and rent of premises and related utility expenses decline resulting from the adoption of</w:t>
      </w:r>
    </w:p>
    <w:p>
      <w:pPr>
        <w:pStyle w:val="Normal"/>
        <w:framePr w:w="14152" w:hAnchor="page" w:vAnchor="page" w:x="276" w:y="61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advertising, client acquisition and related expenses to RUB 1,967 million for the year ended December 31, 2019 as compared to RUB 2,369 million in</w:t>
      </w:r>
    </w:p>
    <w:p>
      <w:pPr>
        <w:pStyle w:val="Normal"/>
        <w:framePr w:w="14380" w:hAnchor="page" w:vAnchor="page" w:x="276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RUB 5,948 million in the prior year. Adjusted EBITDA increase was driven by Total Adjusted Net Revenue growth underpinned by the decrease of</w:t>
      </w:r>
    </w:p>
    <w:p>
      <w:pPr>
        <w:pStyle w:val="Normal"/>
        <w:framePr w:w="14158" w:hAnchor="page" w:vAnchor="page" w:x="27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EBITDA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For the year ended December 31, 2019, Adjusted EBITDA was RUB 9,099 million ($147.0 million), an increase of 53% compared</w:t>
      </w:r>
    </w:p>
    <w:p>
      <w:pPr>
        <w:pStyle w:val="Normal"/>
        <w:framePr w:w="6473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information and technology service agreements with Otkritie Bank.</w:t>
      </w:r>
    </w:p>
    <w:p>
      <w:pPr>
        <w:pStyle w:val="Normal"/>
        <w:framePr w:w="13884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recognized as an associate. As a result of this transition we no longer recognize a substantial portion of Tochka project revenues associated with the</w:t>
      </w:r>
    </w:p>
    <w:p>
      <w:pPr>
        <w:pStyle w:val="Normal"/>
        <w:framePr w:w="13746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Net Revenue dynamics were primarily due to the transfer of Tochka project to JSC Tochka starting from February 1, 2019, which is now</w:t>
      </w:r>
    </w:p>
    <w:p>
      <w:pPr>
        <w:pStyle w:val="Normal"/>
        <w:framePr w:w="13622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project for the year ended December 31, 2019 was RUB 990 million ($16.0 million) compared with RUB 2,916 million in the prior year.</w:t>
      </w:r>
    </w:p>
    <w:p>
      <w:pPr>
        <w:pStyle w:val="Normal"/>
        <w:framePr w:w="14157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Small and Medium Enterprises Segment Net Revenue which is composed of revenue from cash and settlement services related to the operations of the</w:t>
      </w:r>
    </w:p>
    <w:p>
      <w:pPr>
        <w:pStyle w:val="Normal"/>
        <w:framePr w:w="13664" w:hAnchor="page" w:vAnchor="page" w:x="276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385 million in the prior year resulting primarily from improving consumer monetization and expansion of the operations of the SOVEST project.</w:t>
      </w:r>
    </w:p>
    <w:p>
      <w:pPr>
        <w:pStyle w:val="Normal"/>
        <w:framePr w:w="14383" w:hAnchor="page" w:vAnchor="page" w:x="2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Segment Net Revenue for the year ended December 31, 2019 was RUB 1,339 million ($21.6 million) as compared to RUB</w:t>
      </w:r>
    </w:p>
    <w:p>
      <w:pPr>
        <w:pStyle w:val="Normal"/>
        <w:framePr w:w="7026" w:hAnchor="page" w:vAnchor="page" w:x="276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category adjusted net revenue yield resulting from changing product mix.</w:t>
      </w:r>
    </w:p>
    <w:p>
      <w:pPr>
        <w:pStyle w:val="Normal"/>
        <w:framePr w:w="13698" w:hAnchor="page" w:vAnchor="page" w:x="276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market verticals slightly offset by a decrease in Payment Average Adjusted Net Revenue Yield driven predominantly by a decline in E-commerce</w:t>
      </w:r>
    </w:p>
    <w:p>
      <w:pPr>
        <w:pStyle w:val="Normal"/>
        <w:framePr w:w="14261" w:hAnchor="page" w:vAnchor="page" w:x="276" w:y="2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growth was predominantly driven by volume growth in the E-commerce, Financial services and Money Remittance</w:t>
      </w:r>
    </w:p>
    <w:p>
      <w:pPr>
        <w:pStyle w:val="Normal"/>
        <w:framePr w:w="14314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was RUB 18,103 million ($292.4 million), an increase of 26% compared with RUB 14,370 million in the prior year.</w:t>
      </w:r>
    </w:p>
    <w:p>
      <w:pPr>
        <w:pStyle w:val="Normal"/>
        <w:framePr w:w="5150" w:hAnchor="page" w:vAnchor="page" w:x="276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compared with RUB 16,497 million in the prior year.</w:t>
      </w:r>
    </w:p>
    <w:p>
      <w:pPr>
        <w:pStyle w:val="Normal"/>
        <w:framePr w:w="13445" w:hAnchor="page" w:vAnchor="page" w:x="276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for the year ended December 31, 2019 was RUB 20,965 million ($338.7 million), an increase of 27%</w:t>
      </w:r>
    </w:p>
    <w:p>
      <w:pPr>
        <w:pStyle w:val="Normal"/>
        <w:framePr w:w="3698" w:hAnchor="page" w:vAnchor="page" w:x="276" w:y="1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contribution of Rocketbank Segment.</w:t>
      </w:r>
    </w:p>
    <w:p>
      <w:pPr>
        <w:pStyle w:val="Normal"/>
        <w:framePr w:w="13865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 and CFS Segments Net Revenue growth partially offset by the decline in the SME Segment Net Revenue as well as negative Net Revenue</w:t>
      </w:r>
    </w:p>
    <w:p>
      <w:pPr>
        <w:pStyle w:val="Normal"/>
        <w:framePr w:w="14184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23,176 million ($374.4 million), an increase of 18% compared with RUB 19,657 million in the prior year. The increase was mainly driven by Payment</w:t>
      </w:r>
    </w:p>
    <w:p>
      <w:pPr>
        <w:pStyle w:val="Normal"/>
        <w:framePr w:w="13714" w:hAnchor="page" w:vAnchor="page" w:x="276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and Segment Net Revenues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Total Adjusted Net Revenue (Total Segment Net Revenue) for the year ended December 31, 2019 was RUB</w:t>
      </w:r>
    </w:p>
    <w:p>
      <w:pPr>
        <w:pStyle w:val="Normal"/>
        <w:framePr w:w="2464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Full-Year 2019 Results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7pt;margin-top:1pt;z-index:-1677704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2.8pt;margin-top:1pt;z-index:-1677704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12.8pt;margin-top:2.45pt;z-index:-167770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597.95pt;margin-top:1pt;z-index:-1677703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12.8pt;margin-top:1pt;z-index:-167770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</w:p>
    <w:p>
      <w:pPr>
        <w:pStyle w:val="Normal"/>
        <w:framePr w:w="6509" w:hAnchor="page" w:vAnchor="page" w:x="507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foreign exchange gain/loss on June 2014 offering proceeds</w:t>
      </w:r>
    </w:p>
    <w:p>
      <w:pPr>
        <w:pStyle w:val="Normal"/>
        <w:framePr w:w="14237" w:hAnchor="page" w:vAnchor="page" w:x="276" w:y="76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gain/loss is calculated as total foreign exchange gain/loss, net recognized in the statement of comprehensive income excluding the</w:t>
      </w:r>
    </w:p>
    <w:p>
      <w:pPr>
        <w:pStyle w:val="Normal"/>
        <w:framePr w:w="2939" w:hAnchor="page" w:vAnchor="page" w:x="27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same period in the prior year.</w:t>
      </w:r>
    </w:p>
    <w:p>
      <w:pPr>
        <w:pStyle w:val="Normal"/>
        <w:framePr w:w="13882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Revenue Yield excluding the effect of fees for inactive accounts and unclaimed payments was 1.29%, a decrease of 3 bps as compared with the</w:t>
      </w:r>
    </w:p>
    <w:p>
      <w:pPr>
        <w:pStyle w:val="Normal"/>
        <w:framePr w:w="14023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Yield was 1.41%, a decrease of 4 bps as compared with 1.45% in the prior year. Payment Services Segment</w:t>
      </w:r>
    </w:p>
    <w:p>
      <w:pPr>
        <w:pStyle w:val="Normal"/>
        <w:framePr w:w="13444" w:hAnchor="page" w:vAnchor="page" w:x="276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1.26% in the prior year driven primarily by a decline in E-commerce category adjusted net revenue yield resulting from changing product mix.</w:t>
      </w:r>
    </w:p>
    <w:p>
      <w:pPr>
        <w:pStyle w:val="Normal"/>
        <w:framePr w:w="13941" w:hAnchor="page" w:vAnchor="page" w:x="27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well as secular growth in some of our key categories. Payment Average Adjusted Net Revenue Yield was 1.22%, a decrease of 4 bps compared with</w:t>
      </w:r>
    </w:p>
    <w:p>
      <w:pPr>
        <w:pStyle w:val="Normal"/>
        <w:framePr w:w="13979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merchants and partners including betting merchants, new contracts and projects targeting the self-employed market and sharing economy partners as</w:t>
      </w:r>
    </w:p>
    <w:p>
      <w:pPr>
        <w:pStyle w:val="Normal"/>
        <w:framePr w:w="13536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commerce, Money Remittances and Financial Services market verticals resulting largely from the development of certain payment solutions for</w:t>
      </w:r>
    </w:p>
    <w:p>
      <w:pPr>
        <w:pStyle w:val="Normal"/>
        <w:framePr w:w="13907" w:hAnchor="page" w:vAnchor="page" w:x="2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($24.0 billion), an increase of 31% compared with RUB 1,138 billion in the prior year. The increase in payment volume was driven by growth in E-</w:t>
      </w:r>
    </w:p>
    <w:p>
      <w:pPr>
        <w:pStyle w:val="Normal"/>
        <w:framePr w:w="14152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Payment Services Other Operating Data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For the year ended December 31, 2019, Payment Services Segment payment volume was RUB 1,489 billion</w:t>
      </w:r>
    </w:p>
    <w:p>
      <w:pPr>
        <w:pStyle w:val="Normal"/>
        <w:framePr w:w="12018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primarily driven by the expenses incurred in connection with the transfer and roll out of the operations of Rocketbank in QIWI.</w:t>
      </w:r>
    </w:p>
    <w:p>
      <w:pPr>
        <w:pStyle w:val="Normal"/>
        <w:framePr w:w="14343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 Net Loss was RUB 2,317 million ($37.4 million), an increase of 118% as compared with the net loss of RUB 1,061 million in the prior year</w:t>
      </w:r>
    </w:p>
    <w:p>
      <w:pPr>
        <w:pStyle w:val="Normal"/>
        <w:framePr w:w="13005" w:hAnchor="page" w:vAnchor="page" w:x="276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substantial improvement of the segment results of operations primarily resulted from the development and scaling of the Tochka business.</w:t>
      </w:r>
    </w:p>
    <w:p>
      <w:pPr>
        <w:pStyle w:val="Normal"/>
        <w:framePr w:w="14346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Small and Medium Enterprises Net Profit was RUB 354 million ($5.7 million) as compared to a Net Loss of RUB 776 million in the prior year. The</w:t>
      </w:r>
    </w:p>
    <w:p>
      <w:pPr>
        <w:pStyle w:val="Normal"/>
        <w:framePr w:w="12644" w:hAnchor="page" w:vAnchor="page" w:x="276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SOVEST project as well as implementation and growth of consumer value added options offset by an increase in credit loss expenses.</w:t>
      </w:r>
    </w:p>
    <w:p>
      <w:pPr>
        <w:pStyle w:val="Normal"/>
        <w:framePr w:w="14177" w:hAnchor="page" w:vAnchor="page" w:x="27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Loss of RUB 2,618 million in the same period of the prior year. Decline of the Net Loss resulted primarily from the expansion of operations of the</w:t>
      </w:r>
    </w:p>
    <w:p>
      <w:pPr>
        <w:pStyle w:val="Normal"/>
        <w:framePr w:w="14055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Consumer Financial Services Segment Net Loss for the year ended December 31, 2019 was RUB 1,981 million ($32.0 million) as compared to a</w:t>
      </w:r>
    </w:p>
    <w:p>
      <w:pPr>
        <w:pStyle w:val="Normal"/>
        <w:framePr w:w="517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16.</w:t>
      </w:r>
    </w:p>
    <w:p>
      <w:pPr>
        <w:pStyle w:val="Normal"/>
        <w:framePr w:w="14275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employees and related taxes (excluding effect of share-based payments) as well as depreciation and amortization resulting from the adoption of IFRS</w:t>
      </w:r>
    </w:p>
    <w:p>
      <w:pPr>
        <w:pStyle w:val="Normal"/>
        <w:framePr w:w="14193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RUB 9,529 million in the prior year driven by Payment Services Segment Net Revenue growth and slightly offset by an increase in compensation</w:t>
      </w:r>
    </w:p>
    <w:p>
      <w:pPr>
        <w:pStyle w:val="Normal"/>
        <w:framePr w:w="14242" w:hAnchor="page" w:vAnchor="page" w:x="276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year ended December 31, 2019, Payment Services Segment Net Profit was RUB 12,105 million ($195.5 million), an increase of 27% compared</w:t>
      </w:r>
    </w:p>
    <w:p>
      <w:pPr>
        <w:pStyle w:val="Normal"/>
        <w:framePr w:w="3440" w:hAnchor="page" w:vAnchor="page" w:x="276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increase in income tax expense.</w:t>
      </w:r>
    </w:p>
    <w:p>
      <w:pPr>
        <w:pStyle w:val="Normal"/>
        <w:framePr w:w="14277" w:hAnchor="page" w:vAnchor="page" w:x="276" w:y="6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same factors impacting Adjusted EBITDA as well as a decrease in net foreign exchange loss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as compared to the same period in the prior year offset by</w:t>
      </w:r>
    </w:p>
    <w:p>
      <w:pPr>
        <w:pStyle w:val="Normal"/>
        <w:framePr w:w="14358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($107.9 million), an increase of 61% compared with RUB 4,137 million in the prior year. The growth of Adjusted Net Profit was primarily driven by the</w:t>
      </w:r>
    </w:p>
    <w:p>
      <w:pPr>
        <w:pStyle w:val="Normal"/>
        <w:framePr w:w="13691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and Segment Net Profit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For the year ended December 31, 2019, Adjusted Net Profit (Total Segment Net Profit) was RUB 6,679 million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7pt;margin-top:1pt;z-index:-1677702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12.8pt;margin-top:1pt;z-index:-1677702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2.8pt;margin-top:2.45pt;z-index:-1677702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97.95pt;margin-top:1pt;z-index:-1677701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2.8pt;margin-top:1pt;z-index:-1677701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2.8pt;margin-top:376.4pt;z-index:-16777008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</w:p>
    <w:p>
      <w:pPr>
        <w:pStyle w:val="Normal"/>
        <w:framePr w:w="9352" w:hAnchor="page" w:vAnchor="page" w:x="276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It remains the long-term intention of the Company to distribute all excess cash to the shareholders.</w:t>
      </w:r>
    </w:p>
    <w:p>
      <w:pPr>
        <w:pStyle w:val="Normal"/>
        <w:framePr w:w="6969" w:hAnchor="page" w:vAnchor="page" w:x="276" w:y="11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each of the quarters may vary and be above or below provided target.</w:t>
      </w:r>
    </w:p>
    <w:p>
      <w:pPr>
        <w:pStyle w:val="Normal"/>
        <w:framePr w:w="14108" w:hAnchor="page" w:vAnchor="page" w:x="276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on a quarterly basis, as it deems necessary so that the total annual payout is in accordance with the target provided, though the payout ratios</w:t>
      </w:r>
    </w:p>
    <w:p>
      <w:pPr>
        <w:pStyle w:val="Normal"/>
        <w:framePr w:w="14353" w:hAnchor="page" w:vAnchor="page" w:x="276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approved a target dividend payout ratio of at least 50% of Group Adjusted Net Profit for 2020. The Board of Directors reserves the right to distribute the</w:t>
      </w:r>
    </w:p>
    <w:p>
      <w:pPr>
        <w:pStyle w:val="Normal"/>
        <w:framePr w:w="14321" w:hAnchor="page" w:vAnchor="page" w:x="276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Further, considering our expectations about the performance of the Group as well as our anticipated level of investments in 2020, the Board of Directors</w:t>
      </w:r>
    </w:p>
    <w:p>
      <w:pPr>
        <w:pStyle w:val="Normal"/>
        <w:framePr w:w="3793" w:hAnchor="page" w:vAnchor="page" w:x="276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receive the dividend shortly thereafter.</w:t>
      </w:r>
    </w:p>
    <w:p>
      <w:pPr>
        <w:pStyle w:val="Normal"/>
        <w:framePr w:w="13940" w:hAnchor="page" w:vAnchor="page" w:x="276" w:y="9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cents per share. The dividend record date is April 6, 2020, and the Company intends to pay the dividend on April 9, 2020. The holders of ADSs will</w:t>
      </w:r>
    </w:p>
    <w:p>
      <w:pPr>
        <w:pStyle w:val="Normal"/>
        <w:framePr w:w="14209" w:hAnchor="page" w:vAnchor="page" w:x="276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for 2019. Hence, following the determination of the fourth quarter 2019 financial results, our Board of Directors approved a dividend of USD 22</w:t>
      </w:r>
    </w:p>
    <w:p>
      <w:pPr>
        <w:pStyle w:val="Normal"/>
        <w:framePr w:w="14087" w:hAnchor="page" w:vAnchor="page" w:x="276" w:y="94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Dividend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In accordance with the decision of the Board of Directors, the Company aims to distribute between 65% to 85% of the Group Adjusted Net</w:t>
      </w:r>
    </w:p>
    <w:p>
      <w:pPr>
        <w:pStyle w:val="Normal"/>
        <w:framePr w:w="9311" w:hAnchor="page" w:vAnchor="page" w:x="276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Category. Founders of Flocktory Ltd continue to serve as members of its supervisory board.</w:t>
      </w:r>
    </w:p>
    <w:p>
      <w:pPr>
        <w:pStyle w:val="Normal"/>
        <w:framePr w:w="14286" w:hAnchor="page" w:vAnchor="page" w:x="276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this transaction, QIWI has obtained control over Flocktory Ltd, and starting from December 2019 consolidates the business as part of the Corporate and</w:t>
      </w:r>
    </w:p>
    <w:p>
      <w:pPr>
        <w:pStyle w:val="Normal"/>
        <w:framePr w:w="14177" w:hAnchor="page" w:vAnchor="page" w:x="276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analysis. On December 2, 2019 founders of Flocktory Ltd have exercised the put-options they were granted as part of the initial transaction. Following</w:t>
      </w:r>
    </w:p>
    <w:p>
      <w:pPr>
        <w:pStyle w:val="Normal"/>
        <w:framePr w:w="14279" w:hAnchor="page" w:vAnchor="page" w:x="276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primarily on the development of automated marketing solutions for the e-commerce, financial, media and travel industries, based on data collection and</w:t>
      </w:r>
    </w:p>
    <w:p>
      <w:pPr>
        <w:pStyle w:val="Normal"/>
        <w:framePr w:w="13604" w:hAnchor="page" w:vAnchor="page" w:x="27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Floctory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In March 2017 QIWI acquired 82% of Flocktory Ltd, a SaaS platform for customer lifecycle management and personalization focused</w:t>
      </w:r>
    </w:p>
    <w:p>
      <w:pPr>
        <w:pStyle w:val="Normal"/>
        <w:framePr w:w="1237" w:hAnchor="page" w:vAnchor="page" w:x="276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1.5 billion.</w:t>
      </w:r>
    </w:p>
    <w:p>
      <w:pPr>
        <w:pStyle w:val="Normal"/>
        <w:framePr w:w="14367" w:hAnchor="page" w:vAnchor="page" w:x="276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 term. We anticipate the wind-down will be completed by the end of 2020. Total net loss of the Rocketbank segment for 2020 shall not exceed RUB</w:t>
      </w:r>
    </w:p>
    <w:p>
      <w:pPr>
        <w:pStyle w:val="Normal"/>
        <w:framePr w:w="13883" w:hAnchor="page" w:vAnchor="page" w:x="276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result in an overall significant decline in the number of the Rocketbank customers and termination of the current Rocketbank service offering in the</w:t>
      </w:r>
    </w:p>
    <w:p>
      <w:pPr>
        <w:pStyle w:val="Normal"/>
        <w:framePr w:w="14190" w:hAnchor="page" w:vAnchor="page" w:x="27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terminate marketing activities (including cancelation of the Rocketbank loyalty program), reduce headcount and increase tariffs, which we believe will</w:t>
      </w:r>
    </w:p>
    <w:p>
      <w:pPr>
        <w:pStyle w:val="Normal"/>
        <w:framePr w:w="13843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particularly as part of our B2B2C product pipeline. As part of the measures we are taking to wind-down Rocketbank project, we intend to</w:t>
      </w:r>
    </w:p>
    <w:p>
      <w:pPr>
        <w:pStyle w:val="Normal"/>
        <w:framePr w:w="14192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efficient way to reuse or dispose of the Rocketbank assets, including piloting certain projects earlier developed in Rocketbank in our Payment Services</w:t>
      </w:r>
    </w:p>
    <w:p>
      <w:pPr>
        <w:pStyle w:val="Normal"/>
        <w:framePr w:w="13933" w:hAnchor="page" w:vAnchor="page" w:x="276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result, the Board of Directors decided to wind-down Rocketbank operations. We have commenced this process and are currently reviewing the most</w:t>
      </w:r>
    </w:p>
    <w:p>
      <w:pPr>
        <w:pStyle w:val="Normal"/>
        <w:framePr w:w="13950" w:hAnchor="page" w:vAnchor="page" w:x="276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Subsequently, we investigated a potential partial or complete sale of Rocketbank. We were not able to find a suitable buyer for Rocketbank, and as a</w:t>
      </w:r>
    </w:p>
    <w:p>
      <w:pPr>
        <w:pStyle w:val="Normal"/>
        <w:framePr w:w="7950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management investigates the potential for a partial or complete sale of Rocketbank.</w:t>
      </w:r>
    </w:p>
    <w:p>
      <w:pPr>
        <w:pStyle w:val="Normal"/>
        <w:framePr w:w="14044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appetite and that the business had limited potential synergies with the core business of the Company. The Board of Directors, therefore requested that</w:t>
      </w:r>
    </w:p>
    <w:p>
      <w:pPr>
        <w:pStyle w:val="Normal"/>
        <w:framePr w:w="14100" w:hAnchor="page" w:vAnchor="page" w:x="2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Directors concluded that Rocketbank’s business plan had an investment profile and financing requirements that were not compatible with QIWI’s risk</w:t>
      </w:r>
    </w:p>
    <w:p>
      <w:pPr>
        <w:pStyle w:val="Normal"/>
        <w:framePr w:w="14348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reviewed by the Board of Directors of the Company. In August 2019, having duly considered the proposed strategy and required financing, our Board of</w:t>
      </w:r>
    </w:p>
    <w:p>
      <w:pPr>
        <w:pStyle w:val="Normal"/>
        <w:framePr w:w="14099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Rocketbank’s business as either a part of our broader ecosystem or as a standalone project. A final strategic plan for Rocketbank was presented to and</w:t>
      </w:r>
    </w:p>
    <w:p>
      <w:pPr>
        <w:pStyle w:val="Normal"/>
        <w:framePr w:w="14248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and business processes into QIWI. Throughout the first half of 2019, we reviewed a number of strategic opportunities for the development of</w:t>
      </w:r>
    </w:p>
    <w:p>
      <w:pPr>
        <w:pStyle w:val="Normal"/>
        <w:framePr w:w="13894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Otkritie Bank. In July 2018, we finalized the acquisition of Rocketbank and, by the end of 2018, completed the transfer of Rocketbank’s customers,</w:t>
      </w:r>
    </w:p>
    <w:p>
      <w:pPr>
        <w:pStyle w:val="Normal"/>
        <w:framePr w:w="14012" w:hAnchor="page" w:vAnchor="page" w:x="276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Rocketbank Sale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In August 2017, we executed a series of transactions to acquire the brands, software and hardware of Tochka and Rocketbank from</w:t>
      </w:r>
    </w:p>
    <w:p>
      <w:pPr>
        <w:pStyle w:val="Normal"/>
        <w:framePr w:w="2355" w:hAnchor="page" w:vAnchor="page" w:x="2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Recent Developments</w:t>
      </w:r>
    </w:p>
    <w:p>
      <w:pPr>
        <w:pStyle w:val="Normal"/>
        <w:framePr w:w="10598" w:hAnchor="page" w:vAnchor="page" w:x="276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Net Revenue Yield increased to 4.82% driven by the growth and development of the SOVEST project.</w:t>
      </w:r>
    </w:p>
    <w:p>
      <w:pPr>
        <w:pStyle w:val="Normal"/>
        <w:framePr w:w="13941" w:hAnchor="page" w:vAnchor="page" w:x="27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RUB 27.8 billion ($0.4 billion). CFS payment volume increased by 75% as compared to the RUB 15.9 billion for the full year 2018, while CFS</w:t>
      </w:r>
    </w:p>
    <w:p>
      <w:pPr>
        <w:pStyle w:val="Normal"/>
        <w:framePr w:w="14120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Consumer Financial Services Other Operating Data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For the year ended December 31, 2019, Consumer Financial Services Segment payment volume</w:t>
      </w:r>
    </w:p>
    <w:p>
      <w:pPr>
        <w:pStyle w:val="Normal"/>
        <w:framePr w:w="1031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services.</w:t>
      </w:r>
    </w:p>
    <w:p>
      <w:pPr>
        <w:pStyle w:val="Normal"/>
        <w:framePr w:w="14017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development of consumer and merchant use cases in the core market verticals, network effects as well as increasing convenience and usability of our</w:t>
      </w:r>
    </w:p>
    <w:p>
      <w:pPr>
        <w:pStyle w:val="Normal"/>
        <w:framePr w:w="13855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December 31, 2019, an increase of 1.6 million, or 8%, as compared with 20.8 million as of December 31, 2018. The increase was driven mainly by</w:t>
      </w:r>
    </w:p>
    <w:p>
      <w:pPr>
        <w:pStyle w:val="Normal"/>
        <w:framePr w:w="13554" w:hAnchor="page" w:vAnchor="page" w:x="276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physical distribution network remains an important part of our infrastructure. The number of active Qiwi Wallet accounts was 22.5 million as of</w:t>
      </w:r>
    </w:p>
    <w:p>
      <w:pPr>
        <w:pStyle w:val="Normal"/>
        <w:framePr w:w="13643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number of our kiosks and terminals is generally decreasing as market evolves towards higher share of digital payments, at the same time our</w:t>
      </w:r>
    </w:p>
    <w:p>
      <w:pPr>
        <w:pStyle w:val="Normal"/>
        <w:framePr w:w="1532" w:hAnchor="page" w:vAnchor="page" w:x="27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consolidation.</w:t>
      </w:r>
    </w:p>
    <w:p>
      <w:pPr>
        <w:pStyle w:val="Normal"/>
        <w:framePr w:w="13209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prior year mainly due to the decline in the number of terminals slightly offset by the increase in the number of kiosks due to ongoing market</w:t>
      </w:r>
    </w:p>
    <w:p>
      <w:pPr>
        <w:pStyle w:val="Normal"/>
        <w:framePr w:w="14100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number of active kiosks and terminals was 134,280 including Contact and Rapida physical points of service, a decrease of 7% compared with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7pt;margin-top:1pt;z-index:-1677700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2.8pt;margin-top:1pt;z-index:-1677700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2.8pt;margin-top:2.45pt;z-index:-1677699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97.95pt;margin-top:1pt;z-index:-1677699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2.8pt;margin-top:1pt;z-index:-1677698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</w:p>
    <w:p>
      <w:pPr>
        <w:pStyle w:val="Normal"/>
        <w:framePr w:w="4118" w:hAnchor="page" w:vAnchor="page" w:x="276" w:y="11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Guidance is provided in Russian rubles</w:t>
      </w:r>
    </w:p>
    <w:p>
      <w:pPr>
        <w:pStyle w:val="Normal"/>
        <w:framePr w:w="9278" w:hAnchor="page" w:vAnchor="page" w:x="276" w:y="10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goods and services or transfer money across virtual or physical environments interchangeably.</w:t>
      </w:r>
    </w:p>
    <w:p>
      <w:pPr>
        <w:pStyle w:val="Normal"/>
        <w:framePr w:w="14196" w:hAnchor="page" w:vAnchor="page" w:x="276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consumers using its network at least once a month. QIWI’s consumers can use cash, stored value and other electronic payment methods in order to pay</w:t>
      </w:r>
    </w:p>
    <w:p>
      <w:pPr>
        <w:pStyle w:val="Normal"/>
        <w:framePr w:w="13618" w:hAnchor="page" w:vAnchor="page" w:x="276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enabled merchants and customers to accept and transfer over RUB 124 billion cash and electronic payments monthly connecting over 42 million</w:t>
      </w:r>
    </w:p>
    <w:p>
      <w:pPr>
        <w:pStyle w:val="Normal"/>
        <w:framePr w:w="14255" w:hAnchor="page" w:vAnchor="page" w:x="276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across online, mobile and physical channels. It has deployed over 22.5 million virtual wallets, over 134,000 kiosks and terminals, and</w:t>
      </w:r>
    </w:p>
    <w:p>
      <w:pPr>
        <w:pStyle w:val="Normal"/>
        <w:framePr w:w="14382" w:hAnchor="page" w:vAnchor="page" w:x="276" w:y="9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is a leading provider of next generation payment and financial services in Russia and the CIS. It has an integrated proprietary network that enables</w:t>
      </w:r>
    </w:p>
    <w:p>
      <w:pPr>
        <w:pStyle w:val="Normal"/>
        <w:framePr w:w="1906" w:hAnchor="page" w:vAnchor="page" w:x="27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About QIWI plc.</w:t>
      </w:r>
    </w:p>
    <w:p>
      <w:pPr>
        <w:pStyle w:val="Normal"/>
        <w:framePr w:w="8170" w:hAnchor="page" w:vAnchor="page" w:x="276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under the Corporate Investor Relations section or directly at http://investor.qiwi.com/.</w:t>
      </w:r>
    </w:p>
    <w:p>
      <w:pPr>
        <w:pStyle w:val="Normal"/>
        <w:framePr w:w="14133" w:hAnchor="page" w:vAnchor="page" w:x="276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13699853. The replay will be available until Tuesday, April 7, 2020. The call will be webcast live from the Company’s website at https://www.qiwi.ru</w:t>
      </w:r>
    </w:p>
    <w:p>
      <w:pPr>
        <w:pStyle w:val="Normal"/>
        <w:framePr w:w="13658" w:hAnchor="page" w:vAnchor="page" w:x="276" w:y="83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 available at 11:30 a.m. ET and can be accessed by dialing +1 (844) 512-2921 or +1 (412) 317-6671 for international callers; the pin number is</w:t>
      </w:r>
    </w:p>
    <w:p>
      <w:pPr>
        <w:pStyle w:val="Normal"/>
        <w:framePr w:w="14392" w:hAnchor="page" w:vAnchor="page" w:x="276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conference call can be accessed live over the phone by dialing +1 (877) 407-3982 or for international callers by dialing +1 (201) 493-6780. A replay will</w:t>
      </w:r>
    </w:p>
    <w:p>
      <w:pPr>
        <w:pStyle w:val="Normal"/>
        <w:framePr w:w="13720" w:hAnchor="page" w:vAnchor="page" w:x="276" w:y="78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chief executive officer, Andrey Protopopov, chief executive officer of Payment Services and Varvara Kiseleva, interim chief financial officer. The</w:t>
      </w:r>
    </w:p>
    <w:p>
      <w:pPr>
        <w:pStyle w:val="Normal"/>
        <w:framePr w:w="14237" w:hAnchor="page" w:vAnchor="page" w:x="276" w:y="76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will host a conference call to discuss fourth quarter and full year 2019 financial results today at 8:30 a.m. ET. Hosting the call will be Boris Kim,</w:t>
      </w:r>
    </w:p>
    <w:p>
      <w:pPr>
        <w:pStyle w:val="Normal"/>
        <w:framePr w:w="4768" w:hAnchor="page" w:vAnchor="page" w:x="27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Conference Call and Audio Webcast</w:t>
      </w:r>
    </w:p>
    <w:p>
      <w:pPr>
        <w:pStyle w:val="Normal"/>
        <w:framePr w:w="1988" w:hAnchor="page" w:vAnchor="page" w:x="276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becomes available.</w:t>
      </w:r>
    </w:p>
    <w:p>
      <w:pPr>
        <w:pStyle w:val="Normal"/>
        <w:framePr w:w="14088" w:hAnchor="page" w:vAnchor="page" w:x="276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reserves the right to revise guidance in the course of the year or when additional information regarding the effect of the ongoing events</w:t>
      </w:r>
    </w:p>
    <w:p>
      <w:pPr>
        <w:pStyle w:val="Normal"/>
        <w:framePr w:w="6911" w:hAnchor="page" w:vAnchor="page" w:x="276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Net Profit Guidance and present only the Group Net Profit guidance.</w:t>
      </w:r>
    </w:p>
    <w:p>
      <w:pPr>
        <w:pStyle w:val="Normal"/>
        <w:framePr w:w="14393" w:hAnchor="page" w:vAnchor="page" w:x="276" w:y="57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aim to adjust the reporting to better reflect the new structure starting from the first quarter 2020. Consequently, we refrain from providing standalone</w:t>
      </w:r>
    </w:p>
    <w:p>
      <w:pPr>
        <w:pStyle w:val="Normal"/>
        <w:framePr w:w="14151" w:hAnchor="page" w:vAnchor="page" w:x="276" w:y="55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Segment, but rather to the Corporate category or allocated between the segments. We are currently reviewing our allocation policies</w:t>
      </w:r>
    </w:p>
    <w:p>
      <w:pPr>
        <w:pStyle w:val="Normal"/>
        <w:framePr w:w="13941" w:hAnchor="page" w:vAnchor="page" w:x="276" w:y="53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certain costs (primarily personnel costs related to different group level functions, such as compliance, HR or legal) will no longer be allocated to the</w:t>
      </w:r>
    </w:p>
    <w:p>
      <w:pPr>
        <w:pStyle w:val="Normal"/>
        <w:framePr w:w="13906" w:hAnchor="page" w:vAnchor="page" w:x="276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Further, the Compensation Committee of the Group has recently approved certain changes to our organizational structure. Following these changes,</w:t>
      </w:r>
    </w:p>
    <w:p>
      <w:pPr>
        <w:pStyle w:val="Normal"/>
        <w:framePr w:w="14355" w:hAnchor="page" w:vAnchor="page" w:x="276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deteriorate further the impact on our business and operations could be more severe than currently expected. We continue to monitor the situation closely.</w:t>
      </w:r>
    </w:p>
    <w:p>
      <w:pPr>
        <w:pStyle w:val="Normal"/>
        <w:framePr w:w="13573" w:hAnchor="page" w:vAnchor="page" w:x="276" w:y="4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Our outlook reflects our current views and expectations only and is based on the trends we see as of the day of this report. If such trends were to</w:t>
      </w:r>
    </w:p>
    <w:p>
      <w:pPr>
        <w:pStyle w:val="Normal"/>
        <w:framePr w:w="14080" w:hAnchor="page" w:vAnchor="page" w:x="276" w:y="4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oil prices and resulting devaluation of the ruble may have on the Russian economy also remains unclear but has the potential to be very significant.</w:t>
      </w:r>
    </w:p>
    <w:p>
      <w:pPr>
        <w:pStyle w:val="Normal"/>
        <w:framePr w:w="14313" w:hAnchor="page" w:vAnchor="page" w:x="276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length and severity of the effect of the coronavirus on economic activity in our markets. The full scope of the negative impact that the abrupt decline</w:t>
      </w:r>
    </w:p>
    <w:p>
      <w:pPr>
        <w:pStyle w:val="Normal"/>
        <w:framePr w:w="14287" w:hAnchor="page" w:vAnchor="page" w:x="276" w:y="3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what effect the outbreak of COVID-19 will have on the macroeconomic environment, as a whole. The full impact remains uncertain and will depend on</w:t>
      </w:r>
    </w:p>
    <w:p>
      <w:pPr>
        <w:pStyle w:val="Normal"/>
        <w:framePr w:w="14359" w:hAnchor="page" w:vAnchor="page" w:x="276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the major sports events. In addition, it is currently unclear how much consumer demand will be negatively affected by the outbreak of COVID-19 and</w:t>
      </w:r>
    </w:p>
    <w:p>
      <w:pPr>
        <w:pStyle w:val="Normal"/>
        <w:framePr w:w="14330" w:hAnchor="page" w:vAnchor="page" w:x="276" w:y="3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industry in general and our revenue generated from products and services we provide to our betting merchants caused by postponement and cancellation</w:t>
      </w:r>
    </w:p>
    <w:p>
      <w:pPr>
        <w:pStyle w:val="Normal"/>
        <w:framePr w:w="14082" w:hAnchor="page" w:vAnchor="page" w:x="276" w:y="30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this moment we are not able to accurately estimate the potential impact of the COVID-19 on our business, including the negative effect on the betting</w:t>
      </w:r>
    </w:p>
    <w:p>
      <w:pPr>
        <w:pStyle w:val="Normal"/>
        <w:framePr w:w="14254" w:hAnchor="page" w:vAnchor="page" w:x="276" w:y="2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demand across the globe and across industries, and there is the potential for COVID-19 and the responses to it to cause a global recession. At</w:t>
      </w:r>
    </w:p>
    <w:p>
      <w:pPr>
        <w:pStyle w:val="Normal"/>
        <w:framePr w:w="13903" w:hAnchor="page" w:vAnchor="page" w:x="276" w:y="2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outbreak of the COVID-19 strain of coronavirus and associated responses from various countries around the world is likely to negatively affect</w:t>
      </w:r>
    </w:p>
    <w:p>
      <w:pPr>
        <w:pStyle w:val="Normal"/>
        <w:framePr w:w="10714" w:hAnchor="page" w:vAnchor="page" w:x="276" w:y="20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purpose of the guidance in respect of 2020 outlook we would like to outline the following considerations:</w:t>
      </w:r>
    </w:p>
    <w:p>
      <w:pPr>
        <w:pStyle w:val="Normal"/>
        <w:framePr w:w="309" w:hAnchor="page" w:vAnchor="page" w:x="854" w:y="16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6730" w:hAnchor="page" w:vAnchor="page" w:x="1317" w:y="16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is expected to increase by 10% to 30% over 2019;</w:t>
      </w:r>
    </w:p>
    <w:p>
      <w:pPr>
        <w:pStyle w:val="Normal"/>
        <w:framePr w:w="309" w:hAnchor="page" w:vAnchor="page" w:x="854" w:y="1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8439" w:hAnchor="page" w:vAnchor="page" w:x="1317" w:y="1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is expected to change by -3% to 5% over 2019;</w:t>
      </w:r>
    </w:p>
    <w:p>
      <w:pPr>
        <w:pStyle w:val="Normal"/>
        <w:framePr w:w="309" w:hAnchor="page" w:vAnchor="page" w:x="854" w:y="9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7427" w:hAnchor="page" w:vAnchor="page" w:x="1317" w:y="9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Adjusted Net Revenue is expected to increase by 3% to 13% over 2019;</w:t>
      </w:r>
    </w:p>
    <w:p>
      <w:pPr>
        <w:pStyle w:val="Normal"/>
        <w:framePr w:w="5343" w:hAnchor="page" w:vAnchor="page" w:x="276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provides its guidance in respect of 2020 outlook:</w:t>
      </w:r>
    </w:p>
    <w:p>
      <w:pPr>
        <w:pStyle w:val="Normal"/>
        <w:framePr w:w="1780" w:hAnchor="page" w:vAnchor="page" w:x="276" w:y="1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2020 Guidance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7pt;margin-top:1pt;z-index:-1677698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2.8pt;margin-top:1pt;z-index:-167769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2.8pt;margin-top:2.45pt;z-index:-167769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97.95pt;margin-top:1pt;z-index:-167769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2.8pt;margin-top:1pt;z-index:-167769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12.8pt;margin-top:563.75pt;z-index:-1677696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</w:p>
    <w:p>
      <w:pPr>
        <w:pStyle w:val="Normal"/>
        <w:framePr w:w="1450" w:hAnchor="page" w:vAnchor="page" w:x="27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ir@qiwi.com</w:t>
      </w:r>
    </w:p>
    <w:p>
      <w:pPr>
        <w:pStyle w:val="Normal"/>
        <w:framePr w:w="1689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+357.25028091</w:t>
      </w:r>
    </w:p>
    <w:p>
      <w:pPr>
        <w:pStyle w:val="Normal"/>
        <w:framePr w:w="1918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Investor Relations</w:t>
      </w:r>
    </w:p>
    <w:p>
      <w:pPr>
        <w:pStyle w:val="Normal"/>
        <w:framePr w:w="1815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Varvara Kiseleva</w:t>
      </w:r>
    </w:p>
    <w:p>
      <w:pPr>
        <w:pStyle w:val="Normal"/>
        <w:framePr w:w="1012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Contact</w:t>
      </w:r>
    </w:p>
    <w:p>
      <w:pPr>
        <w:pStyle w:val="Normal"/>
        <w:framePr w:w="13457" w:hAnchor="page" w:vAnchor="page" w:x="276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forward-looking statements or to report future events that may affect such forward-looking statements unless QIWI is required to do so by law.</w:t>
      </w:r>
    </w:p>
    <w:p>
      <w:pPr>
        <w:pStyle w:val="Normal"/>
        <w:framePr w:w="14197" w:hAnchor="page" w:vAnchor="page" w:x="2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Report on Form 20-F and in other reports QIWI files with the U.S. Securities and Exchange Commission. QIWI undertakes no obligation to revise any</w:t>
      </w:r>
    </w:p>
    <w:p>
      <w:pPr>
        <w:pStyle w:val="Normal"/>
        <w:framePr w:w="13914" w:hAnchor="page" w:vAnchor="page" w:x="276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that new projects will not perform in accordance with its expectations and other risks identified under the Caption “Risk Factors” in QIWI’s Annual</w:t>
      </w:r>
    </w:p>
    <w:p>
      <w:pPr>
        <w:pStyle w:val="Normal"/>
        <w:framePr w:w="14342" w:hAnchor="page" w:vAnchor="page" w:x="276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virtual distribution channels, cyberattacks and security vulnerabilities in QIWI’s products and services, QIWI’s ability to expand geographically, the risk</w:t>
      </w:r>
    </w:p>
    <w:p>
      <w:pPr>
        <w:pStyle w:val="Normal"/>
        <w:framePr w:w="13964" w:hAnchor="page" w:vAnchor="page" w:x="276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estimate the market risk and capital risk associated with new projects, a decline in net revenue yield, regulation, QIWI’s ability to grow physical and</w:t>
      </w:r>
    </w:p>
    <w:p>
      <w:pPr>
        <w:pStyle w:val="Normal"/>
        <w:framePr w:w="14292" w:hAnchor="page" w:vAnchor="page" w:x="276" w:y="2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growth in each of our market verticals, competition, the introduction of new products and services and their acceptance by consumers, QIWI’s ability to</w:t>
      </w:r>
    </w:p>
    <w:p>
      <w:pPr>
        <w:pStyle w:val="Normal"/>
        <w:framePr w:w="14054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include, but are not limited to, the macroeconomic conditions of the Russian Federation and in each of the international markets in which we operate,</w:t>
      </w:r>
    </w:p>
    <w:p>
      <w:pPr>
        <w:pStyle w:val="Normal"/>
        <w:framePr w:w="13658" w:hAnchor="page" w:vAnchor="page" w:x="276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statements. Various factors that could cause actual future results and other future events to differ materially from those estimated by management</w:t>
      </w:r>
    </w:p>
    <w:p>
      <w:pPr>
        <w:pStyle w:val="Normal"/>
        <w:framePr w:w="14056" w:hAnchor="page" w:vAnchor="page" w:x="276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achievements of QIWI plc. to be materially different from future results, performance or achievements expressed or implied by such forward-looking</w:t>
      </w:r>
    </w:p>
    <w:p>
      <w:pPr>
        <w:pStyle w:val="Normal"/>
        <w:framePr w:w="14093" w:hAnchor="page" w:vAnchor="page" w:x="276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Such forward-looking statements involve known and unknown risks, uncertainties, and other factors that may cause the actual results, performance or</w:t>
      </w:r>
    </w:p>
    <w:p>
      <w:pPr>
        <w:pStyle w:val="Normal"/>
        <w:framePr w:w="13975" w:hAnchor="page" w:vAnchor="page" w:x="276" w:y="1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Enterprises segment, including our Tochka business, the development of our Rocketbank segment, as well as the development of other new projects.</w:t>
      </w:r>
    </w:p>
    <w:p>
      <w:pPr>
        <w:pStyle w:val="Normal"/>
        <w:framePr w:w="14152" w:hAnchor="page" w:vAnchor="page" w:x="276" w:y="1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regarding the development of our Consumer Financial Services segment, including our SOVEST business, the development of our Small and Medium</w:t>
      </w:r>
    </w:p>
    <w:p>
      <w:pPr>
        <w:pStyle w:val="Normal"/>
        <w:framePr w:w="14241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 payments, payment volume growth, growth of physical and virtual distribution channels, trends in each of our market verticals and statements</w:t>
      </w:r>
    </w:p>
    <w:p>
      <w:pPr>
        <w:pStyle w:val="Normal"/>
        <w:framePr w:w="14112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Reform Act of 1995, including, without limitation, statements regarding expected total adjusted net revenue, adjusted net profit and net revenue yield,</w:t>
      </w:r>
    </w:p>
    <w:p>
      <w:pPr>
        <w:pStyle w:val="Normal"/>
        <w:framePr w:w="13650" w:hAnchor="page" w:vAnchor="page" w:x="276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This press release includes “forward-looking statements” within the meaning of, and subject to the protection of, the Private Securities Litigation</w:t>
      </w:r>
    </w:p>
    <w:p>
      <w:pPr>
        <w:pStyle w:val="Normal"/>
        <w:framePr w:w="3152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7pt;margin-top:1pt;z-index:-1677696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12.8pt;margin-top:1pt;z-index:-167769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2.8pt;margin-top:2.45pt;z-index:-167769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97.95pt;margin-top:1pt;z-index:-167769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2.8pt;margin-top:1pt;z-index:-167769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12.8pt;margin-top:278.75pt;z-index:-16776940;width:52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</w:p>
    <w:p>
      <w:pPr>
        <w:pStyle w:val="Normal"/>
        <w:framePr w:w="5580" w:hAnchor="page" w:vAnchor="page" w:x="739" w:y="134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December 31, 2019.</w:t>
      </w:r>
    </w:p>
    <w:p>
      <w:pPr>
        <w:pStyle w:val="Normal"/>
        <w:framePr w:w="498" w:hAnchor="page" w:vAnchor="page" w:x="276" w:y="132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32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61.9057 to U.S. $1.00, which was the official exchange rate quoted by the Central</w:t>
      </w:r>
    </w:p>
    <w:p>
      <w:pPr>
        <w:pStyle w:val="Normal"/>
        <w:framePr w:w="21" w:hAnchor="page" w:vAnchor="page" w:x="7089" w:y="1300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53" w:y="1300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16" w:y="1300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756" w:hAnchor="page" w:vAnchor="page" w:x="276" w:y="127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</w:t>
      </w:r>
    </w:p>
    <w:p>
      <w:pPr>
        <w:pStyle w:val="Normal"/>
        <w:framePr w:w="1617" w:hAnchor="page" w:vAnchor="page" w:x="1260" w:y="127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and liabilities</w:t>
      </w:r>
    </w:p>
    <w:p>
      <w:pPr>
        <w:pStyle w:val="Normal"/>
        <w:framePr w:w="344" w:hAnchor="page" w:vAnchor="page" w:x="7089" w:y="127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8165" w:y="127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73,023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9828" w:y="127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81,477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1588" w:y="127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1,316 </w:t>
      </w:r>
    </w:p>
    <w:p>
      <w:pPr>
        <w:pStyle w:val="Normal"/>
        <w:framePr w:w="21" w:hAnchor="page" w:vAnchor="page" w:x="7089" w:y="12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53" w:y="12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16" w:y="12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490" w:hAnchor="page" w:vAnchor="page" w:x="276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liabilities</w:t>
      </w:r>
    </w:p>
    <w:p>
      <w:pPr>
        <w:pStyle w:val="Normal"/>
        <w:framePr w:w="21" w:hAnchor="page" w:vAnchor="page" w:x="7089" w:y="124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46,336</w:t>
      </w:r>
    </w:p>
    <w:p>
      <w:pPr>
        <w:pStyle w:val="Normal"/>
        <w:framePr w:w="21" w:hAnchor="page" w:vAnchor="page" w:x="8753" w:y="124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828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50,240</w:t>
      </w:r>
    </w:p>
    <w:p>
      <w:pPr>
        <w:pStyle w:val="Normal"/>
        <w:framePr w:w="21" w:hAnchor="page" w:vAnchor="page" w:x="10416" w:y="124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812</w:t>
      </w:r>
    </w:p>
    <w:p>
      <w:pPr>
        <w:pStyle w:val="Normal"/>
        <w:framePr w:w="2387" w:hAnchor="page" w:vAnchor="page" w:x="276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liabilities</w:t>
      </w:r>
    </w:p>
    <w:p>
      <w:pPr>
        <w:pStyle w:val="Normal"/>
        <w:framePr w:w="344" w:hAnchor="page" w:vAnchor="page" w:x="7089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541   </w:t>
      </w:r>
    </w:p>
    <w:p>
      <w:pPr>
        <w:pStyle w:val="Normal"/>
        <w:framePr w:w="760" w:hAnchor="page" w:vAnchor="page" w:x="10069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902   </w:t>
      </w:r>
    </w:p>
    <w:p>
      <w:pPr>
        <w:pStyle w:val="Normal"/>
        <w:framePr w:w="517" w:hAnchor="page" w:vAnchor="page" w:x="11829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</w:t>
      </w:r>
    </w:p>
    <w:p>
      <w:pPr>
        <w:pStyle w:val="Normal"/>
        <w:framePr w:w="2884" w:hAnchor="page" w:vAnchor="page" w:x="276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VAT and other taxes payable</w:t>
      </w:r>
    </w:p>
    <w:p>
      <w:pPr>
        <w:pStyle w:val="Normal"/>
        <w:framePr w:w="344" w:hAnchor="page" w:vAnchor="page" w:x="7089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428   </w:t>
      </w:r>
    </w:p>
    <w:p>
      <w:pPr>
        <w:pStyle w:val="Normal"/>
        <w:framePr w:w="760" w:hAnchor="page" w:vAnchor="page" w:x="10069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184   </w:t>
      </w:r>
    </w:p>
    <w:p>
      <w:pPr>
        <w:pStyle w:val="Normal"/>
        <w:framePr w:w="401" w:hAnchor="page" w:vAnchor="page" w:x="11926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2528" w:hAnchor="page" w:vAnchor="page" w:x="276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lease liability</w:t>
      </w:r>
    </w:p>
    <w:p>
      <w:pPr>
        <w:pStyle w:val="Normal"/>
        <w:framePr w:w="344" w:hAnchor="page" w:vAnchor="page" w:x="7089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10069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340   </w:t>
      </w:r>
    </w:p>
    <w:p>
      <w:pPr>
        <w:pStyle w:val="Normal"/>
        <w:framePr w:w="401" w:hAnchor="page" w:vAnchor="page" w:x="11926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 </w:t>
      </w:r>
    </w:p>
    <w:p>
      <w:pPr>
        <w:pStyle w:val="Normal"/>
        <w:framePr w:w="4456" w:hAnchor="page" w:vAnchor="page" w:x="276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 accounts and amounts due to banks</w:t>
      </w:r>
    </w:p>
    <w:p>
      <w:pPr>
        <w:pStyle w:val="Normal"/>
        <w:framePr w:w="344" w:hAnchor="page" w:vAnchor="page" w:x="7089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8165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17,868   </w:t>
      </w:r>
    </w:p>
    <w:p>
      <w:pPr>
        <w:pStyle w:val="Normal"/>
        <w:framePr w:w="1049" w:hAnchor="page" w:vAnchor="page" w:x="9828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21,519   </w:t>
      </w:r>
    </w:p>
    <w:p>
      <w:pPr>
        <w:pStyle w:val="Normal"/>
        <w:framePr w:w="633" w:hAnchor="page" w:vAnchor="page" w:x="11733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348 </w:t>
      </w:r>
    </w:p>
    <w:p>
      <w:pPr>
        <w:pStyle w:val="Normal"/>
        <w:framePr w:w="2552" w:hAnchor="page" w:vAnchor="page" w:x="276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payables</w:t>
      </w:r>
    </w:p>
    <w:p>
      <w:pPr>
        <w:pStyle w:val="Normal"/>
        <w:framePr w:w="344" w:hAnchor="page" w:vAnchor="page" w:x="7089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8165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27,499   </w:t>
      </w:r>
    </w:p>
    <w:p>
      <w:pPr>
        <w:pStyle w:val="Normal"/>
        <w:framePr w:w="1049" w:hAnchor="page" w:vAnchor="page" w:x="9828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27,295   </w:t>
      </w:r>
    </w:p>
    <w:p>
      <w:pPr>
        <w:pStyle w:val="Normal"/>
        <w:framePr w:w="633" w:hAnchor="page" w:vAnchor="page" w:x="11733" w:y="112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441 </w:t>
      </w:r>
    </w:p>
    <w:p>
      <w:pPr>
        <w:pStyle w:val="Normal"/>
        <w:framePr w:w="1991" w:hAnchor="page" w:vAnchor="page" w:x="276" w:y="110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liabilities</w:t>
      </w:r>
    </w:p>
    <w:p>
      <w:pPr>
        <w:pStyle w:val="Normal"/>
        <w:framePr w:w="21" w:hAnchor="page" w:vAnchor="page" w:x="7089" w:y="110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53" w:y="110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16" w:y="110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940" w:hAnchor="page" w:vAnchor="page" w:x="276" w:y="107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liabilities</w:t>
      </w:r>
    </w:p>
    <w:p>
      <w:pPr>
        <w:pStyle w:val="Normal"/>
        <w:framePr w:w="21" w:hAnchor="page" w:vAnchor="page" w:x="7089" w:y="107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406" w:y="107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981</w:t>
      </w:r>
    </w:p>
    <w:p>
      <w:pPr>
        <w:pStyle w:val="Normal"/>
        <w:framePr w:w="21" w:hAnchor="page" w:vAnchor="page" w:x="8753" w:y="107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925" w:y="107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3,800</w:t>
      </w:r>
    </w:p>
    <w:p>
      <w:pPr>
        <w:pStyle w:val="Normal"/>
        <w:framePr w:w="21" w:hAnchor="page" w:vAnchor="page" w:x="10416" w:y="107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11829" w:y="107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61</w:t>
      </w:r>
    </w:p>
    <w:p>
      <w:pPr>
        <w:pStyle w:val="Normal"/>
        <w:framePr w:w="2309" w:hAnchor="page" w:vAnchor="page" w:x="276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liabilities</w:t>
      </w:r>
    </w:p>
    <w:p>
      <w:pPr>
        <w:pStyle w:val="Normal"/>
        <w:framePr w:w="344" w:hAnchor="page" w:vAnchor="page" w:x="7089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743   </w:t>
      </w:r>
    </w:p>
    <w:p>
      <w:pPr>
        <w:pStyle w:val="Normal"/>
        <w:framePr w:w="760" w:hAnchor="page" w:vAnchor="page" w:x="10069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749   </w:t>
      </w:r>
    </w:p>
    <w:p>
      <w:pPr>
        <w:pStyle w:val="Normal"/>
        <w:framePr w:w="517" w:hAnchor="page" w:vAnchor="page" w:x="11829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2810" w:hAnchor="page" w:vAnchor="page" w:x="276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liabilities</w:t>
      </w:r>
    </w:p>
    <w:p>
      <w:pPr>
        <w:pStyle w:val="Normal"/>
        <w:framePr w:w="344" w:hAnchor="page" w:vAnchor="page" w:x="7089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599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644" w:hAnchor="page" w:vAnchor="page" w:x="10166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45   </w:t>
      </w:r>
    </w:p>
    <w:p>
      <w:pPr>
        <w:pStyle w:val="Normal"/>
        <w:framePr w:w="401" w:hAnchor="page" w:vAnchor="page" w:x="11926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2991" w:hAnchor="page" w:vAnchor="page" w:x="276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customer accounts</w:t>
      </w:r>
    </w:p>
    <w:p>
      <w:pPr>
        <w:pStyle w:val="Normal"/>
        <w:framePr w:w="344" w:hAnchor="page" w:vAnchor="page" w:x="7089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237   </w:t>
      </w:r>
    </w:p>
    <w:p>
      <w:pPr>
        <w:pStyle w:val="Normal"/>
        <w:framePr w:w="760" w:hAnchor="page" w:vAnchor="page" w:x="10069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444   </w:t>
      </w:r>
    </w:p>
    <w:p>
      <w:pPr>
        <w:pStyle w:val="Normal"/>
        <w:framePr w:w="401" w:hAnchor="page" w:vAnchor="page" w:x="11926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2515" w:hAnchor="page" w:vAnchor="page" w:x="276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lease liability</w:t>
      </w:r>
    </w:p>
    <w:p>
      <w:pPr>
        <w:pStyle w:val="Normal"/>
        <w:framePr w:w="344" w:hAnchor="page" w:vAnchor="page" w:x="7089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934" w:hAnchor="page" w:vAnchor="page" w:x="9925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1,017   </w:t>
      </w:r>
    </w:p>
    <w:p>
      <w:pPr>
        <w:pStyle w:val="Normal"/>
        <w:framePr w:w="517" w:hAnchor="page" w:vAnchor="page" w:x="11829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</w:t>
      </w:r>
    </w:p>
    <w:p>
      <w:pPr>
        <w:pStyle w:val="Normal"/>
        <w:framePr w:w="1674" w:hAnchor="page" w:vAnchor="page" w:x="27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debt</w:t>
      </w:r>
    </w:p>
    <w:p>
      <w:pPr>
        <w:pStyle w:val="Normal"/>
        <w:framePr w:w="344" w:hAnchor="page" w:vAnchor="page" w:x="7089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934" w:hAnchor="page" w:vAnchor="page" w:x="9925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1,545   </w:t>
      </w:r>
    </w:p>
    <w:p>
      <w:pPr>
        <w:pStyle w:val="Normal"/>
        <w:framePr w:w="517" w:hAnchor="page" w:vAnchor="page" w:x="11829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 </w:t>
      </w:r>
    </w:p>
    <w:p>
      <w:pPr>
        <w:pStyle w:val="Normal"/>
        <w:framePr w:w="2415" w:hAnchor="page" w:vAnchor="page" w:x="27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liabilities</w:t>
      </w:r>
    </w:p>
    <w:p>
      <w:pPr>
        <w:pStyle w:val="Normal"/>
        <w:framePr w:w="21" w:hAnchor="page" w:vAnchor="page" w:x="7089" w:y="93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53" w:y="93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16" w:y="93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756" w:hAnchor="page" w:vAnchor="page" w:x="276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</w:t>
      </w:r>
    </w:p>
    <w:p>
      <w:pPr>
        <w:pStyle w:val="Normal"/>
        <w:framePr w:w="21" w:hAnchor="page" w:vAnchor="page" w:x="7089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25,706</w:t>
      </w:r>
    </w:p>
    <w:p>
      <w:pPr>
        <w:pStyle w:val="Normal"/>
        <w:framePr w:w="21" w:hAnchor="page" w:vAnchor="page" w:x="8753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828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27,437</w:t>
      </w:r>
    </w:p>
    <w:p>
      <w:pPr>
        <w:pStyle w:val="Normal"/>
        <w:framePr w:w="21" w:hAnchor="page" w:vAnchor="page" w:x="10416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443</w:t>
      </w:r>
    </w:p>
    <w:p>
      <w:pPr>
        <w:pStyle w:val="Normal"/>
        <w:framePr w:w="2548" w:hAnchor="page" w:vAnchor="page" w:x="276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7089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502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   </w:t>
      </w:r>
    </w:p>
    <w:p>
      <w:pPr>
        <w:pStyle w:val="Normal"/>
        <w:framePr w:w="644" w:hAnchor="page" w:vAnchor="page" w:x="10166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70   </w:t>
      </w:r>
    </w:p>
    <w:p>
      <w:pPr>
        <w:pStyle w:val="Normal"/>
        <w:framePr w:w="401" w:hAnchor="page" w:vAnchor="page" w:x="11926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5949" w:hAnchor="page" w:vAnchor="page" w:x="276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equityattributable to equityholders of the parent</w:t>
      </w:r>
    </w:p>
    <w:p>
      <w:pPr>
        <w:pStyle w:val="Normal"/>
        <w:framePr w:w="21" w:hAnchor="page" w:vAnchor="page" w:x="7089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25,646</w:t>
      </w:r>
    </w:p>
    <w:p>
      <w:pPr>
        <w:pStyle w:val="Normal"/>
        <w:framePr w:w="21" w:hAnchor="page" w:vAnchor="page" w:x="8753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828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27,367</w:t>
      </w:r>
    </w:p>
    <w:p>
      <w:pPr>
        <w:pStyle w:val="Normal"/>
        <w:framePr w:w="21" w:hAnchor="page" w:vAnchor="page" w:x="10416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442</w:t>
      </w:r>
    </w:p>
    <w:p>
      <w:pPr>
        <w:pStyle w:val="Normal"/>
        <w:framePr w:w="1999" w:hAnchor="page" w:vAnchor="page" w:x="276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Translation reserve</w:t>
      </w:r>
    </w:p>
    <w:p>
      <w:pPr>
        <w:pStyle w:val="Normal"/>
        <w:framePr w:w="344" w:hAnchor="page" w:vAnchor="page" w:x="7089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513   </w:t>
      </w:r>
    </w:p>
    <w:p>
      <w:pPr>
        <w:pStyle w:val="Normal"/>
        <w:framePr w:w="760" w:hAnchor="page" w:vAnchor="page" w:x="10069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289   </w:t>
      </w:r>
    </w:p>
    <w:p>
      <w:pPr>
        <w:pStyle w:val="Normal"/>
        <w:framePr w:w="401" w:hAnchor="page" w:vAnchor="page" w:x="11926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 </w:t>
      </w:r>
    </w:p>
    <w:p>
      <w:pPr>
        <w:pStyle w:val="Normal"/>
        <w:framePr w:w="1892" w:hAnchor="page" w:vAnchor="page" w:x="276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Retained earnings</w:t>
      </w:r>
    </w:p>
    <w:p>
      <w:pPr>
        <w:pStyle w:val="Normal"/>
        <w:framePr w:w="344" w:hAnchor="page" w:vAnchor="page" w:x="7089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261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9,091   </w:t>
      </w:r>
    </w:p>
    <w:p>
      <w:pPr>
        <w:pStyle w:val="Normal"/>
        <w:framePr w:w="1049" w:hAnchor="page" w:vAnchor="page" w:x="9828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10,557   </w:t>
      </w:r>
    </w:p>
    <w:p>
      <w:pPr>
        <w:pStyle w:val="Normal"/>
        <w:framePr w:w="633" w:hAnchor="page" w:vAnchor="page" w:x="11733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171 </w:t>
      </w:r>
    </w:p>
    <w:p>
      <w:pPr>
        <w:pStyle w:val="Normal"/>
        <w:framePr w:w="1481" w:hAnchor="page" w:vAnchor="page" w:x="276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reserve</w:t>
      </w:r>
    </w:p>
    <w:p>
      <w:pPr>
        <w:pStyle w:val="Normal"/>
        <w:framePr w:w="344" w:hAnchor="page" w:vAnchor="page" w:x="7089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261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2,097   </w:t>
      </w:r>
    </w:p>
    <w:p>
      <w:pPr>
        <w:pStyle w:val="Normal"/>
        <w:framePr w:w="934" w:hAnchor="page" w:vAnchor="page" w:x="9925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2,576   </w:t>
      </w:r>
    </w:p>
    <w:p>
      <w:pPr>
        <w:pStyle w:val="Normal"/>
        <w:framePr w:w="517" w:hAnchor="page" w:vAnchor="page" w:x="11829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 </w:t>
      </w:r>
    </w:p>
    <w:p>
      <w:pPr>
        <w:pStyle w:val="Normal"/>
        <w:framePr w:w="1648" w:hAnchor="page" w:vAnchor="page" w:x="276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premium</w:t>
      </w:r>
    </w:p>
    <w:p>
      <w:pPr>
        <w:pStyle w:val="Normal"/>
        <w:framePr w:w="344" w:hAnchor="page" w:vAnchor="page" w:x="7089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8165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  </w:t>
      </w:r>
    </w:p>
    <w:p>
      <w:pPr>
        <w:pStyle w:val="Normal"/>
        <w:framePr w:w="1049" w:hAnchor="page" w:vAnchor="page" w:x="9828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  </w:t>
      </w:r>
    </w:p>
    <w:p>
      <w:pPr>
        <w:pStyle w:val="Normal"/>
        <w:framePr w:w="633" w:hAnchor="page" w:vAnchor="page" w:x="11733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195 </w:t>
      </w:r>
    </w:p>
    <w:p>
      <w:pPr>
        <w:pStyle w:val="Normal"/>
        <w:framePr w:w="2605" w:hAnchor="page" w:vAnchor="page" w:x="276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Additional paid-in capital</w:t>
      </w:r>
    </w:p>
    <w:p>
      <w:pPr>
        <w:pStyle w:val="Normal"/>
        <w:framePr w:w="344" w:hAnchor="page" w:vAnchor="page" w:x="7089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261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  </w:t>
      </w:r>
    </w:p>
    <w:p>
      <w:pPr>
        <w:pStyle w:val="Normal"/>
        <w:framePr w:w="934" w:hAnchor="page" w:vAnchor="page" w:x="9925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  </w:t>
      </w:r>
    </w:p>
    <w:p>
      <w:pPr>
        <w:pStyle w:val="Normal"/>
        <w:framePr w:w="517" w:hAnchor="page" w:vAnchor="page" w:x="11829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 </w:t>
      </w:r>
    </w:p>
    <w:p>
      <w:pPr>
        <w:pStyle w:val="Normal"/>
        <w:framePr w:w="1429" w:hAnchor="page" w:vAnchor="page" w:x="276" w:y="71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capital</w:t>
      </w:r>
    </w:p>
    <w:p>
      <w:pPr>
        <w:pStyle w:val="Normal"/>
        <w:framePr w:w="344" w:hAnchor="page" w:vAnchor="page" w:x="7089" w:y="71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599" w:y="71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529" w:hAnchor="page" w:vAnchor="page" w:x="10262" w:y="71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401" w:hAnchor="page" w:vAnchor="page" w:x="11926" w:y="71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 </w:t>
      </w:r>
    </w:p>
    <w:p>
      <w:pPr>
        <w:pStyle w:val="Normal"/>
        <w:framePr w:w="1244" w:hAnchor="page" w:vAnchor="page" w:x="276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</w:t>
      </w:r>
    </w:p>
    <w:p>
      <w:pPr>
        <w:pStyle w:val="Normal"/>
        <w:framePr w:w="2741" w:hAnchor="page" w:vAnchor="page" w:x="833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attributable to equity</w:t>
      </w:r>
    </w:p>
    <w:p>
      <w:pPr>
        <w:pStyle w:val="Normal"/>
        <w:framePr w:w="2345" w:hAnchor="page" w:vAnchor="page" w:x="2638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holders of the parent</w:t>
      </w:r>
    </w:p>
    <w:p>
      <w:pPr>
        <w:pStyle w:val="Normal"/>
        <w:framePr w:w="344" w:hAnchor="page" w:vAnchor="page" w:x="7089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753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416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17" w:hAnchor="page" w:vAnchor="page" w:x="276" w:y="67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Equityand liabilities</w:t>
      </w:r>
    </w:p>
    <w:p>
      <w:pPr>
        <w:pStyle w:val="Normal"/>
        <w:framePr w:w="21" w:hAnchor="page" w:vAnchor="page" w:x="7089" w:y="66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53" w:y="66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16" w:y="66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357" w:hAnchor="page" w:vAnchor="page" w:x="276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assets</w:t>
      </w:r>
    </w:p>
    <w:p>
      <w:pPr>
        <w:pStyle w:val="Normal"/>
        <w:framePr w:w="21" w:hAnchor="page" w:vAnchor="page" w:x="7089" w:y="64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73,023</w:t>
      </w:r>
    </w:p>
    <w:p>
      <w:pPr>
        <w:pStyle w:val="Normal"/>
        <w:framePr w:w="21" w:hAnchor="page" w:vAnchor="page" w:x="8753" w:y="64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828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81,477</w:t>
      </w:r>
    </w:p>
    <w:p>
      <w:pPr>
        <w:pStyle w:val="Normal"/>
        <w:framePr w:w="21" w:hAnchor="page" w:vAnchor="page" w:x="10416" w:y="64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1,316</w:t>
      </w:r>
    </w:p>
    <w:p>
      <w:pPr>
        <w:pStyle w:val="Normal"/>
        <w:framePr w:w="2034" w:hAnchor="page" w:vAnchor="page" w:x="276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Assets held for sale</w:t>
      </w:r>
    </w:p>
    <w:p>
      <w:pPr>
        <w:pStyle w:val="Normal"/>
        <w:framePr w:w="21" w:hAnchor="page" w:vAnchor="page" w:x="7089" w:y="61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502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90</w:t>
      </w:r>
    </w:p>
    <w:p>
      <w:pPr>
        <w:pStyle w:val="Normal"/>
        <w:framePr w:w="21" w:hAnchor="page" w:vAnchor="page" w:x="8753" w:y="61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069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123</w:t>
      </w:r>
    </w:p>
    <w:p>
      <w:pPr>
        <w:pStyle w:val="Normal"/>
        <w:framePr w:w="21" w:hAnchor="page" w:vAnchor="page" w:x="10416" w:y="61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11926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</w:t>
      </w:r>
    </w:p>
    <w:p>
      <w:pPr>
        <w:pStyle w:val="Normal"/>
        <w:framePr w:w="2156" w:hAnchor="page" w:vAnchor="page" w:x="276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assets</w:t>
      </w:r>
    </w:p>
    <w:p>
      <w:pPr>
        <w:pStyle w:val="Normal"/>
        <w:framePr w:w="21" w:hAnchor="page" w:vAnchor="page" w:x="7089" w:y="58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58,371</w:t>
      </w:r>
    </w:p>
    <w:p>
      <w:pPr>
        <w:pStyle w:val="Normal"/>
        <w:framePr w:w="21" w:hAnchor="page" w:vAnchor="page" w:x="8753" w:y="58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828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61,994</w:t>
      </w:r>
    </w:p>
    <w:p>
      <w:pPr>
        <w:pStyle w:val="Normal"/>
        <w:framePr w:w="21" w:hAnchor="page" w:vAnchor="page" w:x="10416" w:y="58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1,001</w:t>
      </w:r>
    </w:p>
    <w:p>
      <w:pPr>
        <w:pStyle w:val="Normal"/>
        <w:framePr w:w="2663" w:hAnchor="page" w:vAnchor="page" w:x="27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</w:t>
      </w:r>
    </w:p>
    <w:p>
      <w:pPr>
        <w:pStyle w:val="Normal"/>
        <w:framePr w:w="344" w:hAnchor="page" w:vAnchor="page" w:x="7089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8165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40,966   </w:t>
      </w:r>
    </w:p>
    <w:p>
      <w:pPr>
        <w:pStyle w:val="Normal"/>
        <w:framePr w:w="1049" w:hAnchor="page" w:vAnchor="page" w:x="9828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42,101   </w:t>
      </w:r>
    </w:p>
    <w:p>
      <w:pPr>
        <w:pStyle w:val="Normal"/>
        <w:framePr w:w="633" w:hAnchor="page" w:vAnchor="page" w:x="11733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680 </w:t>
      </w:r>
    </w:p>
    <w:p>
      <w:pPr>
        <w:pStyle w:val="Normal"/>
        <w:framePr w:w="2065" w:hAnchor="page" w:vAnchor="page" w:x="27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assets</w:t>
      </w:r>
    </w:p>
    <w:p>
      <w:pPr>
        <w:pStyle w:val="Normal"/>
        <w:framePr w:w="344" w:hAnchor="page" w:vAnchor="page" w:x="7089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929   </w:t>
      </w:r>
    </w:p>
    <w:p>
      <w:pPr>
        <w:pStyle w:val="Normal"/>
        <w:framePr w:w="760" w:hAnchor="page" w:vAnchor="page" w:x="10069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917   </w:t>
      </w:r>
    </w:p>
    <w:p>
      <w:pPr>
        <w:pStyle w:val="Normal"/>
        <w:framePr w:w="517" w:hAnchor="page" w:vAnchor="page" w:x="11829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</w:t>
      </w:r>
    </w:p>
    <w:p>
      <w:pPr>
        <w:pStyle w:val="Normal"/>
        <w:framePr w:w="2014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Prepaid income tax</w:t>
      </w:r>
    </w:p>
    <w:p>
      <w:pPr>
        <w:pStyle w:val="Normal"/>
        <w:framePr w:w="344" w:hAnchor="page" w:vAnchor="page" w:x="7089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1" w:hAnchor="page" w:vAnchor="page" w:x="8413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112   </w:t>
      </w:r>
    </w:p>
    <w:p>
      <w:pPr>
        <w:pStyle w:val="Normal"/>
        <w:framePr w:w="760" w:hAnchor="page" w:vAnchor="page" w:x="10069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259   </w:t>
      </w:r>
    </w:p>
    <w:p>
      <w:pPr>
        <w:pStyle w:val="Normal"/>
        <w:framePr w:w="401" w:hAnchor="page" w:vAnchor="page" w:x="1192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3826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debt securities and deposits</w:t>
      </w:r>
    </w:p>
    <w:p>
      <w:pPr>
        <w:pStyle w:val="Normal"/>
        <w:framePr w:w="344" w:hAnchor="page" w:vAnchor="page" w:x="7089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261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1,432   </w:t>
      </w:r>
    </w:p>
    <w:p>
      <w:pPr>
        <w:pStyle w:val="Normal"/>
        <w:framePr w:w="934" w:hAnchor="page" w:vAnchor="page" w:x="9925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1,136   </w:t>
      </w:r>
    </w:p>
    <w:p>
      <w:pPr>
        <w:pStyle w:val="Normal"/>
        <w:framePr w:w="517" w:hAnchor="page" w:vAnchor="page" w:x="11829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</w:t>
      </w:r>
    </w:p>
    <w:p>
      <w:pPr>
        <w:pStyle w:val="Normal"/>
        <w:framePr w:w="1777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loans</w:t>
      </w:r>
    </w:p>
    <w:p>
      <w:pPr>
        <w:pStyle w:val="Normal"/>
        <w:framePr w:w="344" w:hAnchor="page" w:vAnchor="page" w:x="7089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261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6,890   </w:t>
      </w:r>
    </w:p>
    <w:p>
      <w:pPr>
        <w:pStyle w:val="Normal"/>
        <w:framePr w:w="1041" w:hAnchor="page" w:vAnchor="page" w:x="983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11,419   </w:t>
      </w:r>
    </w:p>
    <w:p>
      <w:pPr>
        <w:pStyle w:val="Normal"/>
        <w:framePr w:w="633" w:hAnchor="page" w:vAnchor="page" w:x="11733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184 </w:t>
      </w:r>
    </w:p>
    <w:p>
      <w:pPr>
        <w:pStyle w:val="Normal"/>
        <w:framePr w:w="2783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receivables</w:t>
      </w:r>
    </w:p>
    <w:p>
      <w:pPr>
        <w:pStyle w:val="Normal"/>
        <w:framePr w:w="344" w:hAnchor="page" w:vAnchor="page" w:x="7089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261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8,042   </w:t>
      </w:r>
    </w:p>
    <w:p>
      <w:pPr>
        <w:pStyle w:val="Normal"/>
        <w:framePr w:w="934" w:hAnchor="page" w:vAnchor="page" w:x="9925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6,162   </w:t>
      </w:r>
    </w:p>
    <w:p>
      <w:pPr>
        <w:pStyle w:val="Normal"/>
        <w:framePr w:w="633" w:hAnchor="page" w:vAnchor="page" w:x="11733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 </w:t>
      </w:r>
    </w:p>
    <w:p>
      <w:pPr>
        <w:pStyle w:val="Normal"/>
        <w:framePr w:w="1657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assets</w:t>
      </w:r>
    </w:p>
    <w:p>
      <w:pPr>
        <w:pStyle w:val="Normal"/>
        <w:framePr w:w="21" w:hAnchor="page" w:vAnchor="page" w:x="7089" w:y="42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53" w:y="42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16" w:y="42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06" w:hAnchor="page" w:vAnchor="page" w:x="276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assets</w:t>
      </w:r>
    </w:p>
    <w:p>
      <w:pPr>
        <w:pStyle w:val="Normal"/>
        <w:framePr w:w="21" w:hAnchor="page" w:vAnchor="page" w:x="7089" w:y="39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14,562</w:t>
      </w:r>
    </w:p>
    <w:p>
      <w:pPr>
        <w:pStyle w:val="Normal"/>
        <w:framePr w:w="21" w:hAnchor="page" w:vAnchor="page" w:x="8753" w:y="39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828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19,360</w:t>
      </w:r>
    </w:p>
    <w:p>
      <w:pPr>
        <w:pStyle w:val="Normal"/>
        <w:framePr w:w="21" w:hAnchor="page" w:vAnchor="page" w:x="10416" w:y="39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313</w:t>
      </w:r>
    </w:p>
    <w:p>
      <w:pPr>
        <w:pStyle w:val="Normal"/>
        <w:framePr w:w="1988" w:hAnchor="page" w:vAnchor="page" w:x="276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assets</w:t>
      </w:r>
    </w:p>
    <w:p>
      <w:pPr>
        <w:pStyle w:val="Normal"/>
        <w:framePr w:w="344" w:hAnchor="page" w:vAnchor="page" w:x="7089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157   </w:t>
      </w:r>
    </w:p>
    <w:p>
      <w:pPr>
        <w:pStyle w:val="Normal"/>
        <w:framePr w:w="760" w:hAnchor="page" w:vAnchor="page" w:x="10069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217   </w:t>
      </w:r>
    </w:p>
    <w:p>
      <w:pPr>
        <w:pStyle w:val="Normal"/>
        <w:framePr w:w="401" w:hAnchor="page" w:vAnchor="page" w:x="11926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2489" w:hAnchor="page" w:vAnchor="page" w:x="276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assets</w:t>
      </w:r>
    </w:p>
    <w:p>
      <w:pPr>
        <w:pStyle w:val="Normal"/>
        <w:framePr w:w="344" w:hAnchor="page" w:vAnchor="page" w:x="7089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1" w:hAnchor="page" w:vAnchor="page" w:x="8413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110   </w:t>
      </w:r>
    </w:p>
    <w:p>
      <w:pPr>
        <w:pStyle w:val="Normal"/>
        <w:framePr w:w="644" w:hAnchor="page" w:vAnchor="page" w:x="10166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   </w:t>
      </w:r>
    </w:p>
    <w:p>
      <w:pPr>
        <w:pStyle w:val="Normal"/>
        <w:framePr w:w="401" w:hAnchor="page" w:vAnchor="page" w:x="11926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1764" w:hAnchor="page" w:vAnchor="page" w:x="276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7089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230   </w:t>
      </w:r>
    </w:p>
    <w:p>
      <w:pPr>
        <w:pStyle w:val="Normal"/>
        <w:framePr w:w="760" w:hAnchor="page" w:vAnchor="page" w:x="10069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265   </w:t>
      </w:r>
    </w:p>
    <w:p>
      <w:pPr>
        <w:pStyle w:val="Normal"/>
        <w:framePr w:w="401" w:hAnchor="page" w:vAnchor="page" w:x="11926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3813" w:hAnchor="page" w:vAnchor="page" w:x="276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debt securities and deposits</w:t>
      </w:r>
    </w:p>
    <w:p>
      <w:pPr>
        <w:pStyle w:val="Normal"/>
        <w:framePr w:w="344" w:hAnchor="page" w:vAnchor="page" w:x="7089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497   </w:t>
      </w:r>
    </w:p>
    <w:p>
      <w:pPr>
        <w:pStyle w:val="Normal"/>
        <w:framePr w:w="934" w:hAnchor="page" w:vAnchor="page" w:x="9925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4,015   </w:t>
      </w:r>
    </w:p>
    <w:p>
      <w:pPr>
        <w:pStyle w:val="Normal"/>
        <w:framePr w:w="517" w:hAnchor="page" w:vAnchor="page" w:x="11829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 </w:t>
      </w:r>
    </w:p>
    <w:p>
      <w:pPr>
        <w:pStyle w:val="Normal"/>
        <w:framePr w:w="2818" w:hAnchor="page" w:vAnchor="page" w:x="276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Investments in joint venture</w:t>
      </w:r>
    </w:p>
    <w:p>
      <w:pPr>
        <w:pStyle w:val="Normal"/>
        <w:framePr w:w="344" w:hAnchor="page" w:vAnchor="page" w:x="7089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836   </w:t>
      </w:r>
    </w:p>
    <w:p>
      <w:pPr>
        <w:pStyle w:val="Normal"/>
        <w:framePr w:w="760" w:hAnchor="page" w:vAnchor="page" w:x="10069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567" w:hAnchor="page" w:vAnchor="page" w:x="276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Investments in associates</w:t>
      </w:r>
    </w:p>
    <w:p>
      <w:pPr>
        <w:pStyle w:val="Normal"/>
        <w:framePr w:w="344" w:hAnchor="page" w:vAnchor="page" w:x="7089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406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812   </w:t>
      </w:r>
    </w:p>
    <w:p>
      <w:pPr>
        <w:pStyle w:val="Normal"/>
        <w:framePr w:w="925" w:hAnchor="page" w:vAnchor="page" w:x="9932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1,118   </w:t>
      </w:r>
    </w:p>
    <w:p>
      <w:pPr>
        <w:pStyle w:val="Normal"/>
        <w:framePr w:w="517" w:hAnchor="page" w:vAnchor="page" w:x="11829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</w:t>
      </w:r>
    </w:p>
    <w:p>
      <w:pPr>
        <w:pStyle w:val="Normal"/>
        <w:framePr w:w="3608" w:hAnchor="page" w:vAnchor="page" w:x="276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Goodwill and other intangible assets</w:t>
      </w:r>
    </w:p>
    <w:p>
      <w:pPr>
        <w:pStyle w:val="Normal"/>
        <w:framePr w:w="344" w:hAnchor="page" w:vAnchor="page" w:x="7089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8165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10,846   </w:t>
      </w:r>
    </w:p>
    <w:p>
      <w:pPr>
        <w:pStyle w:val="Normal"/>
        <w:framePr w:w="1041" w:hAnchor="page" w:vAnchor="page" w:x="9836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11,316   </w:t>
      </w:r>
    </w:p>
    <w:p>
      <w:pPr>
        <w:pStyle w:val="Normal"/>
        <w:framePr w:w="633" w:hAnchor="page" w:vAnchor="page" w:x="11733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183 </w:t>
      </w:r>
    </w:p>
    <w:p>
      <w:pPr>
        <w:pStyle w:val="Normal"/>
        <w:framePr w:w="2451" w:hAnchor="page" w:vAnchor="page" w:x="276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Property and equipment</w:t>
      </w:r>
    </w:p>
    <w:p>
      <w:pPr>
        <w:pStyle w:val="Normal"/>
        <w:framePr w:w="344" w:hAnchor="page" w:vAnchor="page" w:x="7089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261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1,074   </w:t>
      </w:r>
    </w:p>
    <w:p>
      <w:pPr>
        <w:pStyle w:val="Normal"/>
        <w:framePr w:w="934" w:hAnchor="page" w:vAnchor="page" w:x="9925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2,346   </w:t>
      </w:r>
    </w:p>
    <w:p>
      <w:pPr>
        <w:pStyle w:val="Normal"/>
        <w:framePr w:w="517" w:hAnchor="page" w:vAnchor="page" w:x="11829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38 </w:t>
      </w:r>
    </w:p>
    <w:p>
      <w:pPr>
        <w:pStyle w:val="Normal"/>
        <w:framePr w:w="2081" w:hAnchor="page" w:vAnchor="page" w:x="276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assets</w:t>
      </w:r>
    </w:p>
    <w:p>
      <w:pPr>
        <w:pStyle w:val="Normal"/>
        <w:framePr w:w="344" w:hAnchor="page" w:vAnchor="page" w:x="7089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753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416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5" w:hAnchor="page" w:vAnchor="page" w:x="276" w:y="1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</w:t>
      </w:r>
    </w:p>
    <w:p>
      <w:pPr>
        <w:pStyle w:val="Normal"/>
        <w:framePr w:w="344" w:hAnchor="page" w:vAnchor="page" w:x="7089" w:y="1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753" w:y="1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416" w:y="1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089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896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273" w:hAnchor="page" w:vAnchor="page" w:x="8753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9559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273" w:hAnchor="page" w:vAnchor="page" w:x="10416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21" w:hAnchor="page" w:vAnchor="page" w:x="11155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089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16" w:hAnchor="page" w:vAnchor="page" w:x="7585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2018 (audited)</w:t>
      </w:r>
    </w:p>
    <w:p>
      <w:pPr>
        <w:pStyle w:val="Normal"/>
        <w:framePr w:w="273" w:hAnchor="page" w:vAnchor="page" w:x="8753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16" w:hAnchor="page" w:vAnchor="page" w:x="9249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 (audited)</w:t>
      </w:r>
    </w:p>
    <w:p>
      <w:pPr>
        <w:pStyle w:val="Normal"/>
        <w:framePr w:w="273" w:hAnchor="page" w:vAnchor="page" w:x="10416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521" w:hAnchor="page" w:vAnchor="page" w:x="10827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 (unaudited)</w:t>
      </w:r>
    </w:p>
    <w:p>
      <w:pPr>
        <w:pStyle w:val="Normal"/>
        <w:framePr w:w="1707" w:hAnchor="page" w:vAnchor="page" w:x="7422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9086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10749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404" w:hAnchor="page" w:vAnchor="page" w:x="5688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millions)</w:t>
      </w:r>
    </w:p>
    <w:p>
      <w:pPr>
        <w:pStyle w:val="Normal"/>
        <w:framePr w:w="4675" w:hAnchor="page" w:vAnchor="page" w:x="4325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Financial Position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7pt;margin-top:1pt;z-index:-1677693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12.8pt;margin-top:1pt;z-index:-167769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2.8pt;margin-top:2.45pt;z-index:-1677692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97.95pt;margin-top:1pt;z-index:-167769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2.8pt;margin-top:1pt;z-index:-1677692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12.8pt;margin-top:81.3pt;z-index:-16776916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353.45pt;margin-top:81.3pt;z-index:-1677691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370.1pt;margin-top:81.3pt;z-index:-167769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375.9pt;margin-top:81.3pt;z-index:-1677690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433.75pt;margin-top:81.3pt;z-index:-167769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436.65pt;margin-top:81.3pt;z-index:-1677689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453.3pt;margin-top:81.3pt;z-index:-167768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459.05pt;margin-top:81.3pt;z-index:-1677688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16.95pt;margin-top:81.3pt;z-index:-167768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19.8pt;margin-top:81.3pt;z-index:-1677688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36.45pt;margin-top:81.3pt;z-index:-1677687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43.7pt;margin-top:81.3pt;z-index:-1677687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600.1pt;margin-top:81.3pt;z-index:-167768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12.8pt;margin-top:104.45pt;z-index:-16776864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353.45pt;margin-top:104.45pt;z-index:-1677686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370.1pt;margin-top:104.45pt;z-index:-167768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375.9pt;margin-top:104.45pt;z-index:-1677685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433.75pt;margin-top:104.45pt;z-index:-167768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436.65pt;margin-top:104.45pt;z-index:-1677684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53.3pt;margin-top:104.45pt;z-index:-167768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459.05pt;margin-top:104.45pt;z-index:-1677683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16.95pt;margin-top:104.45pt;z-index:-167768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519.8pt;margin-top:104.45pt;z-index:-1677682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536.45pt;margin-top:104.45pt;z-index:-1677682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543.7pt;margin-top:104.45pt;z-index:-1677682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600.1pt;margin-top:104.45pt;z-index:-167768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12.8pt;margin-top:127.6pt;z-index:-16776812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353.45pt;margin-top:127.6pt;z-index:-167768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370.1pt;margin-top:127.6pt;z-index:-167768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375.9pt;margin-top:127.6pt;z-index:-1677680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433.75pt;margin-top:127.6pt;z-index:-167767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436.65pt;margin-top:127.6pt;z-index:-167767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453.3pt;margin-top:127.6pt;z-index:-167767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59.05pt;margin-top:127.6pt;z-index:-167767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16.95pt;margin-top:127.6pt;z-index:-167767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19.8pt;margin-top:127.6pt;z-index:-167767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36.45pt;margin-top:127.6pt;z-index:-1677677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43.7pt;margin-top:127.6pt;z-index:-167767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600.1pt;margin-top:127.6pt;z-index:-167767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12.8pt;margin-top:150.7pt;z-index:-16776760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353.45pt;margin-top:150.7pt;z-index:-167767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370.1pt;margin-top:150.7pt;z-index:-167767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375.9pt;margin-top:150.7pt;z-index:-1677674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33.75pt;margin-top:150.7pt;z-index:-167767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436.65pt;margin-top:150.7pt;z-index:-167767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53.3pt;margin-top:150.7pt;z-index:-167767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59.05pt;margin-top:150.7pt;z-index:-167767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16.95pt;margin-top:150.7pt;z-index:-167767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19.8pt;margin-top:150.7pt;z-index:-167767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36.45pt;margin-top:150.7pt;z-index:-1677672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43.7pt;margin-top:150.7pt;z-index:-167767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600.1pt;margin-top:150.7pt;z-index:-167767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12.8pt;margin-top:173.85pt;z-index:-16776708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353.45pt;margin-top:173.85pt;z-index:-167767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70.1pt;margin-top:173.85pt;z-index:-167767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75.9pt;margin-top:173.85pt;z-index:-1677669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33.75pt;margin-top:173.85pt;z-index:-16776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36.65pt;margin-top:173.85pt;z-index:-167766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453.3pt;margin-top:173.85pt;z-index:-167766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459.05pt;margin-top:173.85pt;z-index:-167766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16.95pt;margin-top:173.85pt;z-index:-167766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19.8pt;margin-top:173.85pt;z-index:-167766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36.45pt;margin-top:173.85pt;z-index:-1677666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43.7pt;margin-top:173.85pt;z-index:-167766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600.1pt;margin-top:173.85pt;z-index:-167766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12.8pt;margin-top:198.45pt;z-index:-16776656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353.45pt;margin-top:198.45pt;z-index:-1677665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370.1pt;margin-top:198.45pt;z-index:-167766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375.9pt;margin-top:198.45pt;z-index:-1677664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433.75pt;margin-top:198.45pt;z-index:-167766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36.65pt;margin-top:198.45pt;z-index:-1677663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453.3pt;margin-top:198.45pt;z-index:-167766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459.05pt;margin-top:198.45pt;z-index:-167766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16.95pt;margin-top:198.45pt;z-index:-167766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19.8pt;margin-top:198.45pt;z-index:-1677662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36.45pt;margin-top:198.45pt;z-index:-1677661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43.7pt;margin-top:198.45pt;z-index:-1677661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600.1pt;margin-top:198.45pt;z-index:-167766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2.8pt;margin-top:223.05pt;z-index:-16776604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353.45pt;margin-top:223.05pt;z-index:-1677660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370.1pt;margin-top:223.05pt;z-index:-167765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375.9pt;margin-top:223.05pt;z-index:-1677659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433.75pt;margin-top:223.05pt;z-index:-167765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436.65pt;margin-top:223.05pt;z-index:-1677658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453.3pt;margin-top:223.05pt;z-index:-167765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459.05pt;margin-top:223.05pt;z-index:-1677657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16.95pt;margin-top:223.05pt;z-index:-167765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19.8pt;margin-top:223.05pt;z-index:-1677656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36.45pt;margin-top:223.05pt;z-index:-1677656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43.7pt;margin-top:223.05pt;z-index:-167765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600.1pt;margin-top:223.05pt;z-index:-167765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12.8pt;margin-top:246.2pt;z-index:-16776552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353.45pt;margin-top:246.2pt;z-index:-1677654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70.1pt;margin-top:246.2pt;z-index:-16776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375.9pt;margin-top:246.2pt;z-index:-1677654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433.75pt;margin-top:246.2pt;z-index:-167765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436.65pt;margin-top:246.2pt;z-index:-1677653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453.3pt;margin-top:246.2pt;z-index:-16776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459.05pt;margin-top:246.2pt;z-index:-1677652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16.95pt;margin-top:246.2pt;z-index:-167765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19.8pt;margin-top:246.2pt;z-index:-1677651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36.45pt;margin-top:246.2pt;z-index:-1677651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543.7pt;margin-top:246.2pt;z-index:-1677650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600.1pt;margin-top:246.2pt;z-index:-167765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12.8pt;margin-top:269.35pt;z-index:-16776500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353.45pt;margin-top:269.35pt;z-index:-1677649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370.1pt;margin-top:269.35pt;z-index:-167764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375.9pt;margin-top:269.35pt;z-index:-1677648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433.75pt;margin-top:269.35pt;z-index:-167764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436.65pt;margin-top:269.35pt;z-index:-1677648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453.3pt;margin-top:269.35pt;z-index:-167764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459.05pt;margin-top:269.35pt;z-index:-1677647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16.95pt;margin-top:269.35pt;z-index:-167764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519.8pt;margin-top:269.35pt;z-index:-1677646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536.45pt;margin-top:269.35pt;z-index:-1677646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543.7pt;margin-top:269.35pt;z-index:-1677645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600.1pt;margin-top:269.35pt;z-index:-167764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2.8pt;margin-top:293.95pt;z-index:-16776448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353.45pt;margin-top:293.95pt;z-index:-1677644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370.1pt;margin-top:293.95pt;z-index:-167764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375.9pt;margin-top:293.95pt;z-index:-1677643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33.75pt;margin-top:293.95pt;z-index:-167764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436.65pt;margin-top:293.95pt;z-index:-1677642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453.3pt;margin-top:293.95pt;z-index:-167764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459.05pt;margin-top:293.95pt;z-index:-1677642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516.95pt;margin-top:293.95pt;z-index:-167764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519.8pt;margin-top:293.95pt;z-index:-1677641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536.45pt;margin-top:293.95pt;z-index:-1677640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43.7pt;margin-top:293.95pt;z-index:-167764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600.1pt;margin-top:293.95pt;z-index:-167764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2.8pt;margin-top:320pt;z-index:-16776396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353.45pt;margin-top:320pt;z-index:-167763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370.1pt;margin-top:320pt;z-index:-167763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375.9pt;margin-top:320pt;z-index:-167763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433.75pt;margin-top:320pt;z-index:-167763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436.65pt;margin-top:320pt;z-index:-167763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453.3pt;margin-top:320pt;z-index:-167763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459.05pt;margin-top:320pt;z-index:-167763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516.95pt;margin-top:320pt;z-index:-167763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519.8pt;margin-top:320pt;z-index:-1677636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536.45pt;margin-top:320pt;z-index:-1677635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543.7pt;margin-top:320pt;z-index:-167763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600.1pt;margin-top:320pt;z-index:-167763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12.8pt;margin-top:346pt;z-index:-16776344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353.45pt;margin-top:346pt;z-index:-167763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370.1pt;margin-top:346pt;z-index:-167763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375.9pt;margin-top:346pt;z-index:-167763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433.75pt;margin-top:346pt;z-index:-167763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436.65pt;margin-top:346pt;z-index:-167763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453.3pt;margin-top:346pt;z-index:-167763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459.05pt;margin-top:346pt;z-index:-1677631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16.95pt;margin-top:346pt;z-index:-167763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19.8pt;margin-top:346pt;z-index:-167763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536.45pt;margin-top:346pt;z-index:-1677630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43.7pt;margin-top:346pt;z-index:-167763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600.1pt;margin-top:346pt;z-index:-167762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12.8pt;margin-top:369.15pt;z-index:-16776292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53.45pt;margin-top:369.15pt;z-index:-167762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370.1pt;margin-top:369.15pt;z-index:-167762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375.9pt;margin-top:369.15pt;z-index:-167762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433.75pt;margin-top:369.15pt;z-index:-167762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436.65pt;margin-top:369.15pt;z-index:-167762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453.3pt;margin-top:369.15pt;z-index:-167762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459.05pt;margin-top:369.15pt;z-index:-167762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516.95pt;margin-top:369.15pt;z-index:-167762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519.8pt;margin-top:369.15pt;z-index:-167762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536.45pt;margin-top:369.15pt;z-index:-1677625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543.7pt;margin-top:369.15pt;z-index:-1677624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600.1pt;margin-top:369.15pt;z-index:-167762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12.8pt;margin-top:392.3pt;z-index:-16776240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353.45pt;margin-top:392.3pt;z-index:-1677623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370.1pt;margin-top:392.3pt;z-index:-16776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375.9pt;margin-top:392.3pt;z-index:-167762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433.75pt;margin-top:392.3pt;z-index:-167762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436.65pt;margin-top:392.3pt;z-index:-1677622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453.3pt;margin-top:392.3pt;z-index:-167762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459.05pt;margin-top:392.3pt;z-index:-167762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16.95pt;margin-top:392.3pt;z-index:-167762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19.8pt;margin-top:392.3pt;z-index:-167762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536.45pt;margin-top:392.3pt;z-index:-1677620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43.7pt;margin-top:392.3pt;z-index:-167761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600.1pt;margin-top:392.3pt;z-index:-167761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2.8pt;margin-top:415.45pt;z-index:-16776188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353.45pt;margin-top:415.45pt;z-index:-1677618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370.1pt;margin-top:415.45pt;z-index:-167761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375.9pt;margin-top:415.45pt;z-index:-1677617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433.75pt;margin-top:415.45pt;z-index:-16776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436.65pt;margin-top:415.45pt;z-index:-1677616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453.3pt;margin-top:415.45pt;z-index:-16776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459.05pt;margin-top:415.45pt;z-index:-1677616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16.95pt;margin-top:415.45pt;z-index:-167761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519.8pt;margin-top:415.45pt;z-index:-1677615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36.45pt;margin-top:415.45pt;z-index:-1677614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43.7pt;margin-top:415.45pt;z-index:-167761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600.1pt;margin-top:415.45pt;z-index:-167761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12.8pt;margin-top:440.05pt;z-index:-16776136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353.45pt;margin-top:440.05pt;z-index:-1677613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370.1pt;margin-top:440.05pt;z-index:-167761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375.9pt;margin-top:440.05pt;z-index:-1677612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433.75pt;margin-top:440.05pt;z-index:-16776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436.65pt;margin-top:440.05pt;z-index:-1677611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453.3pt;margin-top:440.05pt;z-index:-167761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459.05pt;margin-top:440.05pt;z-index:-1677610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16.95pt;margin-top:440.05pt;z-index:-167761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519.8pt;margin-top:440.05pt;z-index:-1677610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536.45pt;margin-top:440.05pt;z-index:-1677609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543.7pt;margin-top:440.05pt;z-index:-1677609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600.1pt;margin-top:440.05pt;z-index:-167760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12.8pt;margin-top:466.1pt;z-index:-16776084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353.45pt;margin-top:466.1pt;z-index:-1677608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370.1pt;margin-top:466.1pt;z-index:-16776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375.9pt;margin-top:466.1pt;z-index:-1677607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433.75pt;margin-top:466.1pt;z-index:-16776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436.65pt;margin-top:466.1pt;z-index:-1677606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453.3pt;margin-top:466.1pt;z-index:-16776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459.05pt;margin-top:466.1pt;z-index:-1677605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16.95pt;margin-top:466.1pt;z-index:-167760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19.8pt;margin-top:466.1pt;z-index:-1677604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536.45pt;margin-top:466.1pt;z-index:-1677604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543.7pt;margin-top:466.1pt;z-index:-1677604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600.1pt;margin-top:466.1pt;z-index:-167760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12.8pt;margin-top:489.25pt;z-index:-16776032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353.45pt;margin-top:489.25pt;z-index:-1677602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370.1pt;margin-top:489.25pt;z-index:-167760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375.9pt;margin-top:489.25pt;z-index:-1677602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33.75pt;margin-top:489.25pt;z-index:-167760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436.65pt;margin-top:489.25pt;z-index:-1677601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453.3pt;margin-top:489.25pt;z-index:-16776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459.05pt;margin-top:489.25pt;z-index:-1677600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16.95pt;margin-top:489.25pt;z-index:-167760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19.8pt;margin-top:489.25pt;z-index:-1677599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536.45pt;margin-top:489.25pt;z-index:-1677599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543.7pt;margin-top:489.25pt;z-index:-1677598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600.1pt;margin-top:489.25pt;z-index:-167759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2.8pt;margin-top:512.35pt;z-index:-16775980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353.45pt;margin-top:512.35pt;z-index:-167759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370.1pt;margin-top:512.35pt;z-index:-16775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375.9pt;margin-top:512.35pt;z-index:-167759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433.75pt;margin-top:512.35pt;z-index:-167759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36.65pt;margin-top:512.35pt;z-index:-1677596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453.3pt;margin-top:512.35pt;z-index:-167759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459.05pt;margin-top:512.35pt;z-index:-1677595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16.95pt;margin-top:512.35pt;z-index:-167759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519.8pt;margin-top:512.35pt;z-index:-1677594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36.45pt;margin-top:512.35pt;z-index:-1677594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43.7pt;margin-top:512.35pt;z-index:-1677593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600.1pt;margin-top:512.35pt;z-index:-167759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12.8pt;margin-top:536.95pt;z-index:-16775928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353.45pt;margin-top:536.95pt;z-index:-167759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370.1pt;margin-top:536.95pt;z-index:-16775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375.9pt;margin-top:536.95pt;z-index:-1677591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33.75pt;margin-top:536.95pt;z-index:-167759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436.65pt;margin-top:536.95pt;z-index:-167759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453.3pt;margin-top:536.95pt;z-index:-16775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459.05pt;margin-top:536.95pt;z-index:-1677590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16.95pt;margin-top:536.95pt;z-index:-167758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519.8pt;margin-top:536.95pt;z-index:-167758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36.45pt;margin-top:536.95pt;z-index:-1677588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43.7pt;margin-top:536.95pt;z-index:-167758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600.1pt;margin-top:536.95pt;z-index:-167758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12.8pt;margin-top:561.55pt;z-index:-16775876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353.45pt;margin-top:561.55pt;z-index:-167758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370.1pt;margin-top:561.55pt;z-index:-16775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75.9pt;margin-top:561.55pt;z-index:-167758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433.75pt;margin-top:561.55pt;z-index:-16775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436.65pt;margin-top:561.55pt;z-index:-167758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453.3pt;margin-top:561.55pt;z-index:-16775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59.05pt;margin-top:561.55pt;z-index:-1677584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516.95pt;margin-top:561.55pt;z-index:-167758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19.8pt;margin-top:561.55pt;z-index:-167758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36.45pt;margin-top:561.55pt;z-index:-1677583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43.7pt;margin-top:561.55pt;z-index:-167758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600.1pt;margin-top:561.55pt;z-index:-16775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2.8pt;margin-top:584.7pt;z-index:-16775824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353.45pt;margin-top:584.7pt;z-index:-1677582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370.1pt;margin-top:584.7pt;z-index:-16775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375.9pt;margin-top:584.7pt;z-index:-167758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433.75pt;margin-top:584.7pt;z-index:-167758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36.65pt;margin-top:584.7pt;z-index:-167758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53.3pt;margin-top:584.7pt;z-index:-16775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459.05pt;margin-top:584.7pt;z-index:-1677579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16.95pt;margin-top:584.7pt;z-index:-167757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519.8pt;margin-top:584.7pt;z-index:-167757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36.45pt;margin-top:584.7pt;z-index:-1677578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543.7pt;margin-top:584.7pt;z-index:-1677578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600.1pt;margin-top:584.7pt;z-index:-16775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12.8pt;margin-top:607.85pt;z-index:-16775772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353.45pt;margin-top:607.85pt;z-index:-1677576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70.1pt;margin-top:607.85pt;z-index:-16775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375.9pt;margin-top:607.85pt;z-index:-1677576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433.75pt;margin-top:607.85pt;z-index:-167757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436.65pt;margin-top:607.85pt;z-index:-1677575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453.3pt;margin-top:607.85pt;z-index:-16775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459.05pt;margin-top:607.85pt;z-index:-1677574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516.95pt;margin-top:607.85pt;z-index:-167757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519.8pt;margin-top:607.85pt;z-index:-1677573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536.45pt;margin-top:607.85pt;z-index:-1677573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43.7pt;margin-top:607.85pt;z-index:-167757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600.1pt;margin-top:607.85pt;z-index:-16775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12.8pt;margin-top:635.35pt;z-index:-16775720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353.45pt;margin-top:635.35pt;z-index:-1677571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370.1pt;margin-top:635.35pt;z-index:-16775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75.9pt;margin-top:635.35pt;z-index:-1677570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433.75pt;margin-top:635.35pt;z-index:-167757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436.65pt;margin-top:635.35pt;z-index:-1677570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53.3pt;margin-top:635.35pt;z-index:-16775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459.05pt;margin-top:635.35pt;z-index:-1677569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16.95pt;margin-top:635.35pt;z-index:-167756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519.8pt;margin-top:635.35pt;z-index:-1677568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36.45pt;margin-top:635.35pt;z-index:-1677568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543.7pt;margin-top:635.35pt;z-index:-1677567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600.1pt;margin-top:635.35pt;z-index:-167756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370.1pt;margin-top:197pt;z-index:-167756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375.9pt;margin-top:197pt;z-index:-1677566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453.3pt;margin-top:197pt;z-index:-167756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459.05pt;margin-top:197pt;z-index:-1677565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36.45pt;margin-top:197pt;z-index:-1677565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43.7pt;margin-top:197pt;z-index:-1677564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370.1pt;margin-top:210.05pt;z-index:-167756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375.9pt;margin-top:210.05pt;z-index:-167756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453.3pt;margin-top:210.05pt;z-index:-167756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459.05pt;margin-top:210.05pt;z-index:-1677563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536.45pt;margin-top:210.05pt;z-index:-1677562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543.7pt;margin-top:210.05pt;z-index:-167756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370.1pt;margin-top:292.5pt;z-index:-167756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375.9pt;margin-top:292.5pt;z-index:-1677561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453.3pt;margin-top:292.5pt;z-index:-167756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459.05pt;margin-top:292.5pt;z-index:-1677560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36.45pt;margin-top:292.5pt;z-index:-16775604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43.7pt;margin-top:292.5pt;z-index:-1677560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70.1pt;margin-top:305.5pt;z-index:-167755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75.9pt;margin-top:305.5pt;z-index:-1677559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453.3pt;margin-top:305.5pt;z-index:-167755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459.05pt;margin-top:305.5pt;z-index:-1677558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36.45pt;margin-top:305.5pt;z-index:-1677558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543.7pt;margin-top:305.5pt;z-index:-167755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370.1pt;margin-top:318.55pt;z-index:-167755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375.9pt;margin-top:318.55pt;z-index:-1677556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453.3pt;margin-top:318.55pt;z-index:-167755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459.05pt;margin-top:318.55pt;z-index:-1677556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36.45pt;margin-top:318.55pt;z-index:-1677555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543.7pt;margin-top:318.55pt;z-index:-167755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370.1pt;margin-top:331.55pt;z-index:-167755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370.1pt;margin-top:333pt;z-index:-167755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375.9pt;margin-top:331.55pt;z-index:-167755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375.9pt;margin-top:333pt;z-index:-1677553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53.3pt;margin-top:331.55pt;z-index:-167755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53.3pt;margin-top:333pt;z-index:-167755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59.05pt;margin-top:331.55pt;z-index:-1677552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459.05pt;margin-top:333pt;z-index:-1677552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36.45pt;margin-top:331.55pt;z-index:-1677551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36.45pt;margin-top:333pt;z-index:-1677551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43.7pt;margin-top:331.55pt;z-index:-1677550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543.7pt;margin-top:333pt;z-index:-167755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370.1pt;margin-top:427pt;z-index:-167755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75.9pt;margin-top:427pt;z-index:-1677549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453.3pt;margin-top:427pt;z-index:-167754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459.05pt;margin-top:427pt;z-index:-1677548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36.45pt;margin-top:427pt;z-index:-16775484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543.7pt;margin-top:427pt;z-index:-1677548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370.1pt;margin-top:451.6pt;z-index:-167754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375.9pt;margin-top:451.6pt;z-index:-1677547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453.3pt;margin-top:451.6pt;z-index:-167754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459.05pt;margin-top:451.6pt;z-index:-1677546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36.45pt;margin-top:451.6pt;z-index:-1677546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43.7pt;margin-top:451.6pt;z-index:-1677545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370.1pt;margin-top:464.65pt;z-index:-167754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375.9pt;margin-top:464.65pt;z-index:-1677544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453.3pt;margin-top:464.65pt;z-index:-167754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459.05pt;margin-top:464.65pt;z-index:-167754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36.45pt;margin-top:464.65pt;z-index:-1677543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43.7pt;margin-top:464.65pt;z-index:-167754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370.1pt;margin-top:535.5pt;z-index:-167754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375.9pt;margin-top:535.5pt;z-index:-1677542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453.3pt;margin-top:535.5pt;z-index:-167754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459.05pt;margin-top:535.5pt;z-index:-1677541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36.45pt;margin-top:535.5pt;z-index:-1677541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43.7pt;margin-top:535.5pt;z-index:-1677540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370.1pt;margin-top:548.55pt;z-index:-167754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375.9pt;margin-top:548.55pt;z-index:-1677540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453.3pt;margin-top:548.55pt;z-index:-167753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459.05pt;margin-top:548.55pt;z-index:-1677539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36.45pt;margin-top:548.55pt;z-index:-1677538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43.7pt;margin-top:548.55pt;z-index:-1677538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370.1pt;margin-top:619.4pt;z-index:-167753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375.9pt;margin-top:619.4pt;z-index:-1677537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453.3pt;margin-top:619.4pt;z-index:-167753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459.05pt;margin-top:619.4pt;z-index:-1677536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36.45pt;margin-top:619.4pt;z-index:-16775364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43.7pt;margin-top:619.4pt;z-index:-167753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370.1pt;margin-top:632.45pt;z-index:-167753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375.9pt;margin-top:632.45pt;z-index:-1677535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453.3pt;margin-top:632.45pt;z-index:-167753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459.05pt;margin-top:632.45pt;z-index:-1677534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36.45pt;margin-top:632.45pt;z-index:-1677534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43.7pt;margin-top:632.45pt;z-index:-1677533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370.1pt;margin-top:633.9pt;z-index:-167753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375.9pt;margin-top:633.9pt;z-index:-1677532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453.3pt;margin-top:633.9pt;z-index:-167753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459.05pt;margin-top:633.9pt;z-index:-1677532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36.45pt;margin-top:633.9pt;z-index:-1677531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43.7pt;margin-top:633.9pt;z-index:-1677531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370.1pt;margin-top:646.9pt;z-index:-167753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370.1pt;margin-top:648.35pt;z-index:-167753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375.9pt;margin-top:646.9pt;z-index:-1677530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375.9pt;margin-top:648.35pt;z-index:-1677529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453.3pt;margin-top:646.9pt;z-index:-167752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53.3pt;margin-top:648.35pt;z-index:-167752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59.05pt;margin-top:646.9pt;z-index:-1677528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59.05pt;margin-top:648.35pt;z-index:-1677528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36.45pt;margin-top:646.9pt;z-index:-1677527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36.45pt;margin-top:648.35pt;z-index:-1677527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43.7pt;margin-top:646.9pt;z-index:-167752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43.7pt;margin-top:648.35pt;z-index:-1677526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36.45pt;margin-top:72.6pt;z-index:-16775260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453.3pt;margin-top:72.6pt;z-index:-16775256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70.1pt;margin-top:72.6pt;z-index:-16775252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12.8pt;margin-top:657.05pt;z-index:-16775248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</w:p>
    <w:p>
      <w:pPr>
        <w:pStyle w:val="Normal"/>
        <w:framePr w:w="13032" w:hAnchor="page" w:vAnchor="page" w:x="739" w:y="12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separated from cost of revenue and selling, general and administrative expenses and presented in a separate line for comparative purposes.</w:t>
      </w:r>
    </w:p>
    <w:p>
      <w:pPr>
        <w:pStyle w:val="Normal"/>
        <w:framePr w:w="13232" w:hAnchor="page" w:vAnchor="page" w:x="739" w:y="12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 all personnel expenses as a single item in a Personnel expenses line. Personnel expenses for the year ended December 31, 2018 were</w:t>
      </w:r>
    </w:p>
    <w:p>
      <w:pPr>
        <w:pStyle w:val="Normal"/>
        <w:framePr w:w="13579" w:hAnchor="page" w:vAnchor="page" w:x="739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associated with all other activities were disclosed within selling, general, and administrative expenses. Starting from full year 2019 reporting we</w:t>
      </w:r>
    </w:p>
    <w:p>
      <w:pPr>
        <w:pStyle w:val="Normal"/>
        <w:framePr w:w="498" w:hAnchor="page" w:vAnchor="page" w:x="276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064" w:hAnchor="page" w:vAnchor="page" w:x="739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Historically personnel expenses directly associated with revenue recognized were disclosed within cost of revenue and personnel expenses</w:t>
      </w:r>
    </w:p>
    <w:p>
      <w:pPr>
        <w:pStyle w:val="Normal"/>
        <w:framePr w:w="5580" w:hAnchor="page" w:vAnchor="page" w:x="739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December 31, 2019.</w:t>
      </w:r>
    </w:p>
    <w:p>
      <w:pPr>
        <w:pStyle w:val="Normal"/>
        <w:framePr w:w="498" w:hAnchor="page" w:vAnchor="page" w:x="276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61.9057 to U.S. $1.00, which was the official exchange rate quoted by the Central</w:t>
      </w:r>
    </w:p>
    <w:p>
      <w:pPr>
        <w:pStyle w:val="Normal"/>
        <w:framePr w:w="6287" w:hAnchor="page" w:vAnchor="page" w:x="276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 profit attributable to ordinary equity holders of the parent</w:t>
      </w:r>
    </w:p>
    <w:p>
      <w:pPr>
        <w:pStyle w:val="Normal"/>
        <w:framePr w:w="344" w:hAnchor="page" w:vAnchor="page" w:x="7162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14.26 </w:t>
      </w:r>
    </w:p>
    <w:p>
      <w:pPr>
        <w:pStyle w:val="Normal"/>
        <w:framePr w:w="806" w:hAnchor="page" w:vAnchor="page" w:x="9896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10.78 </w:t>
      </w:r>
    </w:p>
    <w:p>
      <w:pPr>
        <w:pStyle w:val="Normal"/>
        <w:framePr w:w="691" w:hAnchor="page" w:vAnchor="page" w:x="11627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0.17 </w:t>
      </w:r>
    </w:p>
    <w:p>
      <w:pPr>
        <w:pStyle w:val="Normal"/>
        <w:framePr w:w="6107" w:hAnchor="page" w:vAnchor="page" w:x="276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 profit attributable to ordinary equity holders of the parent</w:t>
      </w:r>
    </w:p>
    <w:p>
      <w:pPr>
        <w:pStyle w:val="Normal"/>
        <w:framePr w:w="344" w:hAnchor="page" w:vAnchor="page" w:x="7162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14.33 </w:t>
      </w:r>
    </w:p>
    <w:p>
      <w:pPr>
        <w:pStyle w:val="Normal"/>
        <w:framePr w:w="806" w:hAnchor="page" w:vAnchor="page" w:x="9896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10.83 </w:t>
      </w:r>
    </w:p>
    <w:p>
      <w:pPr>
        <w:pStyle w:val="Normal"/>
        <w:framePr w:w="691" w:hAnchor="page" w:vAnchor="page" w:x="11627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0.17 </w:t>
      </w:r>
    </w:p>
    <w:p>
      <w:pPr>
        <w:pStyle w:val="Normal"/>
        <w:framePr w:w="2014" w:hAnchor="page" w:vAnchor="page" w:x="276" w:y="105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Earnings per share:</w:t>
      </w:r>
    </w:p>
    <w:p>
      <w:pPr>
        <w:pStyle w:val="Normal"/>
        <w:framePr w:w="344" w:hAnchor="page" w:vAnchor="page" w:x="7162" w:y="105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276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7162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502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 </w:t>
      </w:r>
    </w:p>
    <w:p>
      <w:pPr>
        <w:pStyle w:val="Normal"/>
        <w:framePr w:w="517" w:hAnchor="page" w:vAnchor="page" w:x="10137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</w:t>
      </w:r>
    </w:p>
    <w:p>
      <w:pPr>
        <w:pStyle w:val="Normal"/>
        <w:framePr w:w="401" w:hAnchor="page" w:vAnchor="page" w:x="11868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 </w:t>
      </w:r>
    </w:p>
    <w:p>
      <w:pPr>
        <w:pStyle w:val="Normal"/>
        <w:framePr w:w="2811" w:hAnchor="page" w:vAnchor="page" w:x="276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21" w:hAnchor="page" w:vAnchor="page" w:x="7162" w:y="101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1,032</w:t>
      </w:r>
    </w:p>
    <w:p>
      <w:pPr>
        <w:pStyle w:val="Normal"/>
        <w:framePr w:w="575" w:hAnchor="page" w:vAnchor="page" w:x="10041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637</w:t>
      </w:r>
    </w:p>
    <w:p>
      <w:pPr>
        <w:pStyle w:val="Normal"/>
        <w:framePr w:w="459" w:hAnchor="page" w:vAnchor="page" w:x="11771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</w:t>
      </w:r>
    </w:p>
    <w:p>
      <w:pPr>
        <w:pStyle w:val="Normal"/>
        <w:framePr w:w="5581" w:hAnchor="page" w:vAnchor="page" w:x="276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 net of tax attributable to:</w:t>
      </w:r>
    </w:p>
    <w:p>
      <w:pPr>
        <w:pStyle w:val="Normal"/>
        <w:framePr w:w="21" w:hAnchor="page" w:vAnchor="page" w:x="7162" w:y="982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1,055</w:t>
      </w:r>
    </w:p>
    <w:p>
      <w:pPr>
        <w:pStyle w:val="Normal"/>
        <w:framePr w:w="575" w:hAnchor="page" w:vAnchor="page" w:x="10041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652</w:t>
      </w:r>
    </w:p>
    <w:p>
      <w:pPr>
        <w:pStyle w:val="Normal"/>
        <w:framePr w:w="459" w:hAnchor="page" w:vAnchor="page" w:x="11782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</w:t>
      </w:r>
    </w:p>
    <w:p>
      <w:pPr>
        <w:pStyle w:val="Normal"/>
        <w:framePr w:w="4655" w:hAnchor="page" w:vAnchor="page" w:x="27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comprehensive income, net of tax</w:t>
      </w:r>
    </w:p>
    <w:p>
      <w:pPr>
        <w:pStyle w:val="Normal"/>
        <w:framePr w:w="344" w:hAnchor="page" w:vAnchor="page" w:x="7162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160 </w:t>
      </w:r>
    </w:p>
    <w:p>
      <w:pPr>
        <w:pStyle w:val="Normal"/>
        <w:framePr w:w="671" w:hAnchor="page" w:vAnchor="page" w:x="10073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(35) </w:t>
      </w:r>
    </w:p>
    <w:p>
      <w:pPr>
        <w:pStyle w:val="Normal"/>
        <w:framePr w:w="555" w:hAnchor="page" w:vAnchor="page" w:x="11804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4661" w:hAnchor="page" w:vAnchor="page" w:x="27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in allowance for expected credit losses</w:t>
      </w:r>
    </w:p>
    <w:p>
      <w:pPr>
        <w:pStyle w:val="Normal"/>
        <w:framePr w:w="344" w:hAnchor="page" w:vAnchor="page" w:x="7162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01" w:hAnchor="page" w:vAnchor="page" w:x="10233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401" w:hAnchor="page" w:vAnchor="page" w:x="11868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 </w:t>
      </w:r>
    </w:p>
    <w:p>
      <w:pPr>
        <w:pStyle w:val="Normal"/>
        <w:framePr w:w="4765" w:hAnchor="page" w:vAnchor="page" w:x="276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recycled to profit or loss upon disposal</w:t>
      </w:r>
    </w:p>
    <w:p>
      <w:pPr>
        <w:pStyle w:val="Normal"/>
        <w:framePr w:w="344" w:hAnchor="page" w:vAnchor="page" w:x="7162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073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(26)  </w:t>
      </w:r>
    </w:p>
    <w:p>
      <w:pPr>
        <w:pStyle w:val="Normal"/>
        <w:framePr w:w="555" w:hAnchor="page" w:vAnchor="page" w:x="11804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(0) </w:t>
      </w:r>
    </w:p>
    <w:p>
      <w:pPr>
        <w:pStyle w:val="Normal"/>
        <w:framePr w:w="2451" w:hAnchor="page" w:vAnchor="page" w:x="276" w:y="88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change in fair value</w:t>
      </w:r>
    </w:p>
    <w:p>
      <w:pPr>
        <w:pStyle w:val="Normal"/>
        <w:framePr w:w="344" w:hAnchor="page" w:vAnchor="page" w:x="7162" w:y="88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88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0137" w:y="88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 </w:t>
      </w:r>
    </w:p>
    <w:p>
      <w:pPr>
        <w:pStyle w:val="Normal"/>
        <w:framePr w:w="401" w:hAnchor="page" w:vAnchor="page" w:x="11868" w:y="88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 </w:t>
      </w:r>
    </w:p>
    <w:p>
      <w:pPr>
        <w:pStyle w:val="Normal"/>
        <w:framePr w:w="6550" w:hAnchor="page" w:vAnchor="page" w:x="276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instruments at fair value through other comprehensive income:</w:t>
      </w:r>
    </w:p>
    <w:p>
      <w:pPr>
        <w:pStyle w:val="Normal"/>
        <w:framePr w:w="344" w:hAnchor="page" w:vAnchor="page" w:x="7162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43" w:hAnchor="page" w:vAnchor="page" w:x="276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differences on translation of foreign operations</w:t>
      </w:r>
    </w:p>
    <w:p>
      <w:pPr>
        <w:pStyle w:val="Normal"/>
        <w:framePr w:w="344" w:hAnchor="page" w:vAnchor="page" w:x="7162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160 </w:t>
      </w:r>
    </w:p>
    <w:p>
      <w:pPr>
        <w:pStyle w:val="Normal"/>
        <w:framePr w:w="733" w:hAnchor="page" w:vAnchor="page" w:x="10073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(35)  </w:t>
      </w:r>
    </w:p>
    <w:p>
      <w:pPr>
        <w:pStyle w:val="Normal"/>
        <w:framePr w:w="555" w:hAnchor="page" w:vAnchor="page" w:x="11804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2914" w:hAnchor="page" w:vAnchor="page" w:x="276" w:y="81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translation:</w:t>
      </w:r>
    </w:p>
    <w:p>
      <w:pPr>
        <w:pStyle w:val="Normal"/>
        <w:framePr w:w="344" w:hAnchor="page" w:vAnchor="page" w:x="7162" w:y="81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99" w:hAnchor="page" w:vAnchor="page" w:x="469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periods:</w:t>
      </w:r>
    </w:p>
    <w:p>
      <w:pPr>
        <w:pStyle w:val="Normal"/>
        <w:framePr w:w="344" w:hAnchor="page" w:vAnchor="page" w:x="7162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90" w:hAnchor="page" w:vAnchor="page" w:x="276" w:y="77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comprehensive income that may be reclassified to profit or loss in subsequent</w:t>
      </w:r>
    </w:p>
    <w:p>
      <w:pPr>
        <w:pStyle w:val="Normal"/>
        <w:framePr w:w="3115" w:hAnchor="page" w:vAnchor="page" w:x="276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comprehensive income</w:t>
      </w:r>
    </w:p>
    <w:p>
      <w:pPr>
        <w:pStyle w:val="Normal"/>
        <w:framePr w:w="344" w:hAnchor="page" w:vAnchor="page" w:x="7162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7162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502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517" w:hAnchor="page" w:vAnchor="page" w:x="10137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</w:t>
      </w:r>
    </w:p>
    <w:p>
      <w:pPr>
        <w:pStyle w:val="Normal"/>
        <w:framePr w:w="401" w:hAnchor="page" w:vAnchor="page" w:x="11868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 </w:t>
      </w:r>
    </w:p>
    <w:p>
      <w:pPr>
        <w:pStyle w:val="Normal"/>
        <w:framePr w:w="2811" w:hAnchor="page" w:vAnchor="page" w:x="662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7162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882 </w:t>
      </w:r>
    </w:p>
    <w:p>
      <w:pPr>
        <w:pStyle w:val="Normal"/>
        <w:framePr w:w="633" w:hAnchor="page" w:vAnchor="page" w:x="10041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672 </w:t>
      </w:r>
    </w:p>
    <w:p>
      <w:pPr>
        <w:pStyle w:val="Normal"/>
        <w:framePr w:w="509" w:hAnchor="page" w:vAnchor="page" w:x="11779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</w:t>
      </w:r>
    </w:p>
    <w:p>
      <w:pPr>
        <w:pStyle w:val="Normal"/>
        <w:framePr w:w="1790" w:hAnchor="page" w:vAnchor="page" w:x="276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7162" w:y="67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4" w:hAnchor="page" w:vAnchor="page" w:x="276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7162" w:y="65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406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895</w:t>
      </w:r>
    </w:p>
    <w:p>
      <w:pPr>
        <w:pStyle w:val="Normal"/>
        <w:framePr w:w="575" w:hAnchor="page" w:vAnchor="page" w:x="10041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687</w:t>
      </w:r>
    </w:p>
    <w:p>
      <w:pPr>
        <w:pStyle w:val="Normal"/>
        <w:framePr w:w="459" w:hAnchor="page" w:vAnchor="page" w:x="11782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</w:t>
      </w:r>
    </w:p>
    <w:p>
      <w:pPr>
        <w:pStyle w:val="Normal"/>
        <w:framePr w:w="2065" w:hAnchor="page" w:vAnchor="page" w:x="276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</w:t>
      </w:r>
    </w:p>
    <w:p>
      <w:pPr>
        <w:pStyle w:val="Normal"/>
        <w:framePr w:w="344" w:hAnchor="page" w:vAnchor="page" w:x="7162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(163)  </w:t>
      </w:r>
    </w:p>
    <w:p>
      <w:pPr>
        <w:pStyle w:val="Normal"/>
        <w:framePr w:w="849" w:hAnchor="page" w:vAnchor="page" w:x="9976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(277)  </w:t>
      </w:r>
    </w:p>
    <w:p>
      <w:pPr>
        <w:pStyle w:val="Normal"/>
        <w:framePr w:w="555" w:hAnchor="page" w:vAnchor="page" w:x="11804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</w:t>
      </w:r>
    </w:p>
    <w:p>
      <w:pPr>
        <w:pStyle w:val="Normal"/>
        <w:framePr w:w="1851" w:hAnchor="page" w:vAnchor="page" w:x="276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</w:t>
      </w:r>
    </w:p>
    <w:p>
      <w:pPr>
        <w:pStyle w:val="Normal"/>
        <w:framePr w:w="21" w:hAnchor="page" w:vAnchor="page" w:x="7162" w:y="60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1,058</w:t>
      </w:r>
    </w:p>
    <w:p>
      <w:pPr>
        <w:pStyle w:val="Normal"/>
        <w:framePr w:w="575" w:hAnchor="page" w:vAnchor="page" w:x="10041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964</w:t>
      </w:r>
    </w:p>
    <w:p>
      <w:pPr>
        <w:pStyle w:val="Normal"/>
        <w:framePr w:w="459" w:hAnchor="page" w:vAnchor="page" w:x="11771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</w:t>
      </w:r>
    </w:p>
    <w:p>
      <w:pPr>
        <w:pStyle w:val="Normal"/>
        <w:framePr w:w="3344" w:hAnchor="page" w:vAnchor="page" w:x="276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7162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8599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733" w:hAnchor="page" w:vAnchor="page" w:x="10073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(38)  </w:t>
      </w:r>
    </w:p>
    <w:p>
      <w:pPr>
        <w:pStyle w:val="Normal"/>
        <w:framePr w:w="555" w:hAnchor="page" w:vAnchor="page" w:x="11804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2297" w:hAnchor="page" w:vAnchor="page" w:x="276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7162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(430)  </w:t>
      </w:r>
    </w:p>
    <w:p>
      <w:pPr>
        <w:pStyle w:val="Normal"/>
        <w:framePr w:w="849" w:hAnchor="page" w:vAnchor="page" w:x="9976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(235)  </w:t>
      </w:r>
    </w:p>
    <w:p>
      <w:pPr>
        <w:pStyle w:val="Normal"/>
        <w:framePr w:w="555" w:hAnchor="page" w:vAnchor="page" w:x="11804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</w:t>
      </w:r>
    </w:p>
    <w:p>
      <w:pPr>
        <w:pStyle w:val="Normal"/>
        <w:framePr w:w="2335" w:hAnchor="page" w:vAnchor="page" w:x="276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7162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505 </w:t>
      </w:r>
    </w:p>
    <w:p>
      <w:pPr>
        <w:pStyle w:val="Normal"/>
        <w:framePr w:w="624" w:hAnchor="page" w:vAnchor="page" w:x="10048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211 </w:t>
      </w:r>
    </w:p>
    <w:p>
      <w:pPr>
        <w:pStyle w:val="Normal"/>
        <w:framePr w:w="401" w:hAnchor="page" w:vAnchor="page" w:x="11868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3177" w:hAnchor="page" w:vAnchor="page" w:x="276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7162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(109)  </w:t>
      </w:r>
    </w:p>
    <w:p>
      <w:pPr>
        <w:pStyle w:val="Normal"/>
        <w:framePr w:w="733" w:hAnchor="page" w:vAnchor="page" w:x="10073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(99)  </w:t>
      </w:r>
    </w:p>
    <w:p>
      <w:pPr>
        <w:pStyle w:val="Normal"/>
        <w:framePr w:w="555" w:hAnchor="page" w:vAnchor="page" w:x="11804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</w:t>
      </w:r>
    </w:p>
    <w:p>
      <w:pPr>
        <w:pStyle w:val="Normal"/>
        <w:framePr w:w="5246" w:hAnchor="page" w:vAnchor="page" w:x="276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gain/(loss) of an associate and a joint venture</w:t>
      </w:r>
    </w:p>
    <w:p>
      <w:pPr>
        <w:pStyle w:val="Normal"/>
        <w:framePr w:w="21" w:hAnchor="page" w:vAnchor="page" w:x="7162" w:y="484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8438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(27)</w:t>
      </w:r>
    </w:p>
    <w:p>
      <w:pPr>
        <w:pStyle w:val="Normal"/>
        <w:framePr w:w="575" w:hAnchor="page" w:vAnchor="page" w:x="10041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180</w:t>
      </w:r>
    </w:p>
    <w:p>
      <w:pPr>
        <w:pStyle w:val="Normal"/>
        <w:framePr w:w="344" w:hAnchor="page" w:vAnchor="page" w:x="11868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</w:t>
      </w:r>
    </w:p>
    <w:p>
      <w:pPr>
        <w:pStyle w:val="Normal"/>
        <w:framePr w:w="2443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from operations</w:t>
      </w:r>
    </w:p>
    <w:p>
      <w:pPr>
        <w:pStyle w:val="Normal"/>
        <w:framePr w:w="344" w:hAnchor="page" w:vAnchor="page" w:x="7162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4" w:hAnchor="page" w:vAnchor="page" w:x="8272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1,116 </w:t>
      </w:r>
    </w:p>
    <w:p>
      <w:pPr>
        <w:pStyle w:val="Normal"/>
        <w:framePr w:w="633" w:hAnchor="page" w:vAnchor="page" w:x="10041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945 </w:t>
      </w:r>
    </w:p>
    <w:p>
      <w:pPr>
        <w:pStyle w:val="Normal"/>
        <w:framePr w:w="517" w:hAnchor="page" w:vAnchor="page" w:x="11771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15 </w:t>
      </w:r>
    </w:p>
    <w:p>
      <w:pPr>
        <w:pStyle w:val="Normal"/>
        <w:framePr w:w="3293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162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49" w:hAnchor="page" w:vAnchor="page" w:x="99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(266)  </w:t>
      </w:r>
    </w:p>
    <w:p>
      <w:pPr>
        <w:pStyle w:val="Normal"/>
        <w:framePr w:w="555" w:hAnchor="page" w:vAnchor="page" w:x="11804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</w:t>
      </w:r>
    </w:p>
    <w:p>
      <w:pPr>
        <w:pStyle w:val="Normal"/>
        <w:framePr w:w="2027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7162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0" w:hAnchor="page" w:vAnchor="page" w:x="8349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(113)  </w:t>
      </w:r>
    </w:p>
    <w:p>
      <w:pPr>
        <w:pStyle w:val="Normal"/>
        <w:framePr w:w="849" w:hAnchor="page" w:vAnchor="page" w:x="99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(182)  </w:t>
      </w:r>
    </w:p>
    <w:p>
      <w:pPr>
        <w:pStyle w:val="Normal"/>
        <w:framePr w:w="555" w:hAnchor="page" w:vAnchor="page" w:x="11804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(3) </w:t>
      </w:r>
    </w:p>
    <w:p>
      <w:pPr>
        <w:pStyle w:val="Normal"/>
        <w:framePr w:w="3042" w:hAnchor="page" w:vAnchor="page" w:x="276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162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(241)  </w:t>
      </w:r>
    </w:p>
    <w:p>
      <w:pPr>
        <w:pStyle w:val="Normal"/>
        <w:framePr w:w="849" w:hAnchor="page" w:vAnchor="page" w:x="9976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(245)  </w:t>
      </w:r>
    </w:p>
    <w:p>
      <w:pPr>
        <w:pStyle w:val="Normal"/>
        <w:framePr w:w="555" w:hAnchor="page" w:vAnchor="page" w:x="11804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</w:t>
      </w:r>
    </w:p>
    <w:p>
      <w:pPr>
        <w:pStyle w:val="Normal"/>
        <w:framePr w:w="2245" w:hAnchor="page" w:vAnchor="page" w:x="276" w:y="36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7162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(2,286)  </w:t>
      </w:r>
    </w:p>
    <w:p>
      <w:pPr>
        <w:pStyle w:val="Normal"/>
        <w:framePr w:w="1022" w:hAnchor="page" w:vAnchor="page" w:x="9832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(2,321)  </w:t>
      </w:r>
    </w:p>
    <w:p>
      <w:pPr>
        <w:pStyle w:val="Normal"/>
        <w:framePr w:w="671" w:hAnchor="page" w:vAnchor="page" w:x="11707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(37) </w:t>
      </w:r>
    </w:p>
    <w:p>
      <w:pPr>
        <w:pStyle w:val="Normal"/>
        <w:framePr w:w="4346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7162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(2,062)  </w:t>
      </w:r>
    </w:p>
    <w:p>
      <w:pPr>
        <w:pStyle w:val="Normal"/>
        <w:framePr w:w="1022" w:hAnchor="page" w:vAnchor="page" w:x="9832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(2,294)  </w:t>
      </w:r>
    </w:p>
    <w:p>
      <w:pPr>
        <w:pStyle w:val="Normal"/>
        <w:framePr w:w="671" w:hAnchor="page" w:vAnchor="page" w:x="11707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(37) </w:t>
      </w:r>
    </w:p>
    <w:p>
      <w:pPr>
        <w:pStyle w:val="Normal"/>
        <w:framePr w:w="5849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depreciation and amortization)</w:t>
      </w:r>
    </w:p>
    <w:p>
      <w:pPr>
        <w:pStyle w:val="Normal"/>
        <w:framePr w:w="344" w:hAnchor="page" w:vAnchor="page" w:x="7162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(3,463)  </w:t>
      </w:r>
    </w:p>
    <w:p>
      <w:pPr>
        <w:pStyle w:val="Normal"/>
        <w:framePr w:w="1022" w:hAnchor="page" w:vAnchor="page" w:x="9832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(4,437)  </w:t>
      </w:r>
    </w:p>
    <w:p>
      <w:pPr>
        <w:pStyle w:val="Normal"/>
        <w:framePr w:w="671" w:hAnchor="page" w:vAnchor="page" w:x="11707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(72) </w:t>
      </w:r>
    </w:p>
    <w:p>
      <w:pPr>
        <w:pStyle w:val="Normal"/>
        <w:framePr w:w="3204" w:hAnchor="page" w:vAnchor="page" w:x="276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344" w:hAnchor="page" w:vAnchor="page" w:x="7162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60" w:hAnchor="page" w:vAnchor="page" w:x="8197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(8,165) </w:t>
      </w:r>
    </w:p>
    <w:p>
      <w:pPr>
        <w:pStyle w:val="Normal"/>
        <w:framePr w:w="960" w:hAnchor="page" w:vAnchor="page" w:x="9832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(9,745) </w:t>
      </w:r>
    </w:p>
    <w:p>
      <w:pPr>
        <w:pStyle w:val="Normal"/>
        <w:framePr w:w="787" w:hAnchor="page" w:vAnchor="page" w:x="11611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(157) </w:t>
      </w:r>
    </w:p>
    <w:p>
      <w:pPr>
        <w:pStyle w:val="Normal"/>
        <w:framePr w:w="1545" w:hAnchor="page" w:vAnchor="page" w:x="27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7162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1,292 </w:t>
      </w:r>
    </w:p>
    <w:p>
      <w:pPr>
        <w:pStyle w:val="Normal"/>
        <w:framePr w:w="633" w:hAnchor="page" w:vAnchor="page" w:x="10041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961 </w:t>
      </w:r>
    </w:p>
    <w:p>
      <w:pPr>
        <w:pStyle w:val="Normal"/>
        <w:framePr w:w="517" w:hAnchor="page" w:vAnchor="page" w:x="11771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</w:t>
      </w:r>
    </w:p>
    <w:p>
      <w:pPr>
        <w:pStyle w:val="Normal"/>
        <w:framePr w:w="5175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from inactive accounts and unclaimed payments</w:t>
      </w:r>
    </w:p>
    <w:p>
      <w:pPr>
        <w:pStyle w:val="Normal"/>
        <w:framePr w:w="344" w:hAnchor="page" w:vAnchor="page" w:x="7162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410 </w:t>
      </w:r>
    </w:p>
    <w:p>
      <w:pPr>
        <w:pStyle w:val="Normal"/>
        <w:framePr w:w="633" w:hAnchor="page" w:vAnchor="page" w:x="10041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406 </w:t>
      </w:r>
    </w:p>
    <w:p>
      <w:pPr>
        <w:pStyle w:val="Normal"/>
        <w:framePr w:w="401" w:hAnchor="page" w:vAnchor="page" w:x="11868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5613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7162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671 </w:t>
      </w:r>
    </w:p>
    <w:p>
      <w:pPr>
        <w:pStyle w:val="Normal"/>
        <w:framePr w:w="633" w:hAnchor="page" w:vAnchor="page" w:x="10041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995 </w:t>
      </w:r>
    </w:p>
    <w:p>
      <w:pPr>
        <w:pStyle w:val="Normal"/>
        <w:framePr w:w="517" w:hAnchor="page" w:vAnchor="page" w:x="11771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</w:t>
      </w:r>
    </w:p>
    <w:p>
      <w:pPr>
        <w:pStyle w:val="Normal"/>
        <w:framePr w:w="2515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344" w:hAnchor="page" w:vAnchor="page" w:x="7162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6,908 </w:t>
      </w:r>
    </w:p>
    <w:p>
      <w:pPr>
        <w:pStyle w:val="Normal"/>
        <w:framePr w:w="806" w:hAnchor="page" w:vAnchor="page" w:x="989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8,328 </w:t>
      </w:r>
    </w:p>
    <w:p>
      <w:pPr>
        <w:pStyle w:val="Normal"/>
        <w:framePr w:w="633" w:hAnchor="page" w:vAnchor="page" w:x="11675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135 </w:t>
      </w:r>
    </w:p>
    <w:p>
      <w:pPr>
        <w:pStyle w:val="Normal"/>
        <w:framePr w:w="1153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7162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9,281 </w:t>
      </w:r>
    </w:p>
    <w:p>
      <w:pPr>
        <w:pStyle w:val="Normal"/>
        <w:framePr w:w="922" w:hAnchor="page" w:vAnchor="page" w:x="9800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10,690 </w:t>
      </w:r>
    </w:p>
    <w:p>
      <w:pPr>
        <w:pStyle w:val="Normal"/>
        <w:framePr w:w="633" w:hAnchor="page" w:vAnchor="page" w:x="11675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173 </w:t>
      </w:r>
    </w:p>
    <w:p>
      <w:pPr>
        <w:pStyle w:val="Normal"/>
        <w:framePr w:w="273" w:hAnchor="page" w:vAnchor="page" w:x="7162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896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530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097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162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904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2018</w:t>
      </w:r>
    </w:p>
    <w:p>
      <w:pPr>
        <w:pStyle w:val="Normal"/>
        <w:framePr w:w="550" w:hAnchor="page" w:vAnchor="page" w:x="9539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11174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1707" w:hAnchor="page" w:vAnchor="page" w:x="7422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905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10691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273" w:hAnchor="page" w:vAnchor="page" w:x="7162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8613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224" w:hAnchor="page" w:vAnchor="page" w:x="409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Comprehensive Income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7pt;margin-top:1pt;z-index:-167752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2.8pt;margin-top:1pt;z-index:-167752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12.8pt;margin-top:2.45pt;z-index:-167752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97.95pt;margin-top:1pt;z-index:-167752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12.8pt;margin-top:1pt;z-index:-167752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12.8pt;margin-top:89.95pt;z-index:-1677522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357.1pt;margin-top:89.95pt;z-index:-1677522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370.1pt;margin-top:89.95pt;z-index:-1677521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376.6pt;margin-top:89.95pt;z-index:-1677521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33.75pt;margin-top:89.95pt;z-index:-16775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439.55pt;margin-top:89.95pt;z-index:-167752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51.85pt;margin-top:89.95pt;z-index:-16775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57.6pt;margin-top:89.95pt;z-index:-1677519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515.5pt;margin-top:89.95pt;z-index:-16775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21.25pt;margin-top:89.95pt;z-index:-167751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33.55pt;margin-top:89.95pt;z-index:-1677518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41.5pt;margin-top:89.95pt;z-index:-16775180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97.2pt;margin-top:89.95pt;z-index:-167751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12.8pt;margin-top:113.1pt;z-index:-1677517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57.1pt;margin-top:113.1pt;z-index:-1677516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370.1pt;margin-top:113.1pt;z-index:-1677516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76.6pt;margin-top:113.1pt;z-index:-1677516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433.75pt;margin-top:113.1pt;z-index:-16775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39.55pt;margin-top:113.1pt;z-index:-167751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51.85pt;margin-top:113.1pt;z-index:-167751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57.6pt;margin-top:113.1pt;z-index:-1677514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515.5pt;margin-top:113.1pt;z-index:-167751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21.25pt;margin-top:113.1pt;z-index:-167751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33.55pt;margin-top:113.1pt;z-index:-1677513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41.5pt;margin-top:113.1pt;z-index:-16775128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97.2pt;margin-top:113.1pt;z-index:-16775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12.8pt;margin-top:136.25pt;z-index:-1677512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357.1pt;margin-top:136.25pt;z-index:-1677511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370.1pt;margin-top:136.25pt;z-index:-1677511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376.6pt;margin-top:136.25pt;z-index:-1677510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433.75pt;margin-top:136.25pt;z-index:-16775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439.55pt;margin-top:136.25pt;z-index:-167751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451.85pt;margin-top:136.25pt;z-index:-16775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457.6pt;margin-top:136.25pt;z-index:-1677509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15.5pt;margin-top:136.25pt;z-index:-167750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521.25pt;margin-top:136.25pt;z-index:-167750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533.55pt;margin-top:136.25pt;z-index:-1677508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541.5pt;margin-top:136.25pt;z-index:-16775076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97.2pt;margin-top:136.25pt;z-index:-167750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12.8pt;margin-top:159.4pt;z-index:-1677506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357.1pt;margin-top:159.4pt;z-index:-1677506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370.1pt;margin-top:159.4pt;z-index:-1677506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376.6pt;margin-top:159.4pt;z-index:-1677505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433.75pt;margin-top:159.4pt;z-index:-16775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439.55pt;margin-top:159.4pt;z-index:-167750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451.85pt;margin-top:159.4pt;z-index:-167750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57.6pt;margin-top:159.4pt;z-index:-1677504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515.5pt;margin-top:159.4pt;z-index:-167750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521.25pt;margin-top:159.4pt;z-index:-167750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33.55pt;margin-top:159.4pt;z-index:-1677502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41.5pt;margin-top:159.4pt;z-index:-16775024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597.2pt;margin-top:159.4pt;z-index:-167750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12.8pt;margin-top:182.55pt;z-index:-1677501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57.1pt;margin-top:182.55pt;z-index:-1677501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370.1pt;margin-top:182.55pt;z-index:-1677500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376.6pt;margin-top:182.55pt;z-index:-1677500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433.75pt;margin-top:182.55pt;z-index:-16775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439.55pt;margin-top:182.55pt;z-index:-167749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451.85pt;margin-top:182.55pt;z-index:-16774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457.6pt;margin-top:182.55pt;z-index:-1677498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515.5pt;margin-top:182.55pt;z-index:-167749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521.25pt;margin-top:182.55pt;z-index:-167749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533.55pt;margin-top:182.55pt;z-index:-1677497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41.5pt;margin-top:182.55pt;z-index:-16774972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597.2pt;margin-top:182.55pt;z-index:-167749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12.8pt;margin-top:205.7pt;z-index:-1677496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357.1pt;margin-top:205.7pt;z-index:-1677496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370.1pt;margin-top:205.7pt;z-index:-1677495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376.6pt;margin-top:205.7pt;z-index:-1677495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433.75pt;margin-top:205.7pt;z-index:-16774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439.55pt;margin-top:205.7pt;z-index:-167749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451.85pt;margin-top:205.7pt;z-index:-167749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57.6pt;margin-top:205.7pt;z-index:-1677493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15.5pt;margin-top:205.7pt;z-index:-16774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21.25pt;margin-top:205.7pt;z-index:-167749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533.55pt;margin-top:205.7pt;z-index:-1677492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541.5pt;margin-top:205.7pt;z-index:-16774920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597.2pt;margin-top:205.7pt;z-index:-167749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12.8pt;margin-top:228.85pt;z-index:-1677491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57.1pt;margin-top:228.85pt;z-index:-1677490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370.1pt;margin-top:228.85pt;z-index:-1677490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376.6pt;margin-top:228.85pt;z-index:-1677490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433.75pt;margin-top:228.85pt;z-index:-16774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39.55pt;margin-top:228.85pt;z-index:-167748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451.85pt;margin-top:228.85pt;z-index:-16774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457.6pt;margin-top:228.85pt;z-index:-167748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15.5pt;margin-top:228.85pt;z-index:-167748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21.25pt;margin-top:228.85pt;z-index:-167748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33.55pt;margin-top:228.85pt;z-index:-1677487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41.5pt;margin-top:228.85pt;z-index:-16774868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97.2pt;margin-top:228.85pt;z-index:-167748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12.8pt;margin-top:253.45pt;z-index:-1677486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357.1pt;margin-top:253.45pt;z-index:-1677485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70.1pt;margin-top:253.45pt;z-index:-1677485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76.6pt;margin-top:253.45pt;z-index:-1677484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433.75pt;margin-top:253.45pt;z-index:-16774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439.55pt;margin-top:253.45pt;z-index:-167748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451.85pt;margin-top:253.45pt;z-index:-16774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457.6pt;margin-top:253.45pt;z-index:-167748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15.5pt;margin-top:253.45pt;z-index:-16774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21.25pt;margin-top:253.45pt;z-index:-167748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33.55pt;margin-top:253.45pt;z-index:-1677482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541.5pt;margin-top:253.45pt;z-index:-16774816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597.2pt;margin-top:253.45pt;z-index:-16774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12.8pt;margin-top:276.6pt;z-index:-1677480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357.1pt;margin-top:276.6pt;z-index:-1677480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370.1pt;margin-top:276.6pt;z-index:-1677480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376.6pt;margin-top:276.6pt;z-index:-1677479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433.75pt;margin-top:276.6pt;z-index:-16774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439.55pt;margin-top:276.6pt;z-index:-167747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451.85pt;margin-top:276.6pt;z-index:-167747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457.6pt;margin-top:276.6pt;z-index:-167747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15.5pt;margin-top:276.6pt;z-index:-167747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21.25pt;margin-top:276.6pt;z-index:-167747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533.55pt;margin-top:276.6pt;z-index:-1677476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41.5pt;margin-top:276.6pt;z-index:-16774764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97.2pt;margin-top:276.6pt;z-index:-16774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12.8pt;margin-top:301.15pt;z-index:-1677475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357.1pt;margin-top:301.15pt;z-index:-1677475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370.1pt;margin-top:301.15pt;z-index:-1677474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376.6pt;margin-top:301.15pt;z-index:-1677474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33.75pt;margin-top:301.15pt;z-index:-16774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39.55pt;margin-top:301.15pt;z-index:-167747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451.85pt;margin-top:301.15pt;z-index:-16774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457.6pt;margin-top:301.15pt;z-index:-167747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515.5pt;margin-top:301.15pt;z-index:-167747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521.25pt;margin-top:301.15pt;z-index:-167747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533.55pt;margin-top:301.15pt;z-index:-1677471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541.5pt;margin-top:301.15pt;z-index:-16774712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597.2pt;margin-top:301.15pt;z-index:-16774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12.8pt;margin-top:325.75pt;z-index:-1677470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357.1pt;margin-top:325.75pt;z-index:-1677470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370.1pt;margin-top:325.75pt;z-index:-1677469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376.6pt;margin-top:325.75pt;z-index:-1677469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433.75pt;margin-top:325.75pt;z-index:-16774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439.55pt;margin-top:325.75pt;z-index:-167746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451.85pt;margin-top:325.75pt;z-index:-16774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457.6pt;margin-top:325.75pt;z-index:-1677467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15.5pt;margin-top:325.75pt;z-index:-167746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521.25pt;margin-top:325.75pt;z-index:-167746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33.55pt;margin-top:325.75pt;z-index:-1677466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41.5pt;margin-top:325.75pt;z-index:-16774660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597.2pt;margin-top:325.75pt;z-index:-167746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12.8pt;margin-top:350.35pt;z-index:-1677465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357.1pt;margin-top:350.35pt;z-index:-1677464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370.1pt;margin-top:350.35pt;z-index:-1677464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376.6pt;margin-top:350.35pt;z-index:-1677464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433.75pt;margin-top:350.35pt;z-index:-16774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439.55pt;margin-top:350.35pt;z-index:-167746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451.85pt;margin-top:350.35pt;z-index:-167746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57.6pt;margin-top:350.35pt;z-index:-1677462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15.5pt;margin-top:350.35pt;z-index:-167746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21.25pt;margin-top:350.35pt;z-index:-167746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533.55pt;margin-top:350.35pt;z-index:-1677461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541.5pt;margin-top:350.35pt;z-index:-16774608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597.2pt;margin-top:350.35pt;z-index:-167746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12.8pt;margin-top:373.5pt;z-index:-1677460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357.1pt;margin-top:373.5pt;z-index:-1677459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370.1pt;margin-top:373.5pt;z-index:-1677459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376.6pt;margin-top:373.5pt;z-index:-1677458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33.75pt;margin-top:373.5pt;z-index:-16774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439.55pt;margin-top:373.5pt;z-index:-167745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451.85pt;margin-top:373.5pt;z-index:-16774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457.6pt;margin-top:373.5pt;z-index:-1677457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15.5pt;margin-top:373.5pt;z-index:-167745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21.25pt;margin-top:373.5pt;z-index:-167745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33.55pt;margin-top:373.5pt;z-index:-1677456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541.5pt;margin-top:373.5pt;z-index:-16774556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97.2pt;margin-top:373.5pt;z-index:-16774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12.8pt;margin-top:408.2pt;z-index:-1677454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357.1pt;margin-top:408.2pt;z-index:-1677454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370.1pt;margin-top:408.2pt;z-index:-1677454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376.6pt;margin-top:408.2pt;z-index:-1677453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433.75pt;margin-top:408.2pt;z-index:-16774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439.55pt;margin-top:408.2pt;z-index:-167745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451.85pt;margin-top:408.2pt;z-index:-167745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57.6pt;margin-top:408.2pt;z-index:-1677452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15.5pt;margin-top:408.2pt;z-index:-167745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21.25pt;margin-top:408.2pt;z-index:-167745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33.55pt;margin-top:408.2pt;z-index:-1677450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541.5pt;margin-top:408.2pt;z-index:-16774504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597.2pt;margin-top:408.2pt;z-index:-16774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12.8pt;margin-top:431.35pt;z-index:-1677449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357.1pt;margin-top:431.35pt;z-index:-1677449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370.1pt;margin-top:431.35pt;z-index:-1677448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376.6pt;margin-top:431.35pt;z-index:-1677448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433.75pt;margin-top:431.35pt;z-index:-167744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439.55pt;margin-top:431.35pt;z-index:-167744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451.85pt;margin-top:431.35pt;z-index:-167744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457.6pt;margin-top:431.35pt;z-index:-167744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15.5pt;margin-top:431.35pt;z-index:-167744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21.25pt;margin-top:431.35pt;z-index:-167744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33.55pt;margin-top:431.35pt;z-index:-1677445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41.5pt;margin-top:431.35pt;z-index:-16774452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97.2pt;margin-top:431.35pt;z-index:-167744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2.8pt;margin-top:454.5pt;z-index:-1677444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357.1pt;margin-top:454.5pt;z-index:-1677444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370.1pt;margin-top:454.5pt;z-index:-1677443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376.6pt;margin-top:454.5pt;z-index:-1677443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433.75pt;margin-top:454.5pt;z-index:-167744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439.55pt;margin-top:454.5pt;z-index:-167744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451.85pt;margin-top:454.5pt;z-index:-167744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457.6pt;margin-top:454.5pt;z-index:-1677441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15.5pt;margin-top:454.5pt;z-index:-167744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521.25pt;margin-top:454.5pt;z-index:-167744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533.55pt;margin-top:454.5pt;z-index:-1677440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41.5pt;margin-top:454.5pt;z-index:-16774400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97.2pt;margin-top:454.5pt;z-index:-167743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12.8pt;margin-top:477.65pt;z-index:-1677439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57.1pt;margin-top:477.65pt;z-index:-1677438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70.1pt;margin-top:477.65pt;z-index:-1677438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76.6pt;margin-top:477.65pt;z-index:-1677438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433.75pt;margin-top:477.65pt;z-index:-16774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439.55pt;margin-top:477.65pt;z-index:-167743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451.85pt;margin-top:477.65pt;z-index:-167743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457.6pt;margin-top:477.65pt;z-index:-167743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15.5pt;margin-top:477.65pt;z-index:-167743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21.25pt;margin-top:477.65pt;z-index:-167743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33.55pt;margin-top:477.65pt;z-index:-1677435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41.5pt;margin-top:477.65pt;z-index:-16774348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97.2pt;margin-top:477.65pt;z-index:-16774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12.8pt;margin-top:505.15pt;z-index:-1677434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357.1pt;margin-top:505.15pt;z-index:-1677433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370.1pt;margin-top:505.15pt;z-index:-1677433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376.6pt;margin-top:505.15pt;z-index:-1677432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33.75pt;margin-top:505.15pt;z-index:-16774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439.55pt;margin-top:505.15pt;z-index:-167743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451.85pt;margin-top:505.15pt;z-index:-167743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457.6pt;margin-top:505.15pt;z-index:-167743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15.5pt;margin-top:505.15pt;z-index:-167743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21.25pt;margin-top:505.15pt;z-index:-167743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33.55pt;margin-top:505.15pt;z-index:-1677430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541.5pt;margin-top:505.15pt;z-index:-16774296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597.2pt;margin-top:505.15pt;z-index:-16774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2.8pt;margin-top:528.3pt;z-index:-1677428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357.1pt;margin-top:528.3pt;z-index:-1677428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370.1pt;margin-top:528.3pt;z-index:-1677428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376.6pt;margin-top:528.3pt;z-index:-1677427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433.75pt;margin-top:528.3pt;z-index:-167742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439.55pt;margin-top:528.3pt;z-index:-167742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451.85pt;margin-top:528.3pt;z-index:-167742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57.6pt;margin-top:528.3pt;z-index:-1677426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15.5pt;margin-top:528.3pt;z-index:-167742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521.25pt;margin-top:528.3pt;z-index:-167742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533.55pt;margin-top:528.3pt;z-index:-1677424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541.5pt;margin-top:528.3pt;z-index:-16774244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597.2pt;margin-top:528.3pt;z-index:-16774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12.8pt;margin-top:551.45pt;z-index:-1677423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357.1pt;margin-top:551.45pt;z-index:-1677423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370.1pt;margin-top:551.45pt;z-index:-1677422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376.6pt;margin-top:551.45pt;z-index:-1677422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433.75pt;margin-top:551.45pt;z-index:-167742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439.55pt;margin-top:551.45pt;z-index:-167742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451.85pt;margin-top:551.45pt;z-index:-167742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57.6pt;margin-top:551.45pt;z-index:-1677420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15.5pt;margin-top:551.45pt;z-index:-167742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21.25pt;margin-top:551.45pt;z-index:-167742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33.55pt;margin-top:551.45pt;z-index:-1677419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41.5pt;margin-top:551.45pt;z-index:-16774192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597.2pt;margin-top:551.45pt;z-index:-16774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370.1pt;margin-top:240.4pt;z-index:-1677418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376.6pt;margin-top:240.4pt;z-index:-1677418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451.85pt;margin-top:240.4pt;z-index:-167741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457.6pt;margin-top:240.4pt;z-index:-1677417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33.55pt;margin-top:240.4pt;z-index:-16774168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41.5pt;margin-top:240.4pt;z-index:-16774164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370.1pt;margin-top:299.7pt;z-index:-1677416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76.6pt;margin-top:299.7pt;z-index:-1677415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451.85pt;margin-top:299.7pt;z-index:-167741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457.6pt;margin-top:299.7pt;z-index:-1677414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33.55pt;margin-top:299.7pt;z-index:-16774144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41.5pt;margin-top:299.7pt;z-index:-16774140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370.1pt;margin-top:324.3pt;z-index:-16774136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376.6pt;margin-top:324.3pt;z-index:-1677413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451.85pt;margin-top:324.3pt;z-index:-167741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457.6pt;margin-top:324.3pt;z-index:-1677412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533.55pt;margin-top:324.3pt;z-index:-16774120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41.5pt;margin-top:324.3pt;z-index:-16774116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70.1pt;margin-top:337.35pt;z-index:-1677411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376.6pt;margin-top:337.35pt;z-index:-1677410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451.85pt;margin-top:337.35pt;z-index:-167741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457.6pt;margin-top:337.35pt;z-index:-1677410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33.55pt;margin-top:337.35pt;z-index:-1677409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41.5pt;margin-top:337.35pt;z-index:-16774092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370.1pt;margin-top:489.25pt;z-index:-1677408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376.6pt;margin-top:489.25pt;z-index:-1677408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51.85pt;margin-top:489.25pt;z-index:-167740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457.6pt;margin-top:489.25pt;z-index:-1677407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533.55pt;margin-top:489.25pt;z-index:-16774072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41.5pt;margin-top:489.25pt;z-index:-16774068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70.1pt;margin-top:502.25pt;z-index:-1677406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370.1pt;margin-top:503.7pt;z-index:-1677406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376.6pt;margin-top:502.25pt;z-index:-1677405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376.6pt;margin-top:503.7pt;z-index:-1677405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51.85pt;margin-top:502.25pt;z-index:-167740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51.85pt;margin-top:503.7pt;z-index:-167740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457.6pt;margin-top:502.25pt;z-index:-167740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457.6pt;margin-top:503.7pt;z-index:-1677403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33.55pt;margin-top:502.25pt;z-index:-16774032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33.55pt;margin-top:503.7pt;z-index:-16774028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41.5pt;margin-top:502.25pt;z-index:-16774024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41.5pt;margin-top:503.7pt;z-index:-16774020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33.55pt;margin-top:64.65pt;z-index:-16774016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533.55pt;margin-top:81.3pt;z-index:-16774012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521.25pt;margin-top:64.65pt;z-index:-16774008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515.5pt;margin-top:64.65pt;z-index:-167740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451.85pt;margin-top:64.65pt;z-index:-16774000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451.85pt;margin-top:81.3pt;z-index:-16773996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439.55pt;margin-top:64.65pt;z-index:-16773992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433.75pt;margin-top:64.65pt;z-index:-167739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370.1pt;margin-top:81.3pt;z-index:-16773984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70.1pt;margin-top:64.65pt;z-index:-16773980;width:229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12.8pt;margin-top:570.25pt;z-index:-16773976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</w:p>
    <w:p>
      <w:pPr>
        <w:pStyle w:val="Normal"/>
        <w:framePr w:w="13032" w:hAnchor="page" w:vAnchor="page" w:x="739" w:y="12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separated from cost of revenue and selling, general and administrative expenses and presented in a separate line for comparative purposes.</w:t>
      </w:r>
    </w:p>
    <w:p>
      <w:pPr>
        <w:pStyle w:val="Normal"/>
        <w:framePr w:w="13232" w:hAnchor="page" w:vAnchor="page" w:x="739" w:y="12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 all personnel expenses as a single item in a Personnel expenses line. Personnel expenses for the year ended December 31, 2018 were</w:t>
      </w:r>
    </w:p>
    <w:p>
      <w:pPr>
        <w:pStyle w:val="Normal"/>
        <w:framePr w:w="13579" w:hAnchor="page" w:vAnchor="page" w:x="739" w:y="121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associated with all other activities were disclosed within selling, general, and administrative expenses. Starting from full year 2019 reporting we</w:t>
      </w:r>
    </w:p>
    <w:p>
      <w:pPr>
        <w:pStyle w:val="Normal"/>
        <w:framePr w:w="498" w:hAnchor="page" w:vAnchor="page" w:x="276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107" w:hAnchor="page" w:vAnchor="page" w:x="739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Historically, personnel expenses directly associated with revenue recognized were disclosed within cost of revenue and personnel expenses</w:t>
      </w:r>
    </w:p>
    <w:p>
      <w:pPr>
        <w:pStyle w:val="Normal"/>
        <w:framePr w:w="5580" w:hAnchor="page" w:vAnchor="page" w:x="739" w:y="117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December 31, 2019.</w:t>
      </w:r>
    </w:p>
    <w:p>
      <w:pPr>
        <w:pStyle w:val="Normal"/>
        <w:framePr w:w="498" w:hAnchor="page" w:vAnchor="page" w:x="276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14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61.9057 to U.S. $1.00, which was the official exchange rate quoted by the Central</w:t>
      </w:r>
    </w:p>
    <w:p>
      <w:pPr>
        <w:pStyle w:val="Normal"/>
        <w:framePr w:w="6287" w:hAnchor="page" w:vAnchor="page" w:x="276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 profit attributable to ordinary equity holders of the parent</w:t>
      </w:r>
    </w:p>
    <w:p>
      <w:pPr>
        <w:pStyle w:val="Normal"/>
        <w:framePr w:w="344" w:hAnchor="page" w:vAnchor="page" w:x="7162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58.06 </w:t>
      </w:r>
    </w:p>
    <w:p>
      <w:pPr>
        <w:pStyle w:val="Normal"/>
        <w:framePr w:w="806" w:hAnchor="page" w:vAnchor="page" w:x="9896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77.60 </w:t>
      </w:r>
    </w:p>
    <w:p>
      <w:pPr>
        <w:pStyle w:val="Normal"/>
        <w:framePr w:w="691" w:hAnchor="page" w:vAnchor="page" w:x="11627" w:y="110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1.25 </w:t>
      </w:r>
    </w:p>
    <w:p>
      <w:pPr>
        <w:pStyle w:val="Normal"/>
        <w:framePr w:w="6107" w:hAnchor="page" w:vAnchor="page" w:x="276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 profit attributable to ordinary equity holders of the parent</w:t>
      </w:r>
    </w:p>
    <w:p>
      <w:pPr>
        <w:pStyle w:val="Normal"/>
        <w:framePr w:w="344" w:hAnchor="page" w:vAnchor="page" w:x="7162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58.56 </w:t>
      </w:r>
    </w:p>
    <w:p>
      <w:pPr>
        <w:pStyle w:val="Normal"/>
        <w:framePr w:w="806" w:hAnchor="page" w:vAnchor="page" w:x="9896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78.20 </w:t>
      </w:r>
    </w:p>
    <w:p>
      <w:pPr>
        <w:pStyle w:val="Normal"/>
        <w:framePr w:w="691" w:hAnchor="page" w:vAnchor="page" w:x="11627" w:y="10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1.26 </w:t>
      </w:r>
    </w:p>
    <w:p>
      <w:pPr>
        <w:pStyle w:val="Normal"/>
        <w:framePr w:w="2014" w:hAnchor="page" w:vAnchor="page" w:x="276" w:y="10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Earnings per share:</w:t>
      </w:r>
    </w:p>
    <w:p>
      <w:pPr>
        <w:pStyle w:val="Normal"/>
        <w:framePr w:w="344" w:hAnchor="page" w:vAnchor="page" w:x="7162" w:y="10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276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7162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502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52 </w:t>
      </w:r>
    </w:p>
    <w:p>
      <w:pPr>
        <w:pStyle w:val="Normal"/>
        <w:framePr w:w="517" w:hAnchor="page" w:vAnchor="page" w:x="10137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 </w:t>
      </w:r>
    </w:p>
    <w:p>
      <w:pPr>
        <w:pStyle w:val="Normal"/>
        <w:framePr w:w="401" w:hAnchor="page" w:vAnchor="page" w:x="11868" w:y="10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2811" w:hAnchor="page" w:vAnchor="page" w:x="276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21" w:hAnchor="page" w:vAnchor="page" w:x="7162" w:y="101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4,099</w:t>
      </w:r>
    </w:p>
    <w:p>
      <w:pPr>
        <w:pStyle w:val="Normal"/>
        <w:framePr w:w="749" w:hAnchor="page" w:vAnchor="page" w:x="9896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4,623</w:t>
      </w:r>
    </w:p>
    <w:p>
      <w:pPr>
        <w:pStyle w:val="Normal"/>
        <w:framePr w:w="459" w:hAnchor="page" w:vAnchor="page" w:x="11771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75</w:t>
      </w:r>
    </w:p>
    <w:p>
      <w:pPr>
        <w:pStyle w:val="Normal"/>
        <w:framePr w:w="5581" w:hAnchor="page" w:vAnchor="page" w:x="276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 net of tax attributable to:</w:t>
      </w:r>
    </w:p>
    <w:p>
      <w:pPr>
        <w:pStyle w:val="Normal"/>
        <w:framePr w:w="21" w:hAnchor="page" w:vAnchor="page" w:x="7162" w:y="982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4,151</w:t>
      </w:r>
    </w:p>
    <w:p>
      <w:pPr>
        <w:pStyle w:val="Normal"/>
        <w:framePr w:w="749" w:hAnchor="page" w:vAnchor="page" w:x="9896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4,673</w:t>
      </w:r>
    </w:p>
    <w:p>
      <w:pPr>
        <w:pStyle w:val="Normal"/>
        <w:framePr w:w="459" w:hAnchor="page" w:vAnchor="page" w:x="11771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75</w:t>
      </w:r>
    </w:p>
    <w:p>
      <w:pPr>
        <w:pStyle w:val="Normal"/>
        <w:framePr w:w="4655" w:hAnchor="page" w:vAnchor="page" w:x="27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comprehensive income, net of tax</w:t>
      </w:r>
    </w:p>
    <w:p>
      <w:pPr>
        <w:pStyle w:val="Normal"/>
        <w:framePr w:w="344" w:hAnchor="page" w:vAnchor="page" w:x="7162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525 </w:t>
      </w:r>
    </w:p>
    <w:p>
      <w:pPr>
        <w:pStyle w:val="Normal"/>
        <w:framePr w:w="787" w:hAnchor="page" w:vAnchor="page" w:x="997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(214) </w:t>
      </w:r>
    </w:p>
    <w:p>
      <w:pPr>
        <w:pStyle w:val="Normal"/>
        <w:framePr w:w="555" w:hAnchor="page" w:vAnchor="page" w:x="11804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(3) </w:t>
      </w:r>
    </w:p>
    <w:p>
      <w:pPr>
        <w:pStyle w:val="Normal"/>
        <w:framePr w:w="4661" w:hAnchor="page" w:vAnchor="page" w:x="27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in allowance for expected credit losses</w:t>
      </w:r>
    </w:p>
    <w:p>
      <w:pPr>
        <w:pStyle w:val="Normal"/>
        <w:framePr w:w="344" w:hAnchor="page" w:vAnchor="page" w:x="7162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01" w:hAnchor="page" w:vAnchor="page" w:x="10233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</w:t>
      </w:r>
    </w:p>
    <w:p>
      <w:pPr>
        <w:pStyle w:val="Normal"/>
        <w:framePr w:w="401" w:hAnchor="page" w:vAnchor="page" w:x="11868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 </w:t>
      </w:r>
    </w:p>
    <w:p>
      <w:pPr>
        <w:pStyle w:val="Normal"/>
        <w:framePr w:w="4765" w:hAnchor="page" w:vAnchor="page" w:x="276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recycled to profit or loss upon disposal</w:t>
      </w:r>
    </w:p>
    <w:p>
      <w:pPr>
        <w:pStyle w:val="Normal"/>
        <w:framePr w:w="344" w:hAnchor="page" w:vAnchor="page" w:x="7162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073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(26)  </w:t>
      </w:r>
    </w:p>
    <w:p>
      <w:pPr>
        <w:pStyle w:val="Normal"/>
        <w:framePr w:w="555" w:hAnchor="page" w:vAnchor="page" w:x="11804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(0) </w:t>
      </w:r>
    </w:p>
    <w:p>
      <w:pPr>
        <w:pStyle w:val="Normal"/>
        <w:framePr w:w="2451" w:hAnchor="page" w:vAnchor="page" w:x="276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change in fair value</w:t>
      </w:r>
    </w:p>
    <w:p>
      <w:pPr>
        <w:pStyle w:val="Normal"/>
        <w:framePr w:w="344" w:hAnchor="page" w:vAnchor="page" w:x="7162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0137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 </w:t>
      </w:r>
    </w:p>
    <w:p>
      <w:pPr>
        <w:pStyle w:val="Normal"/>
        <w:framePr w:w="401" w:hAnchor="page" w:vAnchor="page" w:x="11868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6550" w:hAnchor="page" w:vAnchor="page" w:x="276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instruments at fair value through other comprehensive income:</w:t>
      </w:r>
    </w:p>
    <w:p>
      <w:pPr>
        <w:pStyle w:val="Normal"/>
        <w:framePr w:w="344" w:hAnchor="page" w:vAnchor="page" w:x="7162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43" w:hAnchor="page" w:vAnchor="page" w:x="276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differences on translation of foreign operations</w:t>
      </w:r>
    </w:p>
    <w:p>
      <w:pPr>
        <w:pStyle w:val="Normal"/>
        <w:framePr w:w="344" w:hAnchor="page" w:vAnchor="page" w:x="7162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525 </w:t>
      </w:r>
    </w:p>
    <w:p>
      <w:pPr>
        <w:pStyle w:val="Normal"/>
        <w:framePr w:w="849" w:hAnchor="page" w:vAnchor="page" w:x="9976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(229)  </w:t>
      </w:r>
    </w:p>
    <w:p>
      <w:pPr>
        <w:pStyle w:val="Normal"/>
        <w:framePr w:w="555" w:hAnchor="page" w:vAnchor="page" w:x="11804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</w:t>
      </w:r>
    </w:p>
    <w:p>
      <w:pPr>
        <w:pStyle w:val="Normal"/>
        <w:framePr w:w="2914" w:hAnchor="page" w:vAnchor="page" w:x="276" w:y="81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translation:</w:t>
      </w:r>
    </w:p>
    <w:p>
      <w:pPr>
        <w:pStyle w:val="Normal"/>
        <w:framePr w:w="344" w:hAnchor="page" w:vAnchor="page" w:x="7162" w:y="81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99" w:hAnchor="page" w:vAnchor="page" w:x="469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periods:</w:t>
      </w:r>
    </w:p>
    <w:p>
      <w:pPr>
        <w:pStyle w:val="Normal"/>
        <w:framePr w:w="344" w:hAnchor="page" w:vAnchor="page" w:x="7162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90" w:hAnchor="page" w:vAnchor="page" w:x="276" w:y="77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comprehensive income that may be reclassified to profit or loss in subsequent</w:t>
      </w:r>
    </w:p>
    <w:p>
      <w:pPr>
        <w:pStyle w:val="Normal"/>
        <w:framePr w:w="3115" w:hAnchor="page" w:vAnchor="page" w:x="276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comprehensive income</w:t>
      </w:r>
    </w:p>
    <w:p>
      <w:pPr>
        <w:pStyle w:val="Normal"/>
        <w:framePr w:w="344" w:hAnchor="page" w:vAnchor="page" w:x="7162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7162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502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 </w:t>
      </w:r>
    </w:p>
    <w:p>
      <w:pPr>
        <w:pStyle w:val="Normal"/>
        <w:framePr w:w="517" w:hAnchor="page" w:vAnchor="page" w:x="10137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 </w:t>
      </w:r>
    </w:p>
    <w:p>
      <w:pPr>
        <w:pStyle w:val="Normal"/>
        <w:framePr w:w="401" w:hAnchor="page" w:vAnchor="page" w:x="11868" w:y="7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2811" w:hAnchor="page" w:vAnchor="page" w:x="662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7162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3,584 </w:t>
      </w:r>
    </w:p>
    <w:p>
      <w:pPr>
        <w:pStyle w:val="Normal"/>
        <w:framePr w:w="806" w:hAnchor="page" w:vAnchor="page" w:x="9896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4,832 </w:t>
      </w:r>
    </w:p>
    <w:p>
      <w:pPr>
        <w:pStyle w:val="Normal"/>
        <w:framePr w:w="517" w:hAnchor="page" w:vAnchor="page" w:x="11771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78 </w:t>
      </w:r>
    </w:p>
    <w:p>
      <w:pPr>
        <w:pStyle w:val="Normal"/>
        <w:framePr w:w="1790" w:hAnchor="page" w:vAnchor="page" w:x="276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7162" w:y="67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4" w:hAnchor="page" w:vAnchor="page" w:x="276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7162" w:y="65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3,626</w:t>
      </w:r>
    </w:p>
    <w:p>
      <w:pPr>
        <w:pStyle w:val="Normal"/>
        <w:framePr w:w="749" w:hAnchor="page" w:vAnchor="page" w:x="9896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4,887</w:t>
      </w:r>
    </w:p>
    <w:p>
      <w:pPr>
        <w:pStyle w:val="Normal"/>
        <w:framePr w:w="459" w:hAnchor="page" w:vAnchor="page" w:x="11771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79</w:t>
      </w:r>
    </w:p>
    <w:p>
      <w:pPr>
        <w:pStyle w:val="Normal"/>
        <w:framePr w:w="2065" w:hAnchor="page" w:vAnchor="page" w:x="276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</w:t>
      </w:r>
    </w:p>
    <w:p>
      <w:pPr>
        <w:pStyle w:val="Normal"/>
        <w:framePr w:w="344" w:hAnchor="page" w:vAnchor="page" w:x="7162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(875)  </w:t>
      </w:r>
    </w:p>
    <w:p>
      <w:pPr>
        <w:pStyle w:val="Normal"/>
        <w:framePr w:w="1022" w:hAnchor="page" w:vAnchor="page" w:x="9832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(1,492)  </w:t>
      </w:r>
    </w:p>
    <w:p>
      <w:pPr>
        <w:pStyle w:val="Normal"/>
        <w:framePr w:w="671" w:hAnchor="page" w:vAnchor="page" w:x="11707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(24) </w:t>
      </w:r>
    </w:p>
    <w:p>
      <w:pPr>
        <w:pStyle w:val="Normal"/>
        <w:framePr w:w="1851" w:hAnchor="page" w:vAnchor="page" w:x="276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</w:t>
      </w:r>
    </w:p>
    <w:p>
      <w:pPr>
        <w:pStyle w:val="Normal"/>
        <w:framePr w:w="21" w:hAnchor="page" w:vAnchor="page" w:x="7162" w:y="60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4,501</w:t>
      </w:r>
    </w:p>
    <w:p>
      <w:pPr>
        <w:pStyle w:val="Normal"/>
        <w:framePr w:w="749" w:hAnchor="page" w:vAnchor="page" w:x="9896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6,379</w:t>
      </w:r>
    </w:p>
    <w:p>
      <w:pPr>
        <w:pStyle w:val="Normal"/>
        <w:framePr w:w="575" w:hAnchor="page" w:vAnchor="page" w:x="11675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103</w:t>
      </w:r>
    </w:p>
    <w:p>
      <w:pPr>
        <w:pStyle w:val="Normal"/>
        <w:framePr w:w="3344" w:hAnchor="page" w:vAnchor="page" w:x="276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7162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502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 </w:t>
      </w:r>
    </w:p>
    <w:p>
      <w:pPr>
        <w:pStyle w:val="Normal"/>
        <w:framePr w:w="733" w:hAnchor="page" w:vAnchor="page" w:x="10073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(56)  </w:t>
      </w:r>
    </w:p>
    <w:p>
      <w:pPr>
        <w:pStyle w:val="Normal"/>
        <w:framePr w:w="555" w:hAnchor="page" w:vAnchor="page" w:x="11804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2297" w:hAnchor="page" w:vAnchor="page" w:x="276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7162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(1,049)  </w:t>
      </w:r>
    </w:p>
    <w:p>
      <w:pPr>
        <w:pStyle w:val="Normal"/>
        <w:framePr w:w="1022" w:hAnchor="page" w:vAnchor="page" w:x="9832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(1,077)  </w:t>
      </w:r>
    </w:p>
    <w:p>
      <w:pPr>
        <w:pStyle w:val="Normal"/>
        <w:framePr w:w="671" w:hAnchor="page" w:vAnchor="page" w:x="11707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(17) </w:t>
      </w:r>
    </w:p>
    <w:p>
      <w:pPr>
        <w:pStyle w:val="Normal"/>
        <w:framePr w:w="2335" w:hAnchor="page" w:vAnchor="page" w:x="276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7162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8" w:hAnchor="page" w:vAnchor="page" w:x="8268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1,311 </w:t>
      </w:r>
    </w:p>
    <w:p>
      <w:pPr>
        <w:pStyle w:val="Normal"/>
        <w:framePr w:w="633" w:hAnchor="page" w:vAnchor="page" w:x="10041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905 </w:t>
      </w:r>
    </w:p>
    <w:p>
      <w:pPr>
        <w:pStyle w:val="Normal"/>
        <w:framePr w:w="517" w:hAnchor="page" w:vAnchor="page" w:x="11771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</w:t>
      </w:r>
    </w:p>
    <w:p>
      <w:pPr>
        <w:pStyle w:val="Normal"/>
        <w:framePr w:w="3177" w:hAnchor="page" w:vAnchor="page" w:x="276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7162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(181)  </w:t>
      </w:r>
    </w:p>
    <w:p>
      <w:pPr>
        <w:pStyle w:val="Normal"/>
        <w:framePr w:w="733" w:hAnchor="page" w:vAnchor="page" w:x="10073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(91)  </w:t>
      </w:r>
    </w:p>
    <w:p>
      <w:pPr>
        <w:pStyle w:val="Normal"/>
        <w:framePr w:w="555" w:hAnchor="page" w:vAnchor="page" w:x="11804" w:y="5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5246" w:hAnchor="page" w:vAnchor="page" w:x="276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gain/(loss) of an associate and a joint venture</w:t>
      </w:r>
    </w:p>
    <w:p>
      <w:pPr>
        <w:pStyle w:val="Normal"/>
        <w:framePr w:w="21" w:hAnchor="page" w:vAnchor="page" w:x="7162" w:y="484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8438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(46)</w:t>
      </w:r>
    </w:p>
    <w:p>
      <w:pPr>
        <w:pStyle w:val="Normal"/>
        <w:framePr w:w="575" w:hAnchor="page" w:vAnchor="page" w:x="10041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258</w:t>
      </w:r>
    </w:p>
    <w:p>
      <w:pPr>
        <w:pStyle w:val="Normal"/>
        <w:framePr w:w="344" w:hAnchor="page" w:vAnchor="page" w:x="11868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</w:t>
      </w:r>
    </w:p>
    <w:p>
      <w:pPr>
        <w:pStyle w:val="Normal"/>
        <w:framePr w:w="2443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from operations</w:t>
      </w:r>
    </w:p>
    <w:p>
      <w:pPr>
        <w:pStyle w:val="Normal"/>
        <w:framePr w:w="344" w:hAnchor="page" w:vAnchor="page" w:x="7162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4,449 </w:t>
      </w:r>
    </w:p>
    <w:p>
      <w:pPr>
        <w:pStyle w:val="Normal"/>
        <w:framePr w:w="806" w:hAnchor="page" w:vAnchor="page" w:x="989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6,440 </w:t>
      </w:r>
    </w:p>
    <w:p>
      <w:pPr>
        <w:pStyle w:val="Normal"/>
        <w:framePr w:w="633" w:hAnchor="page" w:vAnchor="page" w:x="11675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104 </w:t>
      </w:r>
    </w:p>
    <w:p>
      <w:pPr>
        <w:pStyle w:val="Normal"/>
        <w:framePr w:w="3293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162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438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(23)  </w:t>
      </w:r>
    </w:p>
    <w:p>
      <w:pPr>
        <w:pStyle w:val="Normal"/>
        <w:framePr w:w="849" w:hAnchor="page" w:vAnchor="page" w:x="99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(792)  </w:t>
      </w:r>
    </w:p>
    <w:p>
      <w:pPr>
        <w:pStyle w:val="Normal"/>
        <w:framePr w:w="671" w:hAnchor="page" w:vAnchor="page" w:x="11707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(13) </w:t>
      </w:r>
    </w:p>
    <w:p>
      <w:pPr>
        <w:pStyle w:val="Normal"/>
        <w:framePr w:w="2027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7162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(474)  </w:t>
      </w:r>
    </w:p>
    <w:p>
      <w:pPr>
        <w:pStyle w:val="Normal"/>
        <w:framePr w:w="849" w:hAnchor="page" w:vAnchor="page" w:x="99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(642)  </w:t>
      </w:r>
    </w:p>
    <w:p>
      <w:pPr>
        <w:pStyle w:val="Normal"/>
        <w:framePr w:w="671" w:hAnchor="page" w:vAnchor="page" w:x="11707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(10) </w:t>
      </w:r>
    </w:p>
    <w:p>
      <w:pPr>
        <w:pStyle w:val="Normal"/>
        <w:framePr w:w="3042" w:hAnchor="page" w:vAnchor="page" w:x="276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162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(864)  </w:t>
      </w:r>
    </w:p>
    <w:p>
      <w:pPr>
        <w:pStyle w:val="Normal"/>
        <w:framePr w:w="1022" w:hAnchor="page" w:vAnchor="page" w:x="9832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(1,324)  </w:t>
      </w:r>
    </w:p>
    <w:p>
      <w:pPr>
        <w:pStyle w:val="Normal"/>
        <w:framePr w:w="671" w:hAnchor="page" w:vAnchor="page" w:x="11707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(21) </w:t>
      </w:r>
    </w:p>
    <w:p>
      <w:pPr>
        <w:pStyle w:val="Normal"/>
        <w:framePr w:w="2129" w:hAnchor="page" w:vAnchor="page" w:x="276" w:y="36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Personal expenses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7162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(7,748)  </w:t>
      </w:r>
    </w:p>
    <w:p>
      <w:pPr>
        <w:pStyle w:val="Normal"/>
        <w:framePr w:w="1022" w:hAnchor="page" w:vAnchor="page" w:x="9832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(7,765)  </w:t>
      </w:r>
    </w:p>
    <w:p>
      <w:pPr>
        <w:pStyle w:val="Normal"/>
        <w:framePr w:w="787" w:hAnchor="page" w:vAnchor="page" w:x="11611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(125) </w:t>
      </w:r>
    </w:p>
    <w:p>
      <w:pPr>
        <w:pStyle w:val="Normal"/>
        <w:framePr w:w="4346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7162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(6,099)  </w:t>
      </w:r>
    </w:p>
    <w:p>
      <w:pPr>
        <w:pStyle w:val="Normal"/>
        <w:framePr w:w="1022" w:hAnchor="page" w:vAnchor="page" w:x="9832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(6,213)  </w:t>
      </w:r>
    </w:p>
    <w:p>
      <w:pPr>
        <w:pStyle w:val="Normal"/>
        <w:framePr w:w="787" w:hAnchor="page" w:vAnchor="page" w:x="11611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(100) </w:t>
      </w:r>
    </w:p>
    <w:p>
      <w:pPr>
        <w:pStyle w:val="Normal"/>
        <w:framePr w:w="5849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depreciation and amortization)</w:t>
      </w:r>
    </w:p>
    <w:p>
      <w:pPr>
        <w:pStyle w:val="Normal"/>
        <w:framePr w:w="344" w:hAnchor="page" w:vAnchor="page" w:x="7162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38" w:hAnchor="page" w:vAnchor="page" w:x="8101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(10,953)  </w:t>
      </w:r>
    </w:p>
    <w:p>
      <w:pPr>
        <w:pStyle w:val="Normal"/>
        <w:framePr w:w="1138" w:hAnchor="page" w:vAnchor="page" w:x="9735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(16,160)  </w:t>
      </w:r>
    </w:p>
    <w:p>
      <w:pPr>
        <w:pStyle w:val="Normal"/>
        <w:framePr w:w="787" w:hAnchor="page" w:vAnchor="page" w:x="11611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(261) </w:t>
      </w:r>
    </w:p>
    <w:p>
      <w:pPr>
        <w:pStyle w:val="Normal"/>
        <w:framePr w:w="3204" w:hAnchor="page" w:vAnchor="page" w:x="276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344" w:hAnchor="page" w:vAnchor="page" w:x="7162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76" w:hAnchor="page" w:vAnchor="page" w:x="8101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(26,161) </w:t>
      </w:r>
    </w:p>
    <w:p>
      <w:pPr>
        <w:pStyle w:val="Normal"/>
        <w:framePr w:w="1076" w:hAnchor="page" w:vAnchor="page" w:x="9735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(32,896) </w:t>
      </w:r>
    </w:p>
    <w:p>
      <w:pPr>
        <w:pStyle w:val="Normal"/>
        <w:framePr w:w="787" w:hAnchor="page" w:vAnchor="page" w:x="11611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(531) </w:t>
      </w:r>
    </w:p>
    <w:p>
      <w:pPr>
        <w:pStyle w:val="Normal"/>
        <w:framePr w:w="1545" w:hAnchor="page" w:vAnchor="page" w:x="27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7162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3,643 </w:t>
      </w:r>
    </w:p>
    <w:p>
      <w:pPr>
        <w:pStyle w:val="Normal"/>
        <w:framePr w:w="806" w:hAnchor="page" w:vAnchor="page" w:x="989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3,148 </w:t>
      </w:r>
    </w:p>
    <w:p>
      <w:pPr>
        <w:pStyle w:val="Normal"/>
        <w:framePr w:w="517" w:hAnchor="page" w:vAnchor="page" w:x="11771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 </w:t>
      </w:r>
    </w:p>
    <w:p>
      <w:pPr>
        <w:pStyle w:val="Normal"/>
        <w:framePr w:w="5175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from inactive accounts and unclaimed payments</w:t>
      </w:r>
    </w:p>
    <w:p>
      <w:pPr>
        <w:pStyle w:val="Normal"/>
        <w:framePr w:w="344" w:hAnchor="page" w:vAnchor="page" w:x="7162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1,419 </w:t>
      </w:r>
    </w:p>
    <w:p>
      <w:pPr>
        <w:pStyle w:val="Normal"/>
        <w:framePr w:w="806" w:hAnchor="page" w:vAnchor="page" w:x="989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1,806 </w:t>
      </w:r>
    </w:p>
    <w:p>
      <w:pPr>
        <w:pStyle w:val="Normal"/>
        <w:framePr w:w="517" w:hAnchor="page" w:vAnchor="page" w:x="11771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 </w:t>
      </w:r>
    </w:p>
    <w:p>
      <w:pPr>
        <w:pStyle w:val="Normal"/>
        <w:framePr w:w="5613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7162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1,854 </w:t>
      </w:r>
    </w:p>
    <w:p>
      <w:pPr>
        <w:pStyle w:val="Normal"/>
        <w:framePr w:w="806" w:hAnchor="page" w:vAnchor="page" w:x="989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3,646 </w:t>
      </w:r>
    </w:p>
    <w:p>
      <w:pPr>
        <w:pStyle w:val="Normal"/>
        <w:framePr w:w="517" w:hAnchor="page" w:vAnchor="page" w:x="11771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59 </w:t>
      </w:r>
    </w:p>
    <w:p>
      <w:pPr>
        <w:pStyle w:val="Normal"/>
        <w:framePr w:w="2515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344" w:hAnchor="page" w:vAnchor="page" w:x="7162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165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23,694 </w:t>
      </w:r>
    </w:p>
    <w:p>
      <w:pPr>
        <w:pStyle w:val="Normal"/>
        <w:framePr w:w="922" w:hAnchor="page" w:vAnchor="page" w:x="9800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30,736 </w:t>
      </w:r>
    </w:p>
    <w:p>
      <w:pPr>
        <w:pStyle w:val="Normal"/>
        <w:framePr w:w="633" w:hAnchor="page" w:vAnchor="page" w:x="11675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496 </w:t>
      </w:r>
    </w:p>
    <w:p>
      <w:pPr>
        <w:pStyle w:val="Normal"/>
        <w:framePr w:w="1153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7162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165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30,610 </w:t>
      </w:r>
    </w:p>
    <w:p>
      <w:pPr>
        <w:pStyle w:val="Normal"/>
        <w:framePr w:w="922" w:hAnchor="page" w:vAnchor="page" w:x="9800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39,336 </w:t>
      </w:r>
    </w:p>
    <w:p>
      <w:pPr>
        <w:pStyle w:val="Normal"/>
        <w:framePr w:w="633" w:hAnchor="page" w:vAnchor="page" w:x="11675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635 </w:t>
      </w:r>
    </w:p>
    <w:p>
      <w:pPr>
        <w:pStyle w:val="Normal"/>
        <w:framePr w:w="273" w:hAnchor="page" w:vAnchor="page" w:x="7162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896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530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097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162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16" w:hAnchor="page" w:vAnchor="page" w:x="7585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2018 (audited)</w:t>
      </w:r>
    </w:p>
    <w:p>
      <w:pPr>
        <w:pStyle w:val="Normal"/>
        <w:framePr w:w="1316" w:hAnchor="page" w:vAnchor="page" w:x="9220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 (audited)</w:t>
      </w:r>
    </w:p>
    <w:p>
      <w:pPr>
        <w:pStyle w:val="Normal"/>
        <w:framePr w:w="1521" w:hAnchor="page" w:vAnchor="page" w:x="10769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 (unaudited)</w:t>
      </w:r>
    </w:p>
    <w:p>
      <w:pPr>
        <w:pStyle w:val="Normal"/>
        <w:framePr w:w="1707" w:hAnchor="page" w:vAnchor="page" w:x="7422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905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10691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273" w:hAnchor="page" w:vAnchor="page" w:x="7162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24" w:hAnchor="page" w:vAnchor="page" w:x="9175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Full Year ended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224" w:hAnchor="page" w:vAnchor="page" w:x="409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Comprehensive Income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7pt;margin-top:1pt;z-index:-167739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12.8pt;margin-top:1pt;z-index:-167739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12.8pt;margin-top:2.45pt;z-index:-167739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597.95pt;margin-top:1pt;z-index:-167739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12.8pt;margin-top:1pt;z-index:-167739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12.8pt;margin-top:89.95pt;z-index:-1677395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357.1pt;margin-top:89.95pt;z-index:-1677394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370.1pt;margin-top:89.95pt;z-index:-167739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375.15pt;margin-top:89.95pt;z-index:-16773940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433.75pt;margin-top:89.95pt;z-index:-167739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439.55pt;margin-top:89.95pt;z-index:-167739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451.85pt;margin-top:89.95pt;z-index:-167739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456.9pt;margin-top:89.95pt;z-index:-16773924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515.5pt;margin-top:89.95pt;z-index:-16773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521.25pt;margin-top:89.95pt;z-index:-167739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533.55pt;margin-top:89.95pt;z-index:-1677391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41.5pt;margin-top:89.95pt;z-index:-16773908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97.2pt;margin-top:89.95pt;z-index:-16773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12.8pt;margin-top:113.1pt;z-index:-1677390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357.1pt;margin-top:113.1pt;z-index:-1677389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370.1pt;margin-top:113.1pt;z-index:-167738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375.15pt;margin-top:113.1pt;z-index:-16773888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433.75pt;margin-top:113.1pt;z-index:-167738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439.55pt;margin-top:113.1pt;z-index:-167738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51.85pt;margin-top:113.1pt;z-index:-167738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456.9pt;margin-top:113.1pt;z-index:-16773872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15.5pt;margin-top:113.1pt;z-index:-16773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521.25pt;margin-top:113.1pt;z-index:-167738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33.55pt;margin-top:113.1pt;z-index:-1677386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41.5pt;margin-top:113.1pt;z-index:-16773856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97.2pt;margin-top:113.1pt;z-index:-16773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12.8pt;margin-top:136.25pt;z-index:-1677384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357.1pt;margin-top:136.25pt;z-index:-1677384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370.1pt;margin-top:136.25pt;z-index:-167738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375.15pt;margin-top:136.25pt;z-index:-16773836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433.75pt;margin-top:136.25pt;z-index:-167738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439.55pt;margin-top:136.25pt;z-index:-167738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451.85pt;margin-top:136.25pt;z-index:-167738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456.9pt;margin-top:136.25pt;z-index:-16773820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15.5pt;margin-top:136.25pt;z-index:-16773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21.25pt;margin-top:136.25pt;z-index:-167738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33.55pt;margin-top:136.25pt;z-index:-1677380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541.5pt;margin-top:136.25pt;z-index:-16773804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97.2pt;margin-top:136.25pt;z-index:-16773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12.8pt;margin-top:159.4pt;z-index:-1677379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357.1pt;margin-top:159.4pt;z-index:-1677379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370.1pt;margin-top:159.4pt;z-index:-167737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375.15pt;margin-top:159.4pt;z-index:-16773784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33.75pt;margin-top:159.4pt;z-index:-16773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439.55pt;margin-top:159.4pt;z-index:-167737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451.85pt;margin-top:159.4pt;z-index:-167737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456.9pt;margin-top:159.4pt;z-index:-16773768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515.5pt;margin-top:159.4pt;z-index:-16773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21.25pt;margin-top:159.4pt;z-index:-167737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533.55pt;margin-top:159.4pt;z-index:-1677375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41.5pt;margin-top:159.4pt;z-index:-16773752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597.2pt;margin-top:159.4pt;z-index:-16773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12.8pt;margin-top:182.55pt;z-index:-1677374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357.1pt;margin-top:182.55pt;z-index:-1677374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370.1pt;margin-top:182.55pt;z-index:-167737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375.15pt;margin-top:182.55pt;z-index:-16773732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433.75pt;margin-top:182.55pt;z-index:-16773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439.55pt;margin-top:182.55pt;z-index:-167737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451.85pt;margin-top:182.55pt;z-index:-167737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456.9pt;margin-top:182.55pt;z-index:-16773716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515.5pt;margin-top:182.55pt;z-index:-16773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521.25pt;margin-top:182.55pt;z-index:-167737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33.55pt;margin-top:182.55pt;z-index:-1677370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41.5pt;margin-top:182.55pt;z-index:-16773700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97.2pt;margin-top:182.55pt;z-index:-16773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12.8pt;margin-top:205.7pt;z-index:-1677369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357.1pt;margin-top:205.7pt;z-index:-1677368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370.1pt;margin-top:205.7pt;z-index:-167736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375.15pt;margin-top:205.7pt;z-index:-16773680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433.75pt;margin-top:205.7pt;z-index:-167736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39.55pt;margin-top:205.7pt;z-index:-167736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51.85pt;margin-top:205.7pt;z-index:-167736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56.9pt;margin-top:205.7pt;z-index:-16773664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515.5pt;margin-top:205.7pt;z-index:-16773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21.25pt;margin-top:205.7pt;z-index:-167736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33.55pt;margin-top:205.7pt;z-index:-1677365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41.5pt;margin-top:205.7pt;z-index:-16773648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597.2pt;margin-top:205.7pt;z-index:-16773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2.8pt;margin-top:228.85pt;z-index:-1677364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357.1pt;margin-top:228.85pt;z-index:-1677363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70.1pt;margin-top:228.85pt;z-index:-167736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375.15pt;margin-top:228.85pt;z-index:-16773628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433.75pt;margin-top:228.85pt;z-index:-167736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439.55pt;margin-top:228.85pt;z-index:-167736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451.85pt;margin-top:228.85pt;z-index:-167736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456.9pt;margin-top:228.85pt;z-index:-16773612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15.5pt;margin-top:228.85pt;z-index:-16773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21.25pt;margin-top:228.85pt;z-index:-167736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533.55pt;margin-top:228.85pt;z-index:-1677360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41.5pt;margin-top:228.85pt;z-index:-16773596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597.2pt;margin-top:228.85pt;z-index:-16773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12.8pt;margin-top:253.45pt;z-index:-1677358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357.1pt;margin-top:253.45pt;z-index:-1677358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370.1pt;margin-top:253.45pt;z-index:-167735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375.15pt;margin-top:253.45pt;z-index:-16773576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433.75pt;margin-top:253.45pt;z-index:-167735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439.55pt;margin-top:253.45pt;z-index:-167735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451.85pt;margin-top:253.45pt;z-index:-167735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456.9pt;margin-top:253.45pt;z-index:-16773560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15.5pt;margin-top:253.45pt;z-index:-167735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21.25pt;margin-top:253.45pt;z-index:-167735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33.55pt;margin-top:253.45pt;z-index:-1677354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41.5pt;margin-top:253.45pt;z-index:-16773544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97.2pt;margin-top:253.45pt;z-index:-167735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12.8pt;margin-top:276.6pt;z-index:-1677353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357.1pt;margin-top:276.6pt;z-index:-1677353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370.1pt;margin-top:276.6pt;z-index:-167735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375.15pt;margin-top:276.6pt;z-index:-16773524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433.75pt;margin-top:276.6pt;z-index:-167735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439.55pt;margin-top:276.6pt;z-index:-167735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451.85pt;margin-top:276.6pt;z-index:-1677351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456.9pt;margin-top:276.6pt;z-index:-16773508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15.5pt;margin-top:276.6pt;z-index:-167735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21.25pt;margin-top:276.6pt;z-index:-167735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33.55pt;margin-top:276.6pt;z-index:-1677349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541.5pt;margin-top:276.6pt;z-index:-16773492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597.2pt;margin-top:276.6pt;z-index:-167734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12.8pt;margin-top:301.15pt;z-index:-1677348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357.1pt;margin-top:301.15pt;z-index:-1677348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370.1pt;margin-top:301.15pt;z-index:-167734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375.15pt;margin-top:301.15pt;z-index:-16773472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433.75pt;margin-top:301.15pt;z-index:-167734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439.55pt;margin-top:301.15pt;z-index:-167734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451.85pt;margin-top:301.15pt;z-index:-167734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456.9pt;margin-top:301.15pt;z-index:-16773456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15.5pt;margin-top:301.15pt;z-index:-167734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21.25pt;margin-top:301.15pt;z-index:-167734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33.55pt;margin-top:301.15pt;z-index:-1677344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41.5pt;margin-top:301.15pt;z-index:-16773440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97.2pt;margin-top:301.15pt;z-index:-167734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12.8pt;margin-top:325.75pt;z-index:-1677343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357.1pt;margin-top:325.75pt;z-index:-1677342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370.1pt;margin-top:325.75pt;z-index:-167734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375.15pt;margin-top:325.75pt;z-index:-16773420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33.75pt;margin-top:325.75pt;z-index:-167734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39.55pt;margin-top:325.75pt;z-index:-167734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51.85pt;margin-top:325.75pt;z-index:-167734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56.9pt;margin-top:325.75pt;z-index:-16773404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15.5pt;margin-top:325.75pt;z-index:-167734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21.25pt;margin-top:325.75pt;z-index:-167733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33.55pt;margin-top:325.75pt;z-index:-1677339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41.5pt;margin-top:325.75pt;z-index:-16773388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97.2pt;margin-top:325.75pt;z-index:-167733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12.8pt;margin-top:350.35pt;z-index:-1677338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357.1pt;margin-top:350.35pt;z-index:-1677337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370.1pt;margin-top:350.35pt;z-index:-167733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375.15pt;margin-top:350.35pt;z-index:-16773368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33.75pt;margin-top:350.35pt;z-index:-167733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39.55pt;margin-top:350.35pt;z-index:-167733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51.85pt;margin-top:350.35pt;z-index:-167733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456.9pt;margin-top:350.35pt;z-index:-16773352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15.5pt;margin-top:350.35pt;z-index:-167733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21.25pt;margin-top:350.35pt;z-index:-167733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33.55pt;margin-top:350.35pt;z-index:-1677334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541.5pt;margin-top:350.35pt;z-index:-16773336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97.2pt;margin-top:350.35pt;z-index:-16773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12.8pt;margin-top:373.5pt;z-index:-1677332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357.1pt;margin-top:373.5pt;z-index:-1677332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370.1pt;margin-top:373.5pt;z-index:-167733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375.15pt;margin-top:373.5pt;z-index:-16773316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33.75pt;margin-top:373.5pt;z-index:-16773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439.55pt;margin-top:373.5pt;z-index:-167733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451.85pt;margin-top:373.5pt;z-index:-167733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456.9pt;margin-top:373.5pt;z-index:-16773300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15.5pt;margin-top:373.5pt;z-index:-16773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21.25pt;margin-top:373.5pt;z-index:-167732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533.55pt;margin-top:373.5pt;z-index:-1677328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541.5pt;margin-top:373.5pt;z-index:-16773284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597.2pt;margin-top:373.5pt;z-index:-167732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12.8pt;margin-top:408.2pt;z-index:-1677327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57.1pt;margin-top:408.2pt;z-index:-1677327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370.1pt;margin-top:408.2pt;z-index:-167732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75.15pt;margin-top:408.2pt;z-index:-16773264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33.75pt;margin-top:408.2pt;z-index:-16773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39.55pt;margin-top:408.2pt;z-index:-167732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51.85pt;margin-top:408.2pt;z-index:-167732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456.9pt;margin-top:408.2pt;z-index:-16773248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15.5pt;margin-top:408.2pt;z-index:-167732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21.25pt;margin-top:408.2pt;z-index:-167732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33.55pt;margin-top:408.2pt;z-index:-1677323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41.5pt;margin-top:408.2pt;z-index:-16773232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597.2pt;margin-top:408.2pt;z-index:-167732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12.8pt;margin-top:431.35pt;z-index:-1677322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357.1pt;margin-top:431.35pt;z-index:-1677322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370.1pt;margin-top:431.35pt;z-index:-167732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375.15pt;margin-top:431.35pt;z-index:-16773212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433.75pt;margin-top:431.35pt;z-index:-16773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439.55pt;margin-top:431.35pt;z-index:-167732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451.85pt;margin-top:431.35pt;z-index:-167732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456.9pt;margin-top:431.35pt;z-index:-16773196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15.5pt;margin-top:431.35pt;z-index:-16773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21.25pt;margin-top:431.35pt;z-index:-167731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33.55pt;margin-top:431.35pt;z-index:-1677318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41.5pt;margin-top:431.35pt;z-index:-16773180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97.2pt;margin-top:431.35pt;z-index:-167731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12.8pt;margin-top:454.5pt;z-index:-1677317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357.1pt;margin-top:454.5pt;z-index:-1677316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370.1pt;margin-top:454.5pt;z-index:-167731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375.15pt;margin-top:454.5pt;z-index:-16773160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433.75pt;margin-top:454.5pt;z-index:-16773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39.55pt;margin-top:454.5pt;z-index:-167731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51.85pt;margin-top:454.5pt;z-index:-167731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456.9pt;margin-top:454.5pt;z-index:-16773144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15.5pt;margin-top:454.5pt;z-index:-167731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21.25pt;margin-top:454.5pt;z-index:-167731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33.55pt;margin-top:454.5pt;z-index:-1677313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41.5pt;margin-top:454.5pt;z-index:-16773128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97.2pt;margin-top:454.5pt;z-index:-16773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12.8pt;margin-top:477.65pt;z-index:-1677312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357.1pt;margin-top:477.65pt;z-index:-1677311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70.1pt;margin-top:477.65pt;z-index:-1677311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75.15pt;margin-top:477.65pt;z-index:-16773108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433.75pt;margin-top:477.65pt;z-index:-16773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39.55pt;margin-top:477.65pt;z-index:-167731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451.85pt;margin-top:477.65pt;z-index:-167730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456.9pt;margin-top:477.65pt;z-index:-16773092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15.5pt;margin-top:477.65pt;z-index:-167730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21.25pt;margin-top:477.65pt;z-index:-167730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33.55pt;margin-top:477.65pt;z-index:-1677308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541.5pt;margin-top:477.65pt;z-index:-16773076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597.2pt;margin-top:477.65pt;z-index:-167730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12.8pt;margin-top:505.15pt;z-index:-1677306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357.1pt;margin-top:505.15pt;z-index:-1677306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370.1pt;margin-top:505.15pt;z-index:-167730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375.15pt;margin-top:505.15pt;z-index:-16773056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433.75pt;margin-top:505.15pt;z-index:-16773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439.55pt;margin-top:505.15pt;z-index:-167730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451.85pt;margin-top:505.15pt;z-index:-167730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456.9pt;margin-top:505.15pt;z-index:-16773040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515.5pt;margin-top:505.15pt;z-index:-167730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21.25pt;margin-top:505.15pt;z-index:-167730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33.55pt;margin-top:505.15pt;z-index:-1677302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41.5pt;margin-top:505.15pt;z-index:-16773024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597.2pt;margin-top:505.15pt;z-index:-167730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12.8pt;margin-top:528.3pt;z-index:-1677301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57.1pt;margin-top:528.3pt;z-index:-1677301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70.1pt;margin-top:528.3pt;z-index:-167730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375.15pt;margin-top:528.3pt;z-index:-16773004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433.75pt;margin-top:528.3pt;z-index:-16773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39.55pt;margin-top:528.3pt;z-index:-167729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451.85pt;margin-top:528.3pt;z-index:-167729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456.9pt;margin-top:528.3pt;z-index:-16772988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515.5pt;margin-top:528.3pt;z-index:-167729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21.25pt;margin-top:528.3pt;z-index:-167729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33.55pt;margin-top:528.3pt;z-index:-1677297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541.5pt;margin-top:528.3pt;z-index:-16772972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97.2pt;margin-top:528.3pt;z-index:-167729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12.8pt;margin-top:551.45pt;z-index:-1677296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57.1pt;margin-top:551.45pt;z-index:-1677296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70.1pt;margin-top:551.45pt;z-index:-167729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375.15pt;margin-top:551.45pt;z-index:-16772952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33.75pt;margin-top:551.45pt;z-index:-16772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439.55pt;margin-top:551.45pt;z-index:-167729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451.85pt;margin-top:551.45pt;z-index:-167729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456.9pt;margin-top:551.45pt;z-index:-16772936;width:60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15.5pt;margin-top:551.45pt;z-index:-16772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21.25pt;margin-top:551.45pt;z-index:-167729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33.55pt;margin-top:551.45pt;z-index:-1677292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41.5pt;margin-top:551.45pt;z-index:-16772920;width:57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97.2pt;margin-top:551.45pt;z-index:-167729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370.1pt;margin-top:240.4pt;z-index:-1677291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375.15pt;margin-top:240.4pt;z-index:-16772908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451.85pt;margin-top:240.4pt;z-index:-167729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456.9pt;margin-top:240.4pt;z-index:-16772900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33.55pt;margin-top:240.4pt;z-index:-1677289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41.5pt;margin-top:240.4pt;z-index:-16772892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370.1pt;margin-top:299.7pt;z-index:-1677288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375.15pt;margin-top:299.7pt;z-index:-16772884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451.85pt;margin-top:299.7pt;z-index:-1677288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456.9pt;margin-top:299.7pt;z-index:-16772876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33.55pt;margin-top:299.7pt;z-index:-16772872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41.5pt;margin-top:299.7pt;z-index:-16772868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370.1pt;margin-top:324.3pt;z-index:-167728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375.15pt;margin-top:324.3pt;z-index:-16772860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51.85pt;margin-top:324.3pt;z-index:-167728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56.9pt;margin-top:324.3pt;z-index:-16772852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33.55pt;margin-top:324.3pt;z-index:-16772848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541.5pt;margin-top:324.3pt;z-index:-16772844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370.1pt;margin-top:337.35pt;z-index:-1677284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375.15pt;margin-top:337.35pt;z-index:-16772836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451.85pt;margin-top:337.35pt;z-index:-167728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456.9pt;margin-top:337.35pt;z-index:-16772828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33.55pt;margin-top:337.35pt;z-index:-16772824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41.5pt;margin-top:337.35pt;z-index:-16772820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370.1pt;margin-top:489.25pt;z-index:-167728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375.15pt;margin-top:489.25pt;z-index:-16772812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451.85pt;margin-top:489.25pt;z-index:-167728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456.9pt;margin-top:489.25pt;z-index:-16772804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33.55pt;margin-top:489.25pt;z-index:-16772800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41.5pt;margin-top:489.25pt;z-index:-16772796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370.1pt;margin-top:502.25pt;z-index:-1677279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370.1pt;margin-top:503.7pt;z-index:-1677278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375.15pt;margin-top:502.25pt;z-index:-16772784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375.15pt;margin-top:503.7pt;z-index:-16772780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451.85pt;margin-top:502.25pt;z-index:-1677277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451.85pt;margin-top:503.7pt;z-index:-167727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456.9pt;margin-top:502.25pt;z-index:-16772768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456.9pt;margin-top:503.7pt;z-index:-16772764;width:60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33.55pt;margin-top:502.25pt;z-index:-16772760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33.55pt;margin-top:503.7pt;z-index:-1677275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41.5pt;margin-top:502.25pt;z-index:-16772752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41.5pt;margin-top:503.7pt;z-index:-16772748;width:57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33.55pt;margin-top:64.65pt;z-index:-16772744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33.55pt;margin-top:81.3pt;z-index:-16772740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21.25pt;margin-top:64.65pt;z-index:-16772736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15.5pt;margin-top:64.65pt;z-index:-167727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451.85pt;margin-top:64.65pt;z-index:-16772728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451.85pt;margin-top:81.3pt;z-index:-16772724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439.55pt;margin-top:64.65pt;z-index:-16772720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433.75pt;margin-top:64.65pt;z-index:-167727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370.1pt;margin-top:81.3pt;z-index:-16772712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370.1pt;margin-top:64.65pt;z-index:-16772708;width:229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12.8pt;margin-top:570.25pt;z-index:-1677270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</w:p>
    <w:p>
      <w:pPr>
        <w:pStyle w:val="Normal"/>
        <w:framePr w:w="5580" w:hAnchor="page" w:vAnchor="page" w:x="739" w:y="13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December 31, 2019.</w:t>
      </w:r>
    </w:p>
    <w:p>
      <w:pPr>
        <w:pStyle w:val="Normal"/>
        <w:framePr w:w="498" w:hAnchor="page" w:vAnchor="page" w:x="276" w:y="12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2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61.9057 to U.S. $1.00, which was the official exchange rate quoted by the Central</w:t>
      </w:r>
    </w:p>
    <w:p>
      <w:pPr>
        <w:pStyle w:val="Normal"/>
        <w:framePr w:w="21" w:hAnchor="page" w:vAnchor="page" w:x="7162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004" w:hAnchor="page" w:vAnchor="page" w:x="662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 at the end of the year</w:t>
      </w:r>
    </w:p>
    <w:p>
      <w:pPr>
        <w:pStyle w:val="Normal"/>
        <w:framePr w:w="21" w:hAnchor="page" w:vAnchor="page" w:x="7162" w:y="12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40,966</w:t>
      </w:r>
    </w:p>
    <w:p>
      <w:pPr>
        <w:pStyle w:val="Normal"/>
        <w:framePr w:w="864" w:hAnchor="page" w:vAnchor="page" w:x="9800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42,101</w:t>
      </w:r>
    </w:p>
    <w:p>
      <w:pPr>
        <w:pStyle w:val="Normal"/>
        <w:framePr w:w="575" w:hAnchor="page" w:vAnchor="page" w:x="11675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680</w:t>
      </w:r>
    </w:p>
    <w:p>
      <w:pPr>
        <w:pStyle w:val="Normal"/>
        <w:framePr w:w="5259" w:hAnchor="page" w:vAnchor="page" w:x="662" w:y="12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 at the beginning of the year</w:t>
      </w:r>
    </w:p>
    <w:p>
      <w:pPr>
        <w:pStyle w:val="Normal"/>
        <w:framePr w:w="21" w:hAnchor="page" w:vAnchor="page" w:x="7162" w:y="1210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12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18,435</w:t>
      </w:r>
    </w:p>
    <w:p>
      <w:pPr>
        <w:pStyle w:val="Normal"/>
        <w:framePr w:w="864" w:hAnchor="page" w:vAnchor="page" w:x="9800" w:y="12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40,966</w:t>
      </w:r>
    </w:p>
    <w:p>
      <w:pPr>
        <w:pStyle w:val="Normal"/>
        <w:framePr w:w="575" w:hAnchor="page" w:vAnchor="page" w:x="11675" w:y="12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662</w:t>
      </w:r>
    </w:p>
    <w:p>
      <w:pPr>
        <w:pStyle w:val="Normal"/>
        <w:framePr w:w="5348" w:hAnchor="page" w:vAnchor="page" w:x="276" w:y="11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increase/(decrease) in cash and cash equivalents</w:t>
      </w:r>
    </w:p>
    <w:p>
      <w:pPr>
        <w:pStyle w:val="Normal"/>
        <w:framePr w:w="344" w:hAnchor="page" w:vAnchor="page" w:x="7162" w:y="11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165" w:y="11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22,531 </w:t>
      </w:r>
    </w:p>
    <w:p>
      <w:pPr>
        <w:pStyle w:val="Normal"/>
        <w:framePr w:w="806" w:hAnchor="page" w:vAnchor="page" w:x="9896" w:y="11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1,135 </w:t>
      </w:r>
    </w:p>
    <w:p>
      <w:pPr>
        <w:pStyle w:val="Normal"/>
        <w:framePr w:w="517" w:hAnchor="page" w:vAnchor="page" w:x="11771" w:y="11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18 </w:t>
      </w:r>
    </w:p>
    <w:p>
      <w:pPr>
        <w:pStyle w:val="Normal"/>
        <w:framePr w:w="5909" w:hAnchor="page" w:vAnchor="page" w:x="662" w:y="11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exchange rate changes on cash and cash equivalents</w:t>
      </w:r>
    </w:p>
    <w:p>
      <w:pPr>
        <w:pStyle w:val="Normal"/>
        <w:framePr w:w="21" w:hAnchor="page" w:vAnchor="page" w:x="7162" w:y="116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11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1,240</w:t>
      </w:r>
    </w:p>
    <w:p>
      <w:pPr>
        <w:pStyle w:val="Normal"/>
        <w:framePr w:w="729" w:hAnchor="page" w:vAnchor="page" w:x="9976" w:y="11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(944)</w:t>
      </w:r>
    </w:p>
    <w:p>
      <w:pPr>
        <w:pStyle w:val="Normal"/>
        <w:framePr w:w="671" w:hAnchor="page" w:vAnchor="page" w:x="11707" w:y="11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</w:t>
      </w:r>
    </w:p>
    <w:p>
      <w:pPr>
        <w:pStyle w:val="Normal"/>
        <w:framePr w:w="3744" w:hAnchor="page" w:vAnchor="page" w:x="276" w:y="11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used in financing activities</w:t>
      </w:r>
    </w:p>
    <w:p>
      <w:pPr>
        <w:pStyle w:val="Normal"/>
        <w:framePr w:w="21" w:hAnchor="page" w:vAnchor="page" w:x="7162" w:y="113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8438" w:y="11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(29)</w:t>
      </w:r>
    </w:p>
    <w:p>
      <w:pPr>
        <w:pStyle w:val="Normal"/>
        <w:framePr w:w="903" w:hAnchor="page" w:vAnchor="page" w:x="9832" w:y="11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(2,277)</w:t>
      </w:r>
    </w:p>
    <w:p>
      <w:pPr>
        <w:pStyle w:val="Normal"/>
        <w:framePr w:w="671" w:hAnchor="page" w:vAnchor="page" w:x="11707" w:y="11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(37) </w:t>
      </w:r>
    </w:p>
    <w:p>
      <w:pPr>
        <w:pStyle w:val="Normal"/>
        <w:framePr w:w="4597" w:hAnchor="page" w:vAnchor="page" w:x="662" w:y="111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non-controlling shareholders</w:t>
      </w:r>
    </w:p>
    <w:p>
      <w:pPr>
        <w:pStyle w:val="Normal"/>
        <w:framePr w:w="344" w:hAnchor="page" w:vAnchor="page" w:x="7162" w:y="111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13" w:hAnchor="page" w:vAnchor="page" w:x="8438" w:y="111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(29)</w:t>
      </w:r>
    </w:p>
    <w:p>
      <w:pPr>
        <w:pStyle w:val="Normal"/>
        <w:framePr w:w="733" w:hAnchor="page" w:vAnchor="page" w:x="10073" w:y="111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(43)  </w:t>
      </w:r>
    </w:p>
    <w:p>
      <w:pPr>
        <w:pStyle w:val="Normal"/>
        <w:framePr w:w="555" w:hAnchor="page" w:vAnchor="page" w:x="11804" w:y="111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3839" w:hAnchor="page" w:vAnchor="page" w:x="662" w:y="10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owners of the Group</w:t>
      </w:r>
    </w:p>
    <w:p>
      <w:pPr>
        <w:pStyle w:val="Normal"/>
        <w:framePr w:w="344" w:hAnchor="page" w:vAnchor="page" w:x="7162" w:y="10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10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022" w:hAnchor="page" w:vAnchor="page" w:x="9832" w:y="10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(3,392)  </w:t>
      </w:r>
    </w:p>
    <w:p>
      <w:pPr>
        <w:pStyle w:val="Normal"/>
        <w:framePr w:w="671" w:hAnchor="page" w:vAnchor="page" w:x="11707" w:y="10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(55) </w:t>
      </w:r>
    </w:p>
    <w:p>
      <w:pPr>
        <w:pStyle w:val="Normal"/>
        <w:framePr w:w="4584" w:hAnchor="page" w:vAnchor="page" w:x="662" w:y="106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of principal portion of lease liabilities</w:t>
      </w:r>
    </w:p>
    <w:p>
      <w:pPr>
        <w:pStyle w:val="Normal"/>
        <w:framePr w:w="344" w:hAnchor="page" w:vAnchor="page" w:x="7162" w:y="106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106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49" w:hAnchor="page" w:vAnchor="page" w:x="9976" w:y="106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(387)  </w:t>
      </w:r>
    </w:p>
    <w:p>
      <w:pPr>
        <w:pStyle w:val="Normal"/>
        <w:framePr w:w="555" w:hAnchor="page" w:vAnchor="page" w:x="11804" w:y="106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(6) </w:t>
      </w:r>
    </w:p>
    <w:p>
      <w:pPr>
        <w:pStyle w:val="Normal"/>
        <w:framePr w:w="2683" w:hAnchor="page" w:vAnchor="page" w:x="662" w:y="10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borrowings</w:t>
      </w:r>
    </w:p>
    <w:p>
      <w:pPr>
        <w:pStyle w:val="Normal"/>
        <w:framePr w:w="344" w:hAnchor="page" w:vAnchor="page" w:x="7162" w:y="10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10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06" w:hAnchor="page" w:vAnchor="page" w:x="9896" w:y="10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1,545 </w:t>
      </w:r>
    </w:p>
    <w:p>
      <w:pPr>
        <w:pStyle w:val="Normal"/>
        <w:framePr w:w="517" w:hAnchor="page" w:vAnchor="page" w:x="11771" w:y="10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 </w:t>
      </w:r>
    </w:p>
    <w:p>
      <w:pPr>
        <w:pStyle w:val="Normal"/>
        <w:framePr w:w="5712" w:hAnchor="page" w:vAnchor="page" w:x="276" w:y="101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flows (used in)/generated from financing activities</w:t>
      </w:r>
    </w:p>
    <w:p>
      <w:pPr>
        <w:pStyle w:val="Normal"/>
        <w:framePr w:w="21" w:hAnchor="page" w:vAnchor="page" w:x="7162" w:y="101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187" w:hAnchor="page" w:vAnchor="page" w:x="276" w:y="9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used in investing activities</w:t>
      </w:r>
    </w:p>
    <w:p>
      <w:pPr>
        <w:pStyle w:val="Normal"/>
        <w:framePr w:w="21" w:hAnchor="page" w:vAnchor="page" w:x="7162" w:y="99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197" w:y="9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(1,325)</w:t>
      </w:r>
    </w:p>
    <w:p>
      <w:pPr>
        <w:pStyle w:val="Normal"/>
        <w:framePr w:w="903" w:hAnchor="page" w:vAnchor="page" w:x="9832" w:y="9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(4,883)</w:t>
      </w:r>
    </w:p>
    <w:p>
      <w:pPr>
        <w:pStyle w:val="Normal"/>
        <w:framePr w:w="671" w:hAnchor="page" w:vAnchor="page" w:x="11707" w:y="9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(79) </w:t>
      </w:r>
    </w:p>
    <w:p>
      <w:pPr>
        <w:pStyle w:val="Normal"/>
        <w:framePr w:w="5336" w:hAnchor="page" w:vAnchor="page" w:x="662" w:y="9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and redemption of debt instruments</w:t>
      </w:r>
    </w:p>
    <w:p>
      <w:pPr>
        <w:pStyle w:val="Normal"/>
        <w:framePr w:w="344" w:hAnchor="page" w:vAnchor="page" w:x="7162" w:y="9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9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672 </w:t>
      </w:r>
    </w:p>
    <w:p>
      <w:pPr>
        <w:pStyle w:val="Normal"/>
        <w:framePr w:w="806" w:hAnchor="page" w:vAnchor="page" w:x="9896" w:y="9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2,213 </w:t>
      </w:r>
    </w:p>
    <w:p>
      <w:pPr>
        <w:pStyle w:val="Normal"/>
        <w:framePr w:w="517" w:hAnchor="page" w:vAnchor="page" w:x="11771" w:y="9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 </w:t>
      </w:r>
    </w:p>
    <w:p>
      <w:pPr>
        <w:pStyle w:val="Normal"/>
        <w:framePr w:w="4893" w:hAnchor="page" w:vAnchor="page" w:x="662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debt instruments and funds depositing</w:t>
      </w:r>
    </w:p>
    <w:p>
      <w:pPr>
        <w:pStyle w:val="Normal"/>
        <w:framePr w:w="344" w:hAnchor="page" w:vAnchor="page" w:x="7162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(810)  </w:t>
      </w:r>
    </w:p>
    <w:p>
      <w:pPr>
        <w:pStyle w:val="Normal"/>
        <w:framePr w:w="1022" w:hAnchor="page" w:vAnchor="page" w:x="9832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(5,405)  </w:t>
      </w:r>
    </w:p>
    <w:p>
      <w:pPr>
        <w:pStyle w:val="Normal"/>
        <w:framePr w:w="671" w:hAnchor="page" w:vAnchor="page" w:x="11707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(87) </w:t>
      </w:r>
    </w:p>
    <w:p>
      <w:pPr>
        <w:pStyle w:val="Normal"/>
        <w:framePr w:w="2715" w:hAnchor="page" w:vAnchor="page" w:x="662" w:y="9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Repayment of loans issued</w:t>
      </w:r>
    </w:p>
    <w:p>
      <w:pPr>
        <w:pStyle w:val="Normal"/>
        <w:framePr w:w="344" w:hAnchor="page" w:vAnchor="page" w:x="7162" w:y="9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8599" w:y="9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633" w:hAnchor="page" w:vAnchor="page" w:x="10041" w:y="9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412 </w:t>
      </w:r>
    </w:p>
    <w:p>
      <w:pPr>
        <w:pStyle w:val="Normal"/>
        <w:framePr w:w="401" w:hAnchor="page" w:vAnchor="page" w:x="11868" w:y="9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1430" w:hAnchor="page" w:vAnchor="page" w:x="662" w:y="89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issued</w:t>
      </w:r>
    </w:p>
    <w:p>
      <w:pPr>
        <w:pStyle w:val="Normal"/>
        <w:framePr w:w="344" w:hAnchor="page" w:vAnchor="page" w:x="7162" w:y="89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89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(187)  </w:t>
      </w:r>
    </w:p>
    <w:p>
      <w:pPr>
        <w:pStyle w:val="Normal"/>
        <w:framePr w:w="849" w:hAnchor="page" w:vAnchor="page" w:x="9976" w:y="89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(444)  </w:t>
      </w:r>
    </w:p>
    <w:p>
      <w:pPr>
        <w:pStyle w:val="Normal"/>
        <w:framePr w:w="555" w:hAnchor="page" w:vAnchor="page" w:x="11804" w:y="89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</w:t>
      </w:r>
    </w:p>
    <w:p>
      <w:pPr>
        <w:pStyle w:val="Normal"/>
        <w:framePr w:w="4745" w:hAnchor="page" w:vAnchor="page" w:x="662" w:y="87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of fixed and intangible assets</w:t>
      </w:r>
    </w:p>
    <w:p>
      <w:pPr>
        <w:pStyle w:val="Normal"/>
        <w:framePr w:w="344" w:hAnchor="page" w:vAnchor="page" w:x="7162" w:y="87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87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41" w:y="87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196 </w:t>
      </w:r>
    </w:p>
    <w:p>
      <w:pPr>
        <w:pStyle w:val="Normal"/>
        <w:framePr w:w="401" w:hAnchor="page" w:vAnchor="page" w:x="11868" w:y="87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2894" w:hAnchor="page" w:vAnchor="page" w:x="662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intangible assets</w:t>
      </w:r>
    </w:p>
    <w:p>
      <w:pPr>
        <w:pStyle w:val="Normal"/>
        <w:framePr w:w="344" w:hAnchor="page" w:vAnchor="page" w:x="7162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(385)  </w:t>
      </w:r>
    </w:p>
    <w:p>
      <w:pPr>
        <w:pStyle w:val="Normal"/>
        <w:framePr w:w="849" w:hAnchor="page" w:vAnchor="page" w:x="9976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(443)  </w:t>
      </w:r>
    </w:p>
    <w:p>
      <w:pPr>
        <w:pStyle w:val="Normal"/>
        <w:framePr w:w="555" w:hAnchor="page" w:vAnchor="page" w:x="11804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</w:t>
      </w:r>
    </w:p>
    <w:p>
      <w:pPr>
        <w:pStyle w:val="Normal"/>
        <w:framePr w:w="3582" w:hAnchor="page" w:vAnchor="page" w:x="662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property and equipment</w:t>
      </w:r>
    </w:p>
    <w:p>
      <w:pPr>
        <w:pStyle w:val="Normal"/>
        <w:framePr w:w="344" w:hAnchor="page" w:vAnchor="page" w:x="7162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(736)  </w:t>
      </w:r>
    </w:p>
    <w:p>
      <w:pPr>
        <w:pStyle w:val="Normal"/>
        <w:framePr w:w="849" w:hAnchor="page" w:vAnchor="page" w:x="9976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(858)  </w:t>
      </w:r>
    </w:p>
    <w:p>
      <w:pPr>
        <w:pStyle w:val="Normal"/>
        <w:framePr w:w="671" w:hAnchor="page" w:vAnchor="page" w:x="11707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(14) </w:t>
      </w:r>
    </w:p>
    <w:p>
      <w:pPr>
        <w:pStyle w:val="Normal"/>
        <w:framePr w:w="5047" w:hAnchor="page" w:vAnchor="page" w:x="662" w:y="80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received upon /(used in) business combination</w:t>
      </w:r>
    </w:p>
    <w:p>
      <w:pPr>
        <w:pStyle w:val="Normal"/>
        <w:framePr w:w="344" w:hAnchor="page" w:vAnchor="page" w:x="7162" w:y="80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80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138 </w:t>
      </w:r>
    </w:p>
    <w:p>
      <w:pPr>
        <w:pStyle w:val="Normal"/>
        <w:framePr w:w="849" w:hAnchor="page" w:vAnchor="page" w:x="9976" w:y="80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(354)  </w:t>
      </w:r>
    </w:p>
    <w:p>
      <w:pPr>
        <w:pStyle w:val="Normal"/>
        <w:framePr w:w="555" w:hAnchor="page" w:vAnchor="page" w:x="11804" w:y="80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(6) </w:t>
      </w:r>
    </w:p>
    <w:p>
      <w:pPr>
        <w:pStyle w:val="Normal"/>
        <w:framePr w:w="4944" w:hAnchor="page" w:vAnchor="page" w:x="662" w:y="78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Acquisition of associate and joint control company</w:t>
      </w:r>
    </w:p>
    <w:p>
      <w:pPr>
        <w:pStyle w:val="Normal"/>
        <w:framePr w:w="344" w:hAnchor="page" w:vAnchor="page" w:x="7162" w:y="78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438" w:y="78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(21)  </w:t>
      </w:r>
    </w:p>
    <w:p>
      <w:pPr>
        <w:pStyle w:val="Normal"/>
        <w:framePr w:w="849" w:hAnchor="page" w:vAnchor="page" w:x="9976" w:y="78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(200)  </w:t>
      </w:r>
    </w:p>
    <w:p>
      <w:pPr>
        <w:pStyle w:val="Normal"/>
        <w:framePr w:w="555" w:hAnchor="page" w:vAnchor="page" w:x="11804" w:y="78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(3) </w:t>
      </w:r>
    </w:p>
    <w:p>
      <w:pPr>
        <w:pStyle w:val="Normal"/>
        <w:framePr w:w="3937" w:hAnchor="page" w:vAnchor="page" w:x="276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flows used in investing activities</w:t>
      </w:r>
    </w:p>
    <w:p>
      <w:pPr>
        <w:pStyle w:val="Normal"/>
        <w:framePr w:w="21" w:hAnchor="page" w:vAnchor="page" w:x="7162" w:y="756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068" w:hAnchor="page" w:vAnchor="page" w:x="276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generated from operating activities</w:t>
      </w:r>
    </w:p>
    <w:p>
      <w:pPr>
        <w:pStyle w:val="Normal"/>
        <w:framePr w:w="21" w:hAnchor="page" w:vAnchor="page" w:x="7162" w:y="73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22,645</w:t>
      </w:r>
    </w:p>
    <w:p>
      <w:pPr>
        <w:pStyle w:val="Normal"/>
        <w:framePr w:w="749" w:hAnchor="page" w:vAnchor="page" w:x="9896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9,239</w:t>
      </w:r>
    </w:p>
    <w:p>
      <w:pPr>
        <w:pStyle w:val="Normal"/>
        <w:framePr w:w="575" w:hAnchor="page" w:vAnchor="page" w:x="11675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149</w:t>
      </w:r>
    </w:p>
    <w:p>
      <w:pPr>
        <w:pStyle w:val="Normal"/>
        <w:framePr w:w="1718" w:hAnchor="page" w:vAnchor="page" w:x="662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paid</w:t>
      </w:r>
    </w:p>
    <w:p>
      <w:pPr>
        <w:pStyle w:val="Normal"/>
        <w:framePr w:w="344" w:hAnchor="page" w:vAnchor="page" w:x="7162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(769)  </w:t>
      </w:r>
    </w:p>
    <w:p>
      <w:pPr>
        <w:pStyle w:val="Normal"/>
        <w:framePr w:w="1022" w:hAnchor="page" w:vAnchor="page" w:x="9832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(1,771)  </w:t>
      </w:r>
    </w:p>
    <w:p>
      <w:pPr>
        <w:pStyle w:val="Normal"/>
        <w:framePr w:w="671" w:hAnchor="page" w:vAnchor="page" w:x="11707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(29) </w:t>
      </w:r>
    </w:p>
    <w:p>
      <w:pPr>
        <w:pStyle w:val="Normal"/>
        <w:framePr w:w="1378" w:hAnchor="page" w:vAnchor="page" w:x="662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paid</w:t>
      </w:r>
    </w:p>
    <w:p>
      <w:pPr>
        <w:pStyle w:val="Normal"/>
        <w:framePr w:w="344" w:hAnchor="page" w:vAnchor="page" w:x="7162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0" w:hAnchor="page" w:vAnchor="page" w:x="8349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(113)  </w:t>
      </w:r>
    </w:p>
    <w:p>
      <w:pPr>
        <w:pStyle w:val="Normal"/>
        <w:framePr w:w="849" w:hAnchor="page" w:vAnchor="page" w:x="9976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(333)  </w:t>
      </w:r>
    </w:p>
    <w:p>
      <w:pPr>
        <w:pStyle w:val="Normal"/>
        <w:framePr w:w="555" w:hAnchor="page" w:vAnchor="page" w:x="11804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(5) </w:t>
      </w:r>
    </w:p>
    <w:p>
      <w:pPr>
        <w:pStyle w:val="Normal"/>
        <w:framePr w:w="1763" w:hAnchor="page" w:vAnchor="page" w:x="662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received</w:t>
      </w:r>
    </w:p>
    <w:p>
      <w:pPr>
        <w:pStyle w:val="Normal"/>
        <w:framePr w:w="21" w:hAnchor="page" w:vAnchor="page" w:x="7162" w:y="65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1,795</w:t>
      </w:r>
    </w:p>
    <w:p>
      <w:pPr>
        <w:pStyle w:val="Normal"/>
        <w:framePr w:w="749" w:hAnchor="page" w:vAnchor="page" w:x="9896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3,694</w:t>
      </w:r>
    </w:p>
    <w:p>
      <w:pPr>
        <w:pStyle w:val="Normal"/>
        <w:framePr w:w="459" w:hAnchor="page" w:vAnchor="page" w:x="11771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60</w:t>
      </w:r>
    </w:p>
    <w:p>
      <w:pPr>
        <w:pStyle w:val="Normal"/>
        <w:framePr w:w="3405" w:hAnchor="page" w:vAnchor="page" w:x="276" w:y="63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generated from operations</w:t>
      </w:r>
    </w:p>
    <w:p>
      <w:pPr>
        <w:pStyle w:val="Normal"/>
        <w:framePr w:w="21" w:hAnchor="page" w:vAnchor="page" w:x="7162" w:y="63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63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21,732</w:t>
      </w:r>
    </w:p>
    <w:p>
      <w:pPr>
        <w:pStyle w:val="Normal"/>
        <w:framePr w:w="749" w:hAnchor="page" w:vAnchor="page" w:x="9896" w:y="63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7,649</w:t>
      </w:r>
    </w:p>
    <w:p>
      <w:pPr>
        <w:pStyle w:val="Normal"/>
        <w:framePr w:w="575" w:hAnchor="page" w:vAnchor="page" w:x="11675" w:y="63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124</w:t>
      </w:r>
    </w:p>
    <w:p>
      <w:pPr>
        <w:pStyle w:val="Normal"/>
        <w:framePr w:w="4751" w:hAnchor="page" w:vAnchor="page" w:x="662" w:y="6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 in loans issued from banking operations</w:t>
      </w:r>
    </w:p>
    <w:p>
      <w:pPr>
        <w:pStyle w:val="Normal"/>
        <w:framePr w:w="344" w:hAnchor="page" w:vAnchor="page" w:x="7162" w:y="6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6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(5,827)  </w:t>
      </w:r>
    </w:p>
    <w:p>
      <w:pPr>
        <w:pStyle w:val="Normal"/>
        <w:framePr w:w="1022" w:hAnchor="page" w:vAnchor="page" w:x="9832" w:y="6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(5,159)  </w:t>
      </w:r>
    </w:p>
    <w:p>
      <w:pPr>
        <w:pStyle w:val="Normal"/>
        <w:framePr w:w="671" w:hAnchor="page" w:vAnchor="page" w:x="11707" w:y="6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(83) </w:t>
      </w:r>
    </w:p>
    <w:p>
      <w:pPr>
        <w:pStyle w:val="Normal"/>
        <w:framePr w:w="4088" w:hAnchor="page" w:vAnchor="page" w:x="662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 in accounts payable and accruals</w:t>
      </w:r>
    </w:p>
    <w:p>
      <w:pPr>
        <w:pStyle w:val="Normal"/>
        <w:framePr w:w="344" w:hAnchor="page" w:vAnchor="page" w:x="7162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7,347 </w:t>
      </w:r>
    </w:p>
    <w:p>
      <w:pPr>
        <w:pStyle w:val="Normal"/>
        <w:framePr w:w="633" w:hAnchor="page" w:vAnchor="page" w:x="10041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976 </w:t>
      </w:r>
    </w:p>
    <w:p>
      <w:pPr>
        <w:pStyle w:val="Normal"/>
        <w:framePr w:w="517" w:hAnchor="page" w:vAnchor="page" w:x="11771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</w:t>
      </w:r>
    </w:p>
    <w:p>
      <w:pPr>
        <w:pStyle w:val="Normal"/>
        <w:framePr w:w="5471" w:hAnchor="page" w:vAnchor="page" w:x="662" w:y="5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 in customer accounts and amounts due to banks</w:t>
      </w:r>
    </w:p>
    <w:p>
      <w:pPr>
        <w:pStyle w:val="Normal"/>
        <w:framePr w:w="344" w:hAnchor="page" w:vAnchor="page" w:x="7162" w:y="5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165" w:y="5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14,601 </w:t>
      </w:r>
    </w:p>
    <w:p>
      <w:pPr>
        <w:pStyle w:val="Normal"/>
        <w:framePr w:w="806" w:hAnchor="page" w:vAnchor="page" w:x="9896" w:y="5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3,528 </w:t>
      </w:r>
    </w:p>
    <w:p>
      <w:pPr>
        <w:pStyle w:val="Normal"/>
        <w:framePr w:w="517" w:hAnchor="page" w:vAnchor="page" w:x="11771" w:y="5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57 </w:t>
      </w:r>
    </w:p>
    <w:p>
      <w:pPr>
        <w:pStyle w:val="Normal"/>
        <w:framePr w:w="3382" w:hAnchor="page" w:vAnchor="page" w:x="662" w:y="53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(Increase)/decrease in other assets</w:t>
      </w:r>
    </w:p>
    <w:p>
      <w:pPr>
        <w:pStyle w:val="Normal"/>
        <w:framePr w:w="344" w:hAnchor="page" w:vAnchor="page" w:x="7162" w:y="53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53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(529)  </w:t>
      </w:r>
    </w:p>
    <w:p>
      <w:pPr>
        <w:pStyle w:val="Normal"/>
        <w:framePr w:w="517" w:hAnchor="page" w:vAnchor="page" w:x="10137" w:y="53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39 </w:t>
      </w:r>
    </w:p>
    <w:p>
      <w:pPr>
        <w:pStyle w:val="Normal"/>
        <w:framePr w:w="401" w:hAnchor="page" w:vAnchor="page" w:x="11868" w:y="53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4795" w:hAnchor="page" w:vAnchor="page" w:x="662" w:y="5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(Increase)/decrease in trade and other receivables</w:t>
      </w:r>
    </w:p>
    <w:p>
      <w:pPr>
        <w:pStyle w:val="Normal"/>
        <w:framePr w:w="21" w:hAnchor="page" w:vAnchor="page" w:x="7162" w:y="513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5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1,127</w:t>
      </w:r>
    </w:p>
    <w:p>
      <w:pPr>
        <w:pStyle w:val="Normal"/>
        <w:framePr w:w="749" w:hAnchor="page" w:vAnchor="page" w:x="9896" w:y="5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1,256</w:t>
      </w:r>
    </w:p>
    <w:p>
      <w:pPr>
        <w:pStyle w:val="Normal"/>
        <w:framePr w:w="459" w:hAnchor="page" w:vAnchor="page" w:x="11771" w:y="5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</w:t>
      </w:r>
    </w:p>
    <w:p>
      <w:pPr>
        <w:pStyle w:val="Normal"/>
        <w:framePr w:w="5245" w:hAnchor="page" w:vAnchor="page" w:x="276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profit before changes in working capital</w:t>
      </w:r>
    </w:p>
    <w:p>
      <w:pPr>
        <w:pStyle w:val="Normal"/>
        <w:framePr w:w="21" w:hAnchor="page" w:vAnchor="page" w:x="7162" w:y="48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5,013</w:t>
      </w:r>
    </w:p>
    <w:p>
      <w:pPr>
        <w:pStyle w:val="Normal"/>
        <w:framePr w:w="749" w:hAnchor="page" w:vAnchor="page" w:x="9896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7,009</w:t>
      </w:r>
    </w:p>
    <w:p>
      <w:pPr>
        <w:pStyle w:val="Normal"/>
        <w:framePr w:w="575" w:hAnchor="page" w:vAnchor="page" w:x="11686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113</w:t>
      </w:r>
    </w:p>
    <w:p>
      <w:pPr>
        <w:pStyle w:val="Normal"/>
        <w:framePr w:w="755" w:hAnchor="page" w:vAnchor="page" w:x="662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162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371 </w:t>
      </w:r>
    </w:p>
    <w:p>
      <w:pPr>
        <w:pStyle w:val="Normal"/>
        <w:framePr w:w="633" w:hAnchor="page" w:vAnchor="page" w:x="10041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122 </w:t>
      </w:r>
    </w:p>
    <w:p>
      <w:pPr>
        <w:pStyle w:val="Normal"/>
        <w:framePr w:w="401" w:hAnchor="page" w:vAnchor="page" w:x="11868" w:y="46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2882" w:hAnchor="page" w:vAnchor="page" w:x="662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initial recognition</w:t>
      </w:r>
    </w:p>
    <w:p>
      <w:pPr>
        <w:pStyle w:val="Normal"/>
        <w:framePr w:w="344" w:hAnchor="page" w:vAnchor="page" w:x="7162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143 </w:t>
      </w:r>
    </w:p>
    <w:p>
      <w:pPr>
        <w:pStyle w:val="Normal"/>
        <w:framePr w:w="633" w:hAnchor="page" w:vAnchor="page" w:x="10041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273 </w:t>
      </w:r>
    </w:p>
    <w:p>
      <w:pPr>
        <w:pStyle w:val="Normal"/>
        <w:framePr w:w="401" w:hAnchor="page" w:vAnchor="page" w:x="11868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3293" w:hAnchor="page" w:vAnchor="page" w:x="662" w:y="41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162" w:y="41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502" w:y="41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 </w:t>
      </w:r>
    </w:p>
    <w:p>
      <w:pPr>
        <w:pStyle w:val="Normal"/>
        <w:framePr w:w="633" w:hAnchor="page" w:vAnchor="page" w:x="10041" w:y="41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792 </w:t>
      </w:r>
    </w:p>
    <w:p>
      <w:pPr>
        <w:pStyle w:val="Normal"/>
        <w:framePr w:w="517" w:hAnchor="page" w:vAnchor="page" w:x="11771" w:y="41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2303" w:hAnchor="page" w:vAnchor="page" w:x="662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7162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635 </w:t>
      </w:r>
    </w:p>
    <w:p>
      <w:pPr>
        <w:pStyle w:val="Normal"/>
        <w:framePr w:w="633" w:hAnchor="page" w:vAnchor="page" w:x="10041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464 </w:t>
      </w:r>
    </w:p>
    <w:p>
      <w:pPr>
        <w:pStyle w:val="Normal"/>
        <w:framePr w:w="401" w:hAnchor="page" w:vAnchor="page" w:x="11868" w:y="3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5246" w:hAnchor="page" w:vAnchor="page" w:x="662" w:y="37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(gain)/loss of an associate and a joint venture</w:t>
      </w:r>
    </w:p>
    <w:p>
      <w:pPr>
        <w:pStyle w:val="Normal"/>
        <w:framePr w:w="344" w:hAnchor="page" w:vAnchor="page" w:x="7162" w:y="37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502" w:y="37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 </w:t>
      </w:r>
    </w:p>
    <w:p>
      <w:pPr>
        <w:pStyle w:val="Normal"/>
        <w:framePr w:w="849" w:hAnchor="page" w:vAnchor="page" w:x="9976" w:y="37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(258)  </w:t>
      </w:r>
    </w:p>
    <w:p>
      <w:pPr>
        <w:pStyle w:val="Normal"/>
        <w:framePr w:w="555" w:hAnchor="page" w:vAnchor="page" w:x="11804" w:y="37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</w:t>
      </w:r>
    </w:p>
    <w:p>
      <w:pPr>
        <w:pStyle w:val="Normal"/>
        <w:framePr w:w="2027" w:hAnchor="page" w:vAnchor="page" w:x="662" w:y="3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7162" w:y="3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3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474 </w:t>
      </w:r>
    </w:p>
    <w:p>
      <w:pPr>
        <w:pStyle w:val="Normal"/>
        <w:framePr w:w="633" w:hAnchor="page" w:vAnchor="page" w:x="10041" w:y="3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642 </w:t>
      </w:r>
    </w:p>
    <w:p>
      <w:pPr>
        <w:pStyle w:val="Normal"/>
        <w:framePr w:w="517" w:hAnchor="page" w:vAnchor="page" w:x="11771" w:y="3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2059" w:hAnchor="page" w:vAnchor="page" w:x="662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income, net</w:t>
      </w:r>
    </w:p>
    <w:p>
      <w:pPr>
        <w:pStyle w:val="Normal"/>
        <w:framePr w:w="344" w:hAnchor="page" w:vAnchor="page" w:x="7162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(1,782)  </w:t>
      </w:r>
    </w:p>
    <w:p>
      <w:pPr>
        <w:pStyle w:val="Normal"/>
        <w:framePr w:w="1022" w:hAnchor="page" w:vAnchor="page" w:x="9832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(2,901)  </w:t>
      </w:r>
    </w:p>
    <w:p>
      <w:pPr>
        <w:pStyle w:val="Normal"/>
        <w:framePr w:w="671" w:hAnchor="page" w:vAnchor="page" w:x="11707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(47) </w:t>
      </w:r>
    </w:p>
    <w:p>
      <w:pPr>
        <w:pStyle w:val="Normal"/>
        <w:framePr w:w="3312" w:hAnchor="page" w:vAnchor="page" w:x="662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loss/(gain), net</w:t>
      </w:r>
    </w:p>
    <w:p>
      <w:pPr>
        <w:pStyle w:val="Normal"/>
        <w:framePr w:w="344" w:hAnchor="page" w:vAnchor="page" w:x="7162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(262)  </w:t>
      </w:r>
    </w:p>
    <w:p>
      <w:pPr>
        <w:pStyle w:val="Normal"/>
        <w:framePr w:w="633" w:hAnchor="page" w:vAnchor="page" w:x="10041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172 </w:t>
      </w:r>
    </w:p>
    <w:p>
      <w:pPr>
        <w:pStyle w:val="Normal"/>
        <w:framePr w:w="401" w:hAnchor="page" w:vAnchor="page" w:x="11868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3042" w:hAnchor="page" w:vAnchor="page" w:x="662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162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864 </w:t>
      </w:r>
    </w:p>
    <w:p>
      <w:pPr>
        <w:pStyle w:val="Normal"/>
        <w:framePr w:w="806" w:hAnchor="page" w:vAnchor="page" w:x="9896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1,324 </w:t>
      </w:r>
    </w:p>
    <w:p>
      <w:pPr>
        <w:pStyle w:val="Normal"/>
        <w:framePr w:w="517" w:hAnchor="page" w:vAnchor="page" w:x="11771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2111" w:hAnchor="page" w:vAnchor="page" w:x="469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activities</w:t>
      </w:r>
    </w:p>
    <w:p>
      <w:pPr>
        <w:pStyle w:val="Normal"/>
        <w:framePr w:w="344" w:hAnchor="page" w:vAnchor="page" w:x="7162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7" w:hAnchor="page" w:vAnchor="page" w:x="276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Adjustments to reconcile profit before tax to net cash flows generated from</w:t>
      </w:r>
    </w:p>
    <w:p>
      <w:pPr>
        <w:pStyle w:val="Normal"/>
        <w:framePr w:w="21" w:hAnchor="page" w:vAnchor="page" w:x="7162" w:y="22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851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</w:t>
      </w:r>
    </w:p>
    <w:p>
      <w:pPr>
        <w:pStyle w:val="Normal"/>
        <w:framePr w:w="344" w:hAnchor="page" w:vAnchor="page" w:x="7162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4,501 </w:t>
      </w:r>
    </w:p>
    <w:p>
      <w:pPr>
        <w:pStyle w:val="Normal"/>
        <w:framePr w:w="806" w:hAnchor="page" w:vAnchor="page" w:x="989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6,379 </w:t>
      </w:r>
    </w:p>
    <w:p>
      <w:pPr>
        <w:pStyle w:val="Normal"/>
        <w:framePr w:w="633" w:hAnchor="page" w:vAnchor="page" w:x="11675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103 </w:t>
      </w:r>
    </w:p>
    <w:p>
      <w:pPr>
        <w:pStyle w:val="Normal"/>
        <w:framePr w:w="3784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flows from operating activities</w:t>
      </w:r>
    </w:p>
    <w:p>
      <w:pPr>
        <w:pStyle w:val="Normal"/>
        <w:framePr w:w="344" w:hAnchor="page" w:vAnchor="page" w:x="7162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162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896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530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097" w:y="16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162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16" w:hAnchor="page" w:vAnchor="page" w:x="7585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2018 (audited)</w:t>
      </w:r>
    </w:p>
    <w:p>
      <w:pPr>
        <w:pStyle w:val="Normal"/>
        <w:framePr w:w="1316" w:hAnchor="page" w:vAnchor="page" w:x="9220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 (audited)</w:t>
      </w:r>
    </w:p>
    <w:p>
      <w:pPr>
        <w:pStyle w:val="Normal"/>
        <w:framePr w:w="1521" w:hAnchor="page" w:vAnchor="page" w:x="10769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 (unaudited)</w:t>
      </w:r>
    </w:p>
    <w:p>
      <w:pPr>
        <w:pStyle w:val="Normal"/>
        <w:framePr w:w="1707" w:hAnchor="page" w:vAnchor="page" w:x="7422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905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10691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273" w:hAnchor="page" w:vAnchor="page" w:x="7162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34" w:hAnchor="page" w:vAnchor="page" w:x="9171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Full Year ended</w:t>
      </w:r>
    </w:p>
    <w:p>
      <w:pPr>
        <w:pStyle w:val="Normal"/>
        <w:framePr w:w="1404" w:hAnchor="page" w:vAnchor="page" w:x="5688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millions)</w:t>
      </w:r>
    </w:p>
    <w:p>
      <w:pPr>
        <w:pStyle w:val="Normal"/>
        <w:framePr w:w="4033" w:hAnchor="page" w:vAnchor="page" w:x="4592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Cash Flows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7pt;margin-top:1pt;z-index:-1677270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12.8pt;margin-top:1pt;z-index:-1677269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12.8pt;margin-top:2.45pt;z-index:-167726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97.95pt;margin-top:1pt;z-index:-1677268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12.8pt;margin-top:1pt;z-index:-167726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12.8pt;margin-top:89.95pt;z-index:-1677268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357.1pt;margin-top:89.95pt;z-index:-1677267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370.1pt;margin-top:89.95pt;z-index:-167726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375.9pt;margin-top:89.95pt;z-index:-167726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433.75pt;margin-top:89.95pt;z-index:-167726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439.55pt;margin-top:89.95pt;z-index:-167726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51.85pt;margin-top:89.95pt;z-index:-167726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457.6pt;margin-top:89.95pt;z-index:-1677265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15.5pt;margin-top:89.95pt;z-index:-167726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21.25pt;margin-top:89.95pt;z-index:-167726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33.55pt;margin-top:89.95pt;z-index:-1677264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42.95pt;margin-top:89.95pt;z-index:-16772636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97.2pt;margin-top:89.95pt;z-index:-167726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12.8pt;margin-top:114.55pt;z-index:-16772628;width:346.3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357.1pt;margin-top:114.55pt;z-index:-16772624;width: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370.1pt;margin-top:114.55pt;z-index:-1677262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375.9pt;margin-top:114.55pt;z-index:-16772616;width:59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433.75pt;margin-top:114.55pt;z-index:-167726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439.55pt;margin-top:114.55pt;z-index:-16772608;width:14.3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451.85pt;margin-top:114.55pt;z-index:-1677260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457.6pt;margin-top:114.55pt;z-index:-16772600;width:59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15.5pt;margin-top:114.55pt;z-index:-1677259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21.25pt;margin-top:114.55pt;z-index:-16772592;width:14.3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33.55pt;margin-top:114.55pt;z-index:-16772588;width:11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42.95pt;margin-top:114.55pt;z-index:-16772584;width:56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97.2pt;margin-top:114.55pt;z-index:-1677258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12.8pt;margin-top:149.3pt;z-index:-1677257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357.1pt;margin-top:149.3pt;z-index:-1677257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370.1pt;margin-top:149.3pt;z-index:-167725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375.9pt;margin-top:149.3pt;z-index:-167725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33.75pt;margin-top:149.3pt;z-index:-167725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39.55pt;margin-top:149.3pt;z-index:-167725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51.85pt;margin-top:149.3pt;z-index:-16772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57.6pt;margin-top:149.3pt;z-index:-1677254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15.5pt;margin-top:149.3pt;z-index:-16772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521.25pt;margin-top:149.3pt;z-index:-167725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33.55pt;margin-top:149.3pt;z-index:-16772536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42.95pt;margin-top:149.3pt;z-index:-16772532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97.2pt;margin-top:149.3pt;z-index:-16772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12.8pt;margin-top:172.4pt;z-index:-1677252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357.1pt;margin-top:172.4pt;z-index:-1677252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370.1pt;margin-top:172.4pt;z-index:-167725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375.9pt;margin-top:172.4pt;z-index:-167725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433.75pt;margin-top:172.4pt;z-index:-167725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439.55pt;margin-top:172.4pt;z-index:-167725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451.85pt;margin-top:172.4pt;z-index:-16772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457.6pt;margin-top:172.4pt;z-index:-1677249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15.5pt;margin-top:172.4pt;z-index:-167724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21.25pt;margin-top:172.4pt;z-index:-167724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33.55pt;margin-top:172.4pt;z-index:-1677248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42.95pt;margin-top:172.4pt;z-index:-16772480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97.2pt;margin-top:172.4pt;z-index:-167724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12.8pt;margin-top:195.55pt;z-index:-1677247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357.1pt;margin-top:195.55pt;z-index:-1677246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370.1pt;margin-top:195.55pt;z-index:-167724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375.9pt;margin-top:195.55pt;z-index:-1677246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433.75pt;margin-top:195.55pt;z-index:-167724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439.55pt;margin-top:195.55pt;z-index:-167724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51.85pt;margin-top:195.55pt;z-index:-167724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457.6pt;margin-top:195.55pt;z-index:-1677244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15.5pt;margin-top:195.55pt;z-index:-167724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21.25pt;margin-top:195.55pt;z-index:-167724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33.55pt;margin-top:195.55pt;z-index:-1677243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42.95pt;margin-top:195.55pt;z-index:-16772428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97.2pt;margin-top:195.55pt;z-index:-167724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12.8pt;margin-top:218.7pt;z-index:-1677242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357.1pt;margin-top:218.7pt;z-index:-1677241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370.1pt;margin-top:218.7pt;z-index:-167724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375.9pt;margin-top:218.7pt;z-index:-1677240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433.75pt;margin-top:218.7pt;z-index:-167724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439.55pt;margin-top:218.7pt;z-index:-167724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451.85pt;margin-top:218.7pt;z-index:-167723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57.6pt;margin-top:218.7pt;z-index:-1677239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15.5pt;margin-top:218.7pt;z-index:-167723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21.25pt;margin-top:218.7pt;z-index:-167723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33.55pt;margin-top:218.7pt;z-index:-1677238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42.95pt;margin-top:218.7pt;z-index:-16772376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97.2pt;margin-top:218.7pt;z-index:-167723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12.8pt;margin-top:243.3pt;z-index:-1677236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357.1pt;margin-top:243.3pt;z-index:-1677236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370.1pt;margin-top:243.3pt;z-index:-167723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375.9pt;margin-top:243.3pt;z-index:-1677235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433.75pt;margin-top:243.3pt;z-index:-167723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439.55pt;margin-top:243.3pt;z-index:-167723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451.85pt;margin-top:243.3pt;z-index:-16772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457.6pt;margin-top:243.3pt;z-index:-1677234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15.5pt;margin-top:243.3pt;z-index:-167723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21.25pt;margin-top:243.3pt;z-index:-167723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33.55pt;margin-top:243.3pt;z-index:-1677232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42.95pt;margin-top:243.3pt;z-index:-16772324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97.2pt;margin-top:243.3pt;z-index:-167723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12.8pt;margin-top:267.9pt;z-index:-1677231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357.1pt;margin-top:267.9pt;z-index:-1677231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370.1pt;margin-top:267.9pt;z-index:-167723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375.9pt;margin-top:267.9pt;z-index:-1677230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433.75pt;margin-top:267.9pt;z-index:-167723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439.55pt;margin-top:267.9pt;z-index:-167722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51.85pt;margin-top:267.9pt;z-index:-16772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57.6pt;margin-top:267.9pt;z-index:-1677228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15.5pt;margin-top:267.9pt;z-index:-167722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21.25pt;margin-top:267.9pt;z-index:-167722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33.55pt;margin-top:267.9pt;z-index:-16772276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42.95pt;margin-top:267.9pt;z-index:-16772272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97.2pt;margin-top:267.9pt;z-index:-167722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12.8pt;margin-top:291.05pt;z-index:-1677226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357.1pt;margin-top:291.05pt;z-index:-1677226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370.1pt;margin-top:291.05pt;z-index:-167722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375.9pt;margin-top:291.05pt;z-index:-1677225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433.75pt;margin-top:291.05pt;z-index:-167722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439.55pt;margin-top:291.05pt;z-index:-167722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51.85pt;margin-top:291.05pt;z-index:-16772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57.6pt;margin-top:291.05pt;z-index:-1677223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15.5pt;margin-top:291.05pt;z-index:-16772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1.25pt;margin-top:291.05pt;z-index:-167722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33.55pt;margin-top:291.05pt;z-index:-1677222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42.95pt;margin-top:291.05pt;z-index:-16772220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97.2pt;margin-top:291.05pt;z-index:-167722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12.8pt;margin-top:315.65pt;z-index:-1677221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357.1pt;margin-top:315.65pt;z-index:-1677220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370.1pt;margin-top:315.65pt;z-index:-167722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375.9pt;margin-top:315.65pt;z-index:-1677220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433.75pt;margin-top:315.65pt;z-index:-167721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39.55pt;margin-top:315.65pt;z-index:-167721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451.85pt;margin-top:315.65pt;z-index:-16772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457.6pt;margin-top:315.65pt;z-index:-167721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15.5pt;margin-top:315.65pt;z-index:-167721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21.25pt;margin-top:315.65pt;z-index:-167721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33.55pt;margin-top:315.65pt;z-index:-1677217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42.95pt;margin-top:315.65pt;z-index:-16772168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97.2pt;margin-top:315.65pt;z-index:-16772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12.8pt;margin-top:340.25pt;z-index:-1677216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357.1pt;margin-top:340.25pt;z-index:-1677215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370.1pt;margin-top:340.25pt;z-index:-167721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375.9pt;margin-top:340.25pt;z-index:-1677214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33.75pt;margin-top:340.25pt;z-index:-167721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39.55pt;margin-top:340.25pt;z-index:-167721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51.85pt;margin-top:340.25pt;z-index:-16772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457.6pt;margin-top:340.25pt;z-index:-167721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15.5pt;margin-top:340.25pt;z-index:-167721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21.25pt;margin-top:340.25pt;z-index:-167721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33.55pt;margin-top:340.25pt;z-index:-1677212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542.95pt;margin-top:340.25pt;z-index:-16772116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97.2pt;margin-top:340.25pt;z-index:-167721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12.8pt;margin-top:364.8pt;z-index:-1677210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357.1pt;margin-top:364.8pt;z-index:-1677210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370.1pt;margin-top:364.8pt;z-index:-16772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375.9pt;margin-top:364.8pt;z-index:-1677209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33.75pt;margin-top:364.8pt;z-index:-167720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439.55pt;margin-top:364.8pt;z-index:-167720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451.85pt;margin-top:364.8pt;z-index:-16772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457.6pt;margin-top:364.8pt;z-index:-167720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15.5pt;margin-top:364.8pt;z-index:-16772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21.25pt;margin-top:364.8pt;z-index:-167720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33.55pt;margin-top:364.8pt;z-index:-1677206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42.95pt;margin-top:364.8pt;z-index:-16772064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97.2pt;margin-top:364.8pt;z-index:-16772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12.8pt;margin-top:389.4pt;z-index:-1677205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357.1pt;margin-top:389.4pt;z-index:-1677205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370.1pt;margin-top:389.4pt;z-index:-167720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375.9pt;margin-top:389.4pt;z-index:-1677204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33.75pt;margin-top:389.4pt;z-index:-167720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439.55pt;margin-top:389.4pt;z-index:-167720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51.85pt;margin-top:389.4pt;z-index:-167720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457.6pt;margin-top:389.4pt;z-index:-167720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15.5pt;margin-top:389.4pt;z-index:-167720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521.25pt;margin-top:389.4pt;z-index:-167720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533.55pt;margin-top:389.4pt;z-index:-16772016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42.95pt;margin-top:389.4pt;z-index:-16772012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97.2pt;margin-top:389.4pt;z-index:-16772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12.8pt;margin-top:412.55pt;z-index:-1677200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357.1pt;margin-top:412.55pt;z-index:-1677200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370.1pt;margin-top:412.55pt;z-index:-167719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375.9pt;margin-top:412.55pt;z-index:-1677199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33.75pt;margin-top:412.55pt;z-index:-167719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39.55pt;margin-top:412.55pt;z-index:-167719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51.85pt;margin-top:412.55pt;z-index:-16771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57.6pt;margin-top:412.55pt;z-index:-1677197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515.5pt;margin-top:412.55pt;z-index:-16771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521.25pt;margin-top:412.55pt;z-index:-167719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33.55pt;margin-top:412.55pt;z-index:-1677196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42.95pt;margin-top:412.55pt;z-index:-16771960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97.2pt;margin-top:412.55pt;z-index:-167719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12.8pt;margin-top:435.7pt;z-index:-1677195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357.1pt;margin-top:435.7pt;z-index:-1677194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370.1pt;margin-top:435.7pt;z-index:-167719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375.9pt;margin-top:435.7pt;z-index:-1677194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433.75pt;margin-top:435.7pt;z-index:-167719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439.55pt;margin-top:435.7pt;z-index:-167719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451.85pt;margin-top:435.7pt;z-index:-16771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457.6pt;margin-top:435.7pt;z-index:-1677192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15.5pt;margin-top:435.7pt;z-index:-16771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21.25pt;margin-top:435.7pt;z-index:-167719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33.55pt;margin-top:435.7pt;z-index:-1677191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42.95pt;margin-top:435.7pt;z-index:-16771908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97.2pt;margin-top:435.7pt;z-index:-16771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12.8pt;margin-top:458.85pt;z-index:-1677190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357.1pt;margin-top:458.85pt;z-index:-1677189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370.1pt;margin-top:458.85pt;z-index:-167718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375.9pt;margin-top:458.85pt;z-index:-1677188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433.75pt;margin-top:458.85pt;z-index:-167718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439.55pt;margin-top:458.85pt;z-index:-167718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451.85pt;margin-top:458.85pt;z-index:-16771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457.6pt;margin-top:458.85pt;z-index:-1677187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15.5pt;margin-top:458.85pt;z-index:-16771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21.25pt;margin-top:458.85pt;z-index:-167718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33.55pt;margin-top:458.85pt;z-index:-1677186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42.95pt;margin-top:458.85pt;z-index:-16771856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97.2pt;margin-top:458.85pt;z-index:-16771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12.8pt;margin-top:482pt;z-index:-1677184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357.1pt;margin-top:482pt;z-index:-1677184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370.1pt;margin-top:482pt;z-index:-167718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375.9pt;margin-top:482pt;z-index:-1677183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433.75pt;margin-top:482pt;z-index:-167718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439.55pt;margin-top:482pt;z-index:-167718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51.85pt;margin-top:482pt;z-index:-16771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457.6pt;margin-top:482pt;z-index:-1677182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15.5pt;margin-top:482pt;z-index:-16771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21.25pt;margin-top:482pt;z-index:-167718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33.55pt;margin-top:482pt;z-index:-1677180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42.95pt;margin-top:482pt;z-index:-16771804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97.2pt;margin-top:482pt;z-index:-16771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12.8pt;margin-top:508.05pt;z-index:-16771796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357.1pt;margin-top:508.05pt;z-index:-1677179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370.1pt;margin-top:508.05pt;z-index:-167717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375.9pt;margin-top:508.05pt;z-index:-167717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433.75pt;margin-top:508.05pt;z-index:-16771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439.55pt;margin-top:508.05pt;z-index:-167717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451.85pt;margin-top:508.05pt;z-index:-16771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457.6pt;margin-top:508.05pt;z-index:-167717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15.5pt;margin-top:508.05pt;z-index:-16771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21.25pt;margin-top:508.05pt;z-index:-167717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33.55pt;margin-top:508.05pt;z-index:-16771756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42.95pt;margin-top:508.05pt;z-index:-16771752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97.2pt;margin-top:508.05pt;z-index:-16771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12.8pt;margin-top:531.2pt;z-index:-16771744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357.1pt;margin-top:531.2pt;z-index:-1677174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370.1pt;margin-top:531.2pt;z-index:-167717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375.9pt;margin-top:531.2pt;z-index:-167717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433.75pt;margin-top:531.2pt;z-index:-16771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439.55pt;margin-top:531.2pt;z-index:-167717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51.85pt;margin-top:531.2pt;z-index:-16771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57.6pt;margin-top:531.2pt;z-index:-1677171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15.5pt;margin-top:531.2pt;z-index:-16771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21.25pt;margin-top:531.2pt;z-index:-167717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533.55pt;margin-top:531.2pt;z-index:-16771704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42.95pt;margin-top:531.2pt;z-index:-16771700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97.2pt;margin-top:531.2pt;z-index:-16771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12.8pt;margin-top:554.35pt;z-index:-16771692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357.1pt;margin-top:554.35pt;z-index:-1677168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370.1pt;margin-top:554.35pt;z-index:-167716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375.9pt;margin-top:554.35pt;z-index:-167716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433.75pt;margin-top:554.35pt;z-index:-167716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39.55pt;margin-top:554.35pt;z-index:-167716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451.85pt;margin-top:554.35pt;z-index:-16771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457.6pt;margin-top:554.35pt;z-index:-167716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15.5pt;margin-top:554.35pt;z-index:-16771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21.25pt;margin-top:554.35pt;z-index:-167716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33.55pt;margin-top:554.35pt;z-index:-16771652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42.95pt;margin-top:554.35pt;z-index:-16771648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97.2pt;margin-top:554.35pt;z-index:-16771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12.8pt;margin-top:580.35pt;z-index:-16771640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357.1pt;margin-top:580.35pt;z-index:-1677163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370.1pt;margin-top:580.35pt;z-index:-167716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375.9pt;margin-top:580.35pt;z-index:-167716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33.75pt;margin-top:580.35pt;z-index:-167716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439.55pt;margin-top:580.35pt;z-index:-167716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51.85pt;margin-top:580.35pt;z-index:-167716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457.6pt;margin-top:580.35pt;z-index:-167716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15.5pt;margin-top:580.35pt;z-index:-16771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21.25pt;margin-top:580.35pt;z-index:-167716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33.55pt;margin-top:580.35pt;z-index:-16771600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542.95pt;margin-top:580.35pt;z-index:-16771596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97.2pt;margin-top:580.35pt;z-index:-16771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12.8pt;margin-top:604.95pt;z-index:-16771588;width:346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357.1pt;margin-top:604.95pt;z-index:-1677158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70.1pt;margin-top:604.95pt;z-index:-167715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375.9pt;margin-top:604.95pt;z-index:-1677157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433.75pt;margin-top:604.95pt;z-index:-167715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39.55pt;margin-top:604.95pt;z-index:-167715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451.85pt;margin-top:604.95pt;z-index:-16771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457.6pt;margin-top:604.95pt;z-index:-1677156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15.5pt;margin-top:604.95pt;z-index:-167715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21.25pt;margin-top:604.95pt;z-index:-167715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33.55pt;margin-top:604.95pt;z-index:-16771548;width:11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42.95pt;margin-top:604.95pt;z-index:-16771544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97.2pt;margin-top:604.95pt;z-index:-167715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370.1pt;margin-top:113.1pt;z-index:-167715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375.9pt;margin-top:113.1pt;z-index:-1677153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51.85pt;margin-top:113.1pt;z-index:-167715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457.6pt;margin-top:113.1pt;z-index:-1677152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33.55pt;margin-top:113.1pt;z-index:-16771520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42.95pt;margin-top:113.1pt;z-index:-16771516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370.1pt;margin-top:241.85pt;z-index:-167715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375.9pt;margin-top:241.85pt;z-index:-1677150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1.85pt;margin-top:241.85pt;z-index:-167715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57.6pt;margin-top:241.85pt;z-index:-1677150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33.55pt;margin-top:241.85pt;z-index:-16771496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42.95pt;margin-top:241.85pt;z-index:-16771492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370.1pt;margin-top:254.9pt;z-index:-167714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375.9pt;margin-top:254.9pt;z-index:-1677148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451.85pt;margin-top:254.9pt;z-index:-167714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457.6pt;margin-top:254.9pt;z-index:-1677147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33.55pt;margin-top:254.9pt;z-index:-16771472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42.95pt;margin-top:254.9pt;z-index:-16771468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370.1pt;margin-top:314.2pt;z-index:-167714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375.9pt;margin-top:314.2pt;z-index:-1677146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451.85pt;margin-top:314.2pt;z-index:-167714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457.6pt;margin-top:314.2pt;z-index:-1677145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33.55pt;margin-top:314.2pt;z-index:-16771448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42.95pt;margin-top:314.2pt;z-index:-16771444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370.1pt;margin-top:327.2pt;z-index:-167714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375.9pt;margin-top:327.2pt;z-index:-1677143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451.85pt;margin-top:327.2pt;z-index:-167714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457.6pt;margin-top:327.2pt;z-index:-1677142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33.55pt;margin-top:327.2pt;z-index:-16771424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42.95pt;margin-top:327.2pt;z-index:-16771420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370.1pt;margin-top:363.35pt;z-index:-167714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375.9pt;margin-top:363.35pt;z-index:-1677141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51.85pt;margin-top:363.35pt;z-index:-167714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57.6pt;margin-top:363.35pt;z-index:-1677140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33.55pt;margin-top:363.35pt;z-index:-16771400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542.95pt;margin-top:363.35pt;z-index:-16771396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370.1pt;margin-top:376.4pt;z-index:-167713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375.9pt;margin-top:376.4pt;z-index:-1677138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451.85pt;margin-top:376.4pt;z-index:-167713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57.6pt;margin-top:376.4pt;z-index:-1677138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33.55pt;margin-top:376.4pt;z-index:-16771376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42.95pt;margin-top:376.4pt;z-index:-16771372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370.1pt;margin-top:493.55pt;z-index:-167713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375.9pt;margin-top:493.55pt;z-index:-1677136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51.85pt;margin-top:493.55pt;z-index:-167713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457.6pt;margin-top:493.55pt;z-index:-1677135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33.55pt;margin-top:493.55pt;z-index:-16771352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42.95pt;margin-top:493.55pt;z-index:-16771348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370.1pt;margin-top:506.6pt;z-index:-167713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375.9pt;margin-top:506.6pt;z-index:-167713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51.85pt;margin-top:506.6pt;z-index:-167713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457.6pt;margin-top:506.6pt;z-index:-1677133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533.55pt;margin-top:506.6pt;z-index:-16771328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42.95pt;margin-top:506.6pt;z-index:-16771324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370.1pt;margin-top:565.9pt;z-index:-167713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375.9pt;margin-top:565.9pt;z-index:-1677131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451.85pt;margin-top:565.9pt;z-index:-167713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457.6pt;margin-top:565.9pt;z-index:-1677130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33.55pt;margin-top:565.9pt;z-index:-16771304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42.95pt;margin-top:565.9pt;z-index:-16771300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370.1pt;margin-top:578.9pt;z-index:-167712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375.9pt;margin-top:578.9pt;z-index:-1677129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451.85pt;margin-top:578.9pt;z-index:-167712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457.6pt;margin-top:578.9pt;z-index:-1677128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33.55pt;margin-top:578.9pt;z-index:-16771280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42.95pt;margin-top:578.9pt;z-index:-16771276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70.1pt;margin-top:603.5pt;z-index:-167712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375.9pt;margin-top:603.5pt;z-index:-1677126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451.85pt;margin-top:603.5pt;z-index:-167712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457.6pt;margin-top:603.5pt;z-index:-1677126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33.55pt;margin-top:603.5pt;z-index:-16771256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42.95pt;margin-top:603.5pt;z-index:-16771252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370.1pt;margin-top:616.55pt;z-index:-167712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375.9pt;margin-top:616.55pt;z-index:-1677124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51.85pt;margin-top:616.55pt;z-index:-167712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457.6pt;margin-top:616.55pt;z-index:-1677123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533.55pt;margin-top:616.55pt;z-index:-16771232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42.95pt;margin-top:616.55pt;z-index:-16771228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370.1pt;margin-top:629.55pt;z-index:-167712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370.1pt;margin-top:631pt;z-index:-167712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375.9pt;margin-top:629.55pt;z-index:-1677121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375.9pt;margin-top:631pt;z-index:-1677121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451.85pt;margin-top:629.55pt;z-index:-167712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451.85pt;margin-top:631pt;z-index:-167712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457.6pt;margin-top:629.55pt;z-index:-1677120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57.6pt;margin-top:631pt;z-index:-1677119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533.55pt;margin-top:629.55pt;z-index:-16771192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33.55pt;margin-top:631pt;z-index:-16771188;width:1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42.95pt;margin-top:629.55pt;z-index:-16771184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542.95pt;margin-top:631pt;z-index:-16771180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533.55pt;margin-top:64.65pt;z-index:-16771176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533.55pt;margin-top:81.3pt;z-index:-16771172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521.25pt;margin-top:64.65pt;z-index:-16771168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515.5pt;margin-top:64.65pt;z-index:-167711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51.85pt;margin-top:64.65pt;z-index:-16771160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451.85pt;margin-top:81.3pt;z-index:-16771156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439.55pt;margin-top:64.65pt;z-index:-16771152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433.75pt;margin-top:64.65pt;z-index:-167711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370.1pt;margin-top:81.3pt;z-index:-16771144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70.1pt;margin-top:64.65pt;z-index:-16771140;width:229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12.8pt;margin-top:639.7pt;z-index:-16771136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</w:p>
    <w:p>
      <w:pPr>
        <w:pStyle w:val="Normal"/>
        <w:framePr w:w="755" w:hAnchor="page" w:vAnchor="page" w:x="739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</w:t>
      </w:r>
    </w:p>
    <w:p>
      <w:pPr>
        <w:pStyle w:val="Normal"/>
        <w:framePr w:w="498" w:hAnchor="page" w:vAnchor="page" w:x="27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329" w:hAnchor="page" w:vAnchor="page" w:x="739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three months and full year ended December 31, 2018 and December 31, 2019 Total Adjusted Net Profit is equal to Total Segment Net</w:t>
      </w:r>
    </w:p>
    <w:p>
      <w:pPr>
        <w:pStyle w:val="Normal"/>
        <w:framePr w:w="1095" w:hAnchor="page" w:vAnchor="page" w:x="739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Revenue.</w:t>
      </w:r>
    </w:p>
    <w:p>
      <w:pPr>
        <w:pStyle w:val="Normal"/>
        <w:framePr w:w="498" w:hAnchor="page" w:vAnchor="page" w:x="276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611" w:hAnchor="page" w:vAnchor="page" w:x="739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three months and full year ended December 31, 2018 and December 31, 2019 Total Adjusted Net Revenue is equal to Total Segment Net</w:t>
      </w:r>
    </w:p>
    <w:p>
      <w:pPr>
        <w:pStyle w:val="Normal"/>
        <w:framePr w:w="5580" w:hAnchor="page" w:vAnchor="page" w:x="739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December 31, 2019.</w:t>
      </w:r>
    </w:p>
    <w:p>
      <w:pPr>
        <w:pStyle w:val="Normal"/>
        <w:framePr w:w="498" w:hAnchor="page" w:vAnchor="page" w:x="276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61.9057 to U.S. $1.00, which was the official exchange rate quoted by the Central</w:t>
      </w:r>
    </w:p>
    <w:p>
      <w:pPr>
        <w:pStyle w:val="Normal"/>
        <w:framePr w:w="21" w:hAnchor="page" w:vAnchor="page" w:x="7147" w:y="83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30" w:hAnchor="page" w:vAnchor="page" w:x="276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147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(937)  </w:t>
      </w:r>
    </w:p>
    <w:p>
      <w:pPr>
        <w:pStyle w:val="Normal"/>
        <w:framePr w:w="1022" w:hAnchor="page" w:vAnchor="page" w:x="9832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(1,482)  </w:t>
      </w:r>
    </w:p>
    <w:p>
      <w:pPr>
        <w:pStyle w:val="Normal"/>
        <w:framePr w:w="845" w:hAnchor="page" w:vAnchor="page" w:x="11563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(23.9) </w:t>
      </w:r>
    </w:p>
    <w:p>
      <w:pPr>
        <w:pStyle w:val="Normal"/>
        <w:framePr w:w="1333" w:hAnchor="page" w:vAnchor="page" w:x="276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147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(1,061)  </w:t>
      </w:r>
    </w:p>
    <w:p>
      <w:pPr>
        <w:pStyle w:val="Normal"/>
        <w:framePr w:w="1022" w:hAnchor="page" w:vAnchor="page" w:x="9832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(2,317)  </w:t>
      </w:r>
    </w:p>
    <w:p>
      <w:pPr>
        <w:pStyle w:val="Normal"/>
        <w:framePr w:w="845" w:hAnchor="page" w:vAnchor="page" w:x="11563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(37.4) </w:t>
      </w:r>
    </w:p>
    <w:p>
      <w:pPr>
        <w:pStyle w:val="Normal"/>
        <w:framePr w:w="3100" w:hAnchor="page" w:vAnchor="page" w:x="276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Small and Medium Enterprises</w:t>
      </w:r>
    </w:p>
    <w:p>
      <w:pPr>
        <w:pStyle w:val="Normal"/>
        <w:framePr w:w="344" w:hAnchor="page" w:vAnchor="page" w:x="7147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(776)  </w:t>
      </w:r>
    </w:p>
    <w:p>
      <w:pPr>
        <w:pStyle w:val="Normal"/>
        <w:framePr w:w="633" w:hAnchor="page" w:vAnchor="page" w:x="10041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354 </w:t>
      </w:r>
    </w:p>
    <w:p>
      <w:pPr>
        <w:pStyle w:val="Normal"/>
        <w:framePr w:w="575" w:hAnchor="page" w:vAnchor="page" w:x="11723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5.7 </w:t>
      </w:r>
    </w:p>
    <w:p>
      <w:pPr>
        <w:pStyle w:val="Normal"/>
        <w:framePr w:w="2940" w:hAnchor="page" w:vAnchor="page" w:x="276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147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97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(2,618)  </w:t>
      </w:r>
    </w:p>
    <w:p>
      <w:pPr>
        <w:pStyle w:val="Normal"/>
        <w:framePr w:w="1022" w:hAnchor="page" w:vAnchor="page" w:x="9832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(1,981)  </w:t>
      </w:r>
    </w:p>
    <w:p>
      <w:pPr>
        <w:pStyle w:val="Normal"/>
        <w:framePr w:w="845" w:hAnchor="page" w:vAnchor="page" w:x="11563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(32.0) </w:t>
      </w:r>
    </w:p>
    <w:p>
      <w:pPr>
        <w:pStyle w:val="Normal"/>
        <w:framePr w:w="1879" w:hAnchor="page" w:vAnchor="page" w:x="276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147" w:y="71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9,529</w:t>
      </w:r>
    </w:p>
    <w:p>
      <w:pPr>
        <w:pStyle w:val="Normal"/>
        <w:framePr w:w="864" w:hAnchor="page" w:vAnchor="page" w:x="9800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12,105</w:t>
      </w:r>
    </w:p>
    <w:p>
      <w:pPr>
        <w:pStyle w:val="Normal"/>
        <w:framePr w:w="749" w:hAnchor="page" w:vAnchor="page" w:x="11531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195.5</w:t>
      </w:r>
    </w:p>
    <w:p>
      <w:pPr>
        <w:pStyle w:val="Normal"/>
        <w:framePr w:w="2901" w:hAnchor="page" w:vAnchor="page" w:x="276" w:y="69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Profit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21" w:hAnchor="page" w:vAnchor="page" w:x="7147" w:y="68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4,137</w:t>
      </w:r>
    </w:p>
    <w:p>
      <w:pPr>
        <w:pStyle w:val="Normal"/>
        <w:framePr w:w="749" w:hAnchor="page" w:vAnchor="page" w:x="989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6,679</w:t>
      </w:r>
    </w:p>
    <w:p>
      <w:pPr>
        <w:pStyle w:val="Normal"/>
        <w:framePr w:w="749" w:hAnchor="page" w:vAnchor="page" w:x="11531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107.9</w:t>
      </w:r>
    </w:p>
    <w:p>
      <w:pPr>
        <w:pStyle w:val="Normal"/>
        <w:framePr w:w="2130" w:hAnchor="page" w:vAnchor="page" w:x="276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147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122 </w:t>
      </w:r>
    </w:p>
    <w:p>
      <w:pPr>
        <w:pStyle w:val="Normal"/>
        <w:framePr w:w="633" w:hAnchor="page" w:vAnchor="page" w:x="10041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372 </w:t>
      </w:r>
    </w:p>
    <w:p>
      <w:pPr>
        <w:pStyle w:val="Normal"/>
        <w:framePr w:w="575" w:hAnchor="page" w:vAnchor="page" w:x="11723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6.0 </w:t>
      </w:r>
    </w:p>
    <w:p>
      <w:pPr>
        <w:pStyle w:val="Normal"/>
        <w:framePr w:w="1333" w:hAnchor="page" w:vAnchor="page" w:x="276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147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(263)  </w:t>
      </w:r>
    </w:p>
    <w:p>
      <w:pPr>
        <w:pStyle w:val="Normal"/>
        <w:framePr w:w="849" w:hAnchor="page" w:vAnchor="page" w:x="9976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(490)  </w:t>
      </w:r>
    </w:p>
    <w:p>
      <w:pPr>
        <w:pStyle w:val="Normal"/>
        <w:framePr w:w="729" w:hAnchor="page" w:vAnchor="page" w:x="11659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(7.9) </w:t>
      </w:r>
    </w:p>
    <w:p>
      <w:pPr>
        <w:pStyle w:val="Normal"/>
        <w:framePr w:w="3100" w:hAnchor="page" w:vAnchor="page" w:x="276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Small and Medium Enterprises</w:t>
      </w:r>
    </w:p>
    <w:p>
      <w:pPr>
        <w:pStyle w:val="Normal"/>
        <w:framePr w:w="344" w:hAnchor="page" w:vAnchor="page" w:x="7147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2,916 </w:t>
      </w:r>
    </w:p>
    <w:p>
      <w:pPr>
        <w:pStyle w:val="Normal"/>
        <w:framePr w:w="633" w:hAnchor="page" w:vAnchor="page" w:x="10041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990 </w:t>
      </w:r>
    </w:p>
    <w:p>
      <w:pPr>
        <w:pStyle w:val="Normal"/>
        <w:framePr w:w="691" w:hAnchor="page" w:vAnchor="page" w:x="11627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16.0 </w:t>
      </w:r>
    </w:p>
    <w:p>
      <w:pPr>
        <w:pStyle w:val="Normal"/>
        <w:framePr w:w="2940" w:hAnchor="page" w:vAnchor="page" w:x="276" w:y="59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147" w:y="59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59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385 </w:t>
      </w:r>
    </w:p>
    <w:p>
      <w:pPr>
        <w:pStyle w:val="Normal"/>
        <w:framePr w:w="806" w:hAnchor="page" w:vAnchor="page" w:x="9896" w:y="59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1,339 </w:t>
      </w:r>
    </w:p>
    <w:p>
      <w:pPr>
        <w:pStyle w:val="Normal"/>
        <w:framePr w:w="691" w:hAnchor="page" w:vAnchor="page" w:x="11627" w:y="59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21.6 </w:t>
      </w:r>
    </w:p>
    <w:p>
      <w:pPr>
        <w:pStyle w:val="Normal"/>
        <w:framePr w:w="1879" w:hAnchor="page" w:vAnchor="page" w:x="276" w:y="56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147" w:y="56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165" w:y="56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16,497</w:t>
      </w:r>
    </w:p>
    <w:p>
      <w:pPr>
        <w:pStyle w:val="Normal"/>
        <w:framePr w:w="864" w:hAnchor="page" w:vAnchor="page" w:x="9800" w:y="56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20,965</w:t>
      </w:r>
    </w:p>
    <w:p>
      <w:pPr>
        <w:pStyle w:val="Normal"/>
        <w:framePr w:w="749" w:hAnchor="page" w:vAnchor="page" w:x="11531" w:y="56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338.7</w:t>
      </w:r>
    </w:p>
    <w:p>
      <w:pPr>
        <w:pStyle w:val="Normal"/>
        <w:framePr w:w="3162" w:hAnchor="page" w:vAnchor="page" w:x="276" w:y="54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Revenue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7147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165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19,657 </w:t>
      </w:r>
    </w:p>
    <w:p>
      <w:pPr>
        <w:pStyle w:val="Normal"/>
        <w:framePr w:w="922" w:hAnchor="page" w:vAnchor="page" w:x="9800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23,176 </w:t>
      </w:r>
    </w:p>
    <w:p>
      <w:pPr>
        <w:pStyle w:val="Normal"/>
        <w:framePr w:w="806" w:hAnchor="page" w:vAnchor="page" w:x="11531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374.4 </w:t>
      </w:r>
    </w:p>
    <w:p>
      <w:pPr>
        <w:pStyle w:val="Normal"/>
        <w:framePr w:w="273" w:hAnchor="page" w:vAnchor="page" w:x="7147" w:y="52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896" w:y="52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530" w:y="52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078" w:y="52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147" w:y="50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904" w:y="50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2018</w:t>
      </w:r>
    </w:p>
    <w:p>
      <w:pPr>
        <w:pStyle w:val="Normal"/>
        <w:framePr w:w="550" w:hAnchor="page" w:vAnchor="page" w:x="9539" w:y="50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11174" w:y="50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1707" w:hAnchor="page" w:vAnchor="page" w:x="7422" w:y="49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9057" w:y="49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10691" w:y="49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273" w:hAnchor="page" w:vAnchor="page" w:x="7147" w:y="47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405" w:hAnchor="page" w:vAnchor="page" w:x="8766" w:y="47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Full Year ended (unaudited)</w:t>
      </w:r>
    </w:p>
    <w:p>
      <w:pPr>
        <w:pStyle w:val="Normal"/>
        <w:framePr w:w="21" w:hAnchor="page" w:vAnchor="page" w:x="7147" w:y="45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30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147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(167)  </w:t>
      </w:r>
    </w:p>
    <w:p>
      <w:pPr>
        <w:pStyle w:val="Normal"/>
        <w:framePr w:w="849" w:hAnchor="page" w:vAnchor="page" w:x="99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(397)  </w:t>
      </w:r>
    </w:p>
    <w:p>
      <w:pPr>
        <w:pStyle w:val="Normal"/>
        <w:framePr w:w="729" w:hAnchor="page" w:vAnchor="page" w:x="11659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(6.4) </w:t>
      </w:r>
    </w:p>
    <w:p>
      <w:pPr>
        <w:pStyle w:val="Normal"/>
        <w:framePr w:w="1333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147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(584)  </w:t>
      </w:r>
    </w:p>
    <w:p>
      <w:pPr>
        <w:pStyle w:val="Normal"/>
        <w:framePr w:w="849" w:hAnchor="page" w:vAnchor="page" w:x="99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(684)  </w:t>
      </w:r>
    </w:p>
    <w:p>
      <w:pPr>
        <w:pStyle w:val="Normal"/>
        <w:framePr w:w="836" w:hAnchor="page" w:vAnchor="page" w:x="11570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(11.1) </w:t>
      </w:r>
    </w:p>
    <w:p>
      <w:pPr>
        <w:pStyle w:val="Normal"/>
        <w:framePr w:w="3100" w:hAnchor="page" w:vAnchor="page" w:x="276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Small and Medium Enterprises</w:t>
      </w:r>
    </w:p>
    <w:p>
      <w:pPr>
        <w:pStyle w:val="Normal"/>
        <w:framePr w:w="344" w:hAnchor="page" w:vAnchor="page" w:x="7147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(281)  </w:t>
      </w:r>
    </w:p>
    <w:p>
      <w:pPr>
        <w:pStyle w:val="Normal"/>
        <w:framePr w:w="633" w:hAnchor="page" w:vAnchor="page" w:x="10041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187 </w:t>
      </w:r>
    </w:p>
    <w:p>
      <w:pPr>
        <w:pStyle w:val="Normal"/>
        <w:framePr w:w="575" w:hAnchor="page" w:vAnchor="page" w:x="11723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3.0 </w:t>
      </w:r>
    </w:p>
    <w:p>
      <w:pPr>
        <w:pStyle w:val="Normal"/>
        <w:framePr w:w="2940" w:hAnchor="page" w:vAnchor="page" w:x="2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147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(538)  </w:t>
      </w:r>
    </w:p>
    <w:p>
      <w:pPr>
        <w:pStyle w:val="Normal"/>
        <w:framePr w:w="849" w:hAnchor="page" w:vAnchor="page" w:x="99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(590)  </w:t>
      </w:r>
    </w:p>
    <w:p>
      <w:pPr>
        <w:pStyle w:val="Normal"/>
        <w:framePr w:w="729" w:hAnchor="page" w:vAnchor="page" w:x="11659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(9.5) </w:t>
      </w:r>
    </w:p>
    <w:p>
      <w:pPr>
        <w:pStyle w:val="Normal"/>
        <w:framePr w:w="1879" w:hAnchor="page" w:vAnchor="page" w:x="276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147" w:y="33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2,584</w:t>
      </w:r>
    </w:p>
    <w:p>
      <w:pPr>
        <w:pStyle w:val="Normal"/>
        <w:framePr w:w="749" w:hAnchor="page" w:vAnchor="page" w:x="9896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2,652</w:t>
      </w:r>
    </w:p>
    <w:p>
      <w:pPr>
        <w:pStyle w:val="Normal"/>
        <w:framePr w:w="633" w:hAnchor="page" w:vAnchor="page" w:x="11627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42.8</w:t>
      </w:r>
    </w:p>
    <w:p>
      <w:pPr>
        <w:pStyle w:val="Normal"/>
        <w:framePr w:w="2901" w:hAnchor="page" w:vAnchor="page" w:x="276" w:y="30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Profit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21" w:hAnchor="page" w:vAnchor="page" w:x="7147" w:y="30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1,014</w:t>
      </w:r>
    </w:p>
    <w:p>
      <w:pPr>
        <w:pStyle w:val="Normal"/>
        <w:framePr w:w="749" w:hAnchor="page" w:vAnchor="page" w:x="9896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1,168</w:t>
      </w:r>
    </w:p>
    <w:p>
      <w:pPr>
        <w:pStyle w:val="Normal"/>
        <w:framePr w:w="633" w:hAnchor="page" w:vAnchor="page" w:x="11627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18.9</w:t>
      </w:r>
    </w:p>
    <w:p>
      <w:pPr>
        <w:pStyle w:val="Normal"/>
        <w:framePr w:w="2130" w:hAnchor="page" w:vAnchor="page" w:x="276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147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502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 </w:t>
      </w:r>
    </w:p>
    <w:p>
      <w:pPr>
        <w:pStyle w:val="Normal"/>
        <w:framePr w:w="633" w:hAnchor="page" w:vAnchor="page" w:x="10041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171 </w:t>
      </w:r>
    </w:p>
    <w:p>
      <w:pPr>
        <w:pStyle w:val="Normal"/>
        <w:framePr w:w="575" w:hAnchor="page" w:vAnchor="page" w:x="11723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2.8 </w:t>
      </w:r>
    </w:p>
    <w:p>
      <w:pPr>
        <w:pStyle w:val="Normal"/>
        <w:framePr w:w="1333" w:hAnchor="page" w:vAnchor="page" w:x="276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147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342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(241)  </w:t>
      </w:r>
    </w:p>
    <w:p>
      <w:pPr>
        <w:pStyle w:val="Normal"/>
        <w:framePr w:w="733" w:hAnchor="page" w:vAnchor="page" w:x="10073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(67)  </w:t>
      </w:r>
    </w:p>
    <w:p>
      <w:pPr>
        <w:pStyle w:val="Normal"/>
        <w:framePr w:w="729" w:hAnchor="page" w:vAnchor="page" w:x="11659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(1.1) </w:t>
      </w:r>
    </w:p>
    <w:p>
      <w:pPr>
        <w:pStyle w:val="Normal"/>
        <w:framePr w:w="3100" w:hAnchor="page" w:vAnchor="page" w:x="276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Small and Medium Enterprises</w:t>
      </w:r>
    </w:p>
    <w:p>
      <w:pPr>
        <w:pStyle w:val="Normal"/>
        <w:framePr w:w="344" w:hAnchor="page" w:vAnchor="page" w:x="7147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1,057 </w:t>
      </w:r>
    </w:p>
    <w:p>
      <w:pPr>
        <w:pStyle w:val="Normal"/>
        <w:framePr w:w="633" w:hAnchor="page" w:vAnchor="page" w:x="10041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193 </w:t>
      </w:r>
    </w:p>
    <w:p>
      <w:pPr>
        <w:pStyle w:val="Normal"/>
        <w:framePr w:w="575" w:hAnchor="page" w:vAnchor="page" w:x="11723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3.1 </w:t>
      </w:r>
    </w:p>
    <w:p>
      <w:pPr>
        <w:pStyle w:val="Normal"/>
        <w:framePr w:w="2940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147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40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199 </w:t>
      </w:r>
    </w:p>
    <w:p>
      <w:pPr>
        <w:pStyle w:val="Normal"/>
        <w:framePr w:w="633" w:hAnchor="page" w:vAnchor="page" w:x="10041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469 </w:t>
      </w:r>
    </w:p>
    <w:p>
      <w:pPr>
        <w:pStyle w:val="Normal"/>
        <w:framePr w:w="575" w:hAnchor="page" w:vAnchor="page" w:x="11723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7.6 </w:t>
      </w:r>
    </w:p>
    <w:p>
      <w:pPr>
        <w:pStyle w:val="Normal"/>
        <w:framePr w:w="1879" w:hAnchor="page" w:vAnchor="page" w:x="276" w:y="1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147" w:y="18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261" w:y="1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4,741</w:t>
      </w:r>
    </w:p>
    <w:p>
      <w:pPr>
        <w:pStyle w:val="Normal"/>
        <w:framePr w:w="749" w:hAnchor="page" w:vAnchor="page" w:x="9896" w:y="1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5,487</w:t>
      </w:r>
    </w:p>
    <w:p>
      <w:pPr>
        <w:pStyle w:val="Normal"/>
        <w:framePr w:w="633" w:hAnchor="page" w:vAnchor="page" w:x="11627" w:y="1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88.6</w:t>
      </w:r>
    </w:p>
    <w:p>
      <w:pPr>
        <w:pStyle w:val="Normal"/>
        <w:framePr w:w="3162" w:hAnchor="page" w:vAnchor="page" w:x="276" w:y="15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Revenue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7147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261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5,818 </w:t>
      </w:r>
    </w:p>
    <w:p>
      <w:pPr>
        <w:pStyle w:val="Normal"/>
        <w:framePr w:w="806" w:hAnchor="page" w:vAnchor="page" w:x="989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6,253 </w:t>
      </w:r>
    </w:p>
    <w:p>
      <w:pPr>
        <w:pStyle w:val="Normal"/>
        <w:framePr w:w="806" w:hAnchor="page" w:vAnchor="page" w:x="11531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101.0 </w:t>
      </w:r>
    </w:p>
    <w:p>
      <w:pPr>
        <w:pStyle w:val="Normal"/>
        <w:framePr w:w="273" w:hAnchor="page" w:vAnchor="page" w:x="7147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896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530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078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147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904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2018</w:t>
      </w:r>
    </w:p>
    <w:p>
      <w:pPr>
        <w:pStyle w:val="Normal"/>
        <w:framePr w:w="550" w:hAnchor="page" w:vAnchor="page" w:x="9539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11174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1707" w:hAnchor="page" w:vAnchor="page" w:x="7422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9057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707" w:hAnchor="page" w:vAnchor="page" w:x="10691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273" w:hAnchor="page" w:vAnchor="page" w:x="7147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8613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2760" w:hAnchor="page" w:vAnchor="page" w:x="5123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Reporting Segments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7pt;margin-top:1pt;z-index:-1677113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12.8pt;margin-top:1pt;z-index:-1677112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12.8pt;margin-top:2.45pt;z-index:-1677112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97.95pt;margin-top:1pt;z-index:-1677112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12.8pt;margin-top:1pt;z-index:-1677111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12.8pt;margin-top:78.4pt;z-index:-16771112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356.35pt;margin-top:78.4pt;z-index:-16771108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370.1pt;margin-top:78.4pt;z-index:-16771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375.9pt;margin-top:78.4pt;z-index:-1677110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33.75pt;margin-top:78.4pt;z-index:-16771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39.55pt;margin-top:78.4pt;z-index:-167710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451.85pt;margin-top:78.4pt;z-index:-167710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457.6pt;margin-top:78.4pt;z-index:-167710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15.5pt;margin-top:78.4pt;z-index:-167710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21.25pt;margin-top:78.4pt;z-index:-167710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533.55pt;margin-top:78.4pt;z-index:-1677107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540.8pt;margin-top:78.4pt;z-index:-167710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597.2pt;margin-top:78.4pt;z-index:-167710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12.8pt;margin-top:103pt;z-index:-16771060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356.35pt;margin-top:103pt;z-index:-16771056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370.1pt;margin-top:103pt;z-index:-16771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375.9pt;margin-top:103pt;z-index:-1677104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33.75pt;margin-top:103pt;z-index:-167710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439.55pt;margin-top:103pt;z-index:-167710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51.85pt;margin-top:103pt;z-index:-167710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57.6pt;margin-top:103pt;z-index:-167710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15.5pt;margin-top:103pt;z-index:-167710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21.25pt;margin-top:103pt;z-index:-167710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33.55pt;margin-top:103pt;z-index:-1677102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40.8pt;margin-top:103pt;z-index:-167710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97.2pt;margin-top:103pt;z-index:-167710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2.8pt;margin-top:126.15pt;z-index:-16771008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356.35pt;margin-top:126.15pt;z-index:-16771004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370.1pt;margin-top:126.15pt;z-index:-16771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375.9pt;margin-top:126.15pt;z-index:-1677099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433.75pt;margin-top:126.15pt;z-index:-16770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39.55pt;margin-top:126.15pt;z-index:-167709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51.85pt;margin-top:126.15pt;z-index:-167709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457.6pt;margin-top:126.15pt;z-index:-167709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15.5pt;margin-top:126.15pt;z-index:-167709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21.25pt;margin-top:126.15pt;z-index:-167709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33.55pt;margin-top:126.15pt;z-index:-1677096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40.8pt;margin-top:126.15pt;z-index:-167709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97.2pt;margin-top:126.15pt;z-index:-167709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12.8pt;margin-top:152.15pt;z-index:-16770956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356.35pt;margin-top:152.15pt;z-index:-16770952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370.1pt;margin-top:152.15pt;z-index:-16770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375.9pt;margin-top:152.15pt;z-index:-1677094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433.75pt;margin-top:152.15pt;z-index:-167709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439.55pt;margin-top:152.15pt;z-index:-167709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451.85pt;margin-top:152.15pt;z-index:-16770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457.6pt;margin-top:152.15pt;z-index:-167709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515.5pt;margin-top:152.15pt;z-index:-167709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521.25pt;margin-top:152.15pt;z-index:-167709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533.55pt;margin-top:152.15pt;z-index:-1677091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540.8pt;margin-top:152.15pt;z-index:-1677091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597.2pt;margin-top:152.15pt;z-index:-167709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12.8pt;margin-top:176.75pt;z-index:-16770904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356.35pt;margin-top:176.75pt;z-index:-16770900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370.1pt;margin-top:176.75pt;z-index:-16770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375.9pt;margin-top:176.75pt;z-index:-1677089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433.75pt;margin-top:176.75pt;z-index:-16770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439.55pt;margin-top:176.75pt;z-index:-167708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451.85pt;margin-top:176.75pt;z-index:-167708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457.6pt;margin-top:176.75pt;z-index:-1677087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15.5pt;margin-top:176.75pt;z-index:-167708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21.25pt;margin-top:176.75pt;z-index:-167708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33.55pt;margin-top:176.75pt;z-index:-1677086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40.8pt;margin-top:176.75pt;z-index:-167708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597.2pt;margin-top:176.75pt;z-index:-167708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12.8pt;margin-top:199.9pt;z-index:-16770852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56.35pt;margin-top:199.9pt;z-index:-16770848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70.1pt;margin-top:199.9pt;z-index:-16770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375.9pt;margin-top:199.9pt;z-index:-1677084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33.75pt;margin-top:199.9pt;z-index:-16770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439.55pt;margin-top:199.9pt;z-index:-167708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51.85pt;margin-top:199.9pt;z-index:-16770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457.6pt;margin-top:199.9pt;z-index:-1677082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15.5pt;margin-top:199.9pt;z-index:-167708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21.25pt;margin-top:199.9pt;z-index:-167708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33.55pt;margin-top:199.9pt;z-index:-1677081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40.8pt;margin-top:199.9pt;z-index:-1677080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97.2pt;margin-top:199.9pt;z-index:-167708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12.8pt;margin-top:270.8pt;z-index:-16770800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356.35pt;margin-top:270.8pt;z-index:-16770796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370.1pt;margin-top:270.8pt;z-index:-16770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375.9pt;margin-top:270.8pt;z-index:-1677078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433.75pt;margin-top:270.8pt;z-index:-167707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439.55pt;margin-top:270.8pt;z-index:-167707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451.85pt;margin-top:270.8pt;z-index:-167707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457.6pt;margin-top:270.8pt;z-index:-1677077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15.5pt;margin-top:270.8pt;z-index:-167707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21.25pt;margin-top:270.8pt;z-index:-167707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33.55pt;margin-top:270.8pt;z-index:-1677076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40.8pt;margin-top:270.8pt;z-index:-1677075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97.2pt;margin-top:270.8pt;z-index:-167707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12.8pt;margin-top:295.4pt;z-index:-16770748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356.35pt;margin-top:295.4pt;z-index:-16770744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370.1pt;margin-top:295.4pt;z-index:-16770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375.9pt;margin-top:295.4pt;z-index:-1677073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33.75pt;margin-top:295.4pt;z-index:-16770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39.55pt;margin-top:295.4pt;z-index:-167707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51.85pt;margin-top:295.4pt;z-index:-167707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457.6pt;margin-top:295.4pt;z-index:-1677072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15.5pt;margin-top:295.4pt;z-index:-167707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21.25pt;margin-top:295.4pt;z-index:-167707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33.55pt;margin-top:295.4pt;z-index:-1677070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540.8pt;margin-top:295.4pt;z-index:-167707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597.2pt;margin-top:295.4pt;z-index:-167707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12.8pt;margin-top:318.55pt;z-index:-16770696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356.35pt;margin-top:318.55pt;z-index:-16770692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70.1pt;margin-top:318.55pt;z-index:-16770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75.9pt;margin-top:318.55pt;z-index:-167706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433.75pt;margin-top:318.55pt;z-index:-16770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439.55pt;margin-top:318.55pt;z-index:-167706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451.85pt;margin-top:318.55pt;z-index:-167706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457.6pt;margin-top:318.55pt;z-index:-167706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515.5pt;margin-top:318.55pt;z-index:-167706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521.25pt;margin-top:318.55pt;z-index:-167706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533.55pt;margin-top:318.55pt;z-index:-1677065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40.8pt;margin-top:318.55pt;z-index:-167706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597.2pt;margin-top:318.55pt;z-index:-167706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12.8pt;margin-top:344.55pt;z-index:-16770644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356.35pt;margin-top:344.55pt;z-index:-16770640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370.1pt;margin-top:344.55pt;z-index:-16770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375.9pt;margin-top:344.55pt;z-index:-167706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433.75pt;margin-top:344.55pt;z-index:-167706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439.55pt;margin-top:344.55pt;z-index:-167706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451.85pt;margin-top:344.55pt;z-index:-167706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457.6pt;margin-top:344.55pt;z-index:-1677061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15.5pt;margin-top:344.55pt;z-index:-167706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21.25pt;margin-top:344.55pt;z-index:-167706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33.55pt;margin-top:344.55pt;z-index:-1677060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40.8pt;margin-top:344.55pt;z-index:-167706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597.2pt;margin-top:344.55pt;z-index:-167705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12.8pt;margin-top:369.15pt;z-index:-16770592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356.35pt;margin-top:369.15pt;z-index:-16770588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370.1pt;margin-top:369.15pt;z-index:-16770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375.9pt;margin-top:369.15pt;z-index:-167705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33.75pt;margin-top:369.15pt;z-index:-16770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39.55pt;margin-top:369.15pt;z-index:-167705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51.85pt;margin-top:369.15pt;z-index:-167705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57.6pt;margin-top:369.15pt;z-index:-167705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15.5pt;margin-top:369.15pt;z-index:-167705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21.25pt;margin-top:369.15pt;z-index:-167705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33.55pt;margin-top:369.15pt;z-index:-1677055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540.8pt;margin-top:369.15pt;z-index:-1677054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597.2pt;margin-top:369.15pt;z-index:-16770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12.8pt;margin-top:392.3pt;z-index:-16770540;width:345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356.35pt;margin-top:392.3pt;z-index:-16770536;width:15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370.1pt;margin-top:392.3pt;z-index:-16770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375.9pt;margin-top:392.3pt;z-index:-167705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433.75pt;margin-top:392.3pt;z-index:-167705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439.55pt;margin-top:392.3pt;z-index:-167705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451.85pt;margin-top:392.3pt;z-index:-167705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457.6pt;margin-top:392.3pt;z-index:-167705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15.5pt;margin-top:392.3pt;z-index:-167705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21.25pt;margin-top:392.3pt;z-index:-167705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33.55pt;margin-top:392.3pt;z-index:-1677050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40.8pt;margin-top:392.3pt;z-index:-167704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97.2pt;margin-top:392.3pt;z-index:-167704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370.1pt;margin-top:89.95pt;z-index:-167704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375.9pt;margin-top:89.95pt;z-index:-1677048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51.85pt;margin-top:89.95pt;z-index:-167704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57.6pt;margin-top:89.95pt;z-index:-1677047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533.55pt;margin-top:89.95pt;z-index:-1677047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540.8pt;margin-top:89.95pt;z-index:-167704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370.1pt;margin-top:149.3pt;z-index:-167704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370.1pt;margin-top:150.75pt;z-index:-167704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375.9pt;margin-top:149.3pt;z-index:-1677045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375.9pt;margin-top:150.75pt;z-index:-1677045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51.85pt;margin-top:149.3pt;z-index:-167704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51.85pt;margin-top:150.75pt;z-index:-167704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457.6pt;margin-top:149.3pt;z-index:-167704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457.6pt;margin-top:150.75pt;z-index:-1677043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533.55pt;margin-top:149.3pt;z-index:-1677043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33.55pt;margin-top:150.75pt;z-index:-1677042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40.8pt;margin-top:149.3pt;z-index:-167704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40.8pt;margin-top:150.75pt;z-index:-1677042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370.1pt;margin-top:163.75pt;z-index:-167704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375.9pt;margin-top:163.75pt;z-index:-1677041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451.85pt;margin-top:163.75pt;z-index:-167704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457.6pt;margin-top:163.75pt;z-index:-1677040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33.55pt;margin-top:163.75pt;z-index:-1677040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40.8pt;margin-top:163.75pt;z-index:-1677039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370.1pt;margin-top:223.05pt;z-index:-167703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370.1pt;margin-top:224.5pt;z-index:-167703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375.9pt;margin-top:223.05pt;z-index:-1677038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375.9pt;margin-top:224.5pt;z-index:-1677038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51.85pt;margin-top:223.05pt;z-index:-167703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51.85pt;margin-top:224.5pt;z-index:-167703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57.6pt;margin-top:223.05pt;z-index:-1677036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57.6pt;margin-top:224.5pt;z-index:-1677036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33.55pt;margin-top:223.05pt;z-index:-1677036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33.55pt;margin-top:224.5pt;z-index:-1677035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40.8pt;margin-top:223.05pt;z-index:-167703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540.8pt;margin-top:224.5pt;z-index:-1677034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370.1pt;margin-top:282.35pt;z-index:-167703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375.9pt;margin-top:282.35pt;z-index:-167703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451.85pt;margin-top:282.35pt;z-index:-167703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457.6pt;margin-top:282.35pt;z-index:-1677033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33.55pt;margin-top:282.35pt;z-index:-1677032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540.8pt;margin-top:282.35pt;z-index:-167703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370.1pt;margin-top:341.7pt;z-index:-167703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70.1pt;margin-top:343.1pt;z-index:-167703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375.9pt;margin-top:341.7pt;z-index:-1677031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375.9pt;margin-top:343.1pt;z-index:-1677030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451.85pt;margin-top:341.7pt;z-index:-167703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51.85pt;margin-top:343.1pt;z-index:-167703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457.6pt;margin-top:341.7pt;z-index:-1677029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57.6pt;margin-top:343.1pt;z-index:-1677029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533.55pt;margin-top:341.7pt;z-index:-1677028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533.55pt;margin-top:343.1pt;z-index:-16770284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540.8pt;margin-top:341.7pt;z-index:-1677028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540.8pt;margin-top:343.1pt;z-index:-167702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370.1pt;margin-top:356.15pt;z-index:-167702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375.9pt;margin-top:356.15pt;z-index:-1677026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51.85pt;margin-top:356.15pt;z-index:-167702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457.6pt;margin-top:356.15pt;z-index:-1677026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33.55pt;margin-top:356.15pt;z-index:-1677025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540.8pt;margin-top:356.15pt;z-index:-167702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370.1pt;margin-top:415.45pt;z-index:-167702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370.1pt;margin-top:416.9pt;z-index:-167702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375.9pt;margin-top:415.45pt;z-index:-167702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75.9pt;margin-top:416.9pt;z-index:-1677023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451.85pt;margin-top:415.45pt;z-index:-167702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451.85pt;margin-top:416.9pt;z-index:-167702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457.6pt;margin-top:415.45pt;z-index:-1677022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457.6pt;margin-top:416.9pt;z-index:-1677022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533.55pt;margin-top:415.45pt;z-index:-1677021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533.55pt;margin-top:416.9pt;z-index:-1677021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540.8pt;margin-top:415.45pt;z-index:-1677020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540.8pt;margin-top:416.9pt;z-index:-167702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33.55pt;margin-top:245.5pt;z-index:-16770200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533.55pt;margin-top:262.1pt;z-index:-16770196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21.25pt;margin-top:245.5pt;z-index:-16770192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515.5pt;margin-top:245.5pt;z-index:-167701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51.85pt;margin-top:245.5pt;z-index:-16770184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451.85pt;margin-top:262.1pt;z-index:-16770180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439.55pt;margin-top:245.5pt;z-index:-16770176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33.75pt;margin-top:245.5pt;z-index:-167701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370.1pt;margin-top:262.1pt;z-index:-16770168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370.1pt;margin-top:245.5pt;z-index:-16770164;width:229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33.55pt;margin-top:53.1pt;z-index:-16770160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33.55pt;margin-top:69.7pt;z-index:-16770156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21.25pt;margin-top:53.1pt;z-index:-16770152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15.5pt;margin-top:53.1pt;z-index:-167701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451.85pt;margin-top:53.1pt;z-index:-16770144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451.85pt;margin-top:69.7pt;z-index:-16770140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439.55pt;margin-top:53.1pt;z-index:-16770136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33.75pt;margin-top:53.1pt;z-index:-167701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370.1pt;margin-top:69.7pt;z-index:-16770128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370.1pt;margin-top:53.1pt;z-index:-16770124;width:229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</w:p>
    <w:p>
      <w:pPr>
        <w:pStyle w:val="Normal"/>
        <w:framePr w:w="9981" w:hAnchor="page" w:vAnchor="page" w:x="276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overdrafts provided to agents, rent of space for kiosks, cash and settlement services and advertising.</w:t>
      </w:r>
    </w:p>
    <w:p>
      <w:pPr>
        <w:pStyle w:val="Normal"/>
        <w:framePr w:w="14369" w:hAnchor="page" w:vAnchor="page" w:x="27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others. PS Other Adjusted Net Revenue primarily consists of revenue from fees for inactive accounts and unclaimed payments, interest revenue, revenue</w:t>
      </w:r>
    </w:p>
    <w:p>
      <w:pPr>
        <w:pStyle w:val="Normal"/>
        <w:framePr w:w="13780" w:hAnchor="page" w:vAnchor="page" w:x="27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merchant fees charged for a variety of payments including multi-level-marketing, utility bills, government payments, education services and many</w:t>
      </w:r>
    </w:p>
    <w:p>
      <w:pPr>
        <w:pStyle w:val="Normal"/>
        <w:framePr w:w="14230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charged for payments to MNOs, internet services providers and pay television providers. Other payment adjusted net revenue consists of consumer and</w:t>
      </w:r>
    </w:p>
    <w:p>
      <w:pPr>
        <w:pStyle w:val="Normal"/>
        <w:framePr w:w="13921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remittance companies, card-to-card transfers and certain wallet-to-wallet transfers. Telecom payment adjusted net revenue primarily consists of fees</w:t>
      </w:r>
    </w:p>
    <w:p>
      <w:pPr>
        <w:pStyle w:val="Normal"/>
        <w:framePr w:w="13523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microfinance companies. Money Remittances payment adjusted net revenue primarily consists of fees charged for transferring funds via money</w:t>
      </w:r>
    </w:p>
    <w:p>
      <w:pPr>
        <w:pStyle w:val="Normal"/>
        <w:framePr w:w="13304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 payment adjusted net revenue primarily consists of fees charged for payments accepted on behalf of our bank partners and</w:t>
      </w:r>
    </w:p>
    <w:p>
      <w:pPr>
        <w:pStyle w:val="Normal"/>
        <w:framePr w:w="13958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online games, social networks, betting, online stores, game developers, software producers, coupon websites, tickets and numerous other merchants.</w:t>
      </w:r>
    </w:p>
    <w:p>
      <w:pPr>
        <w:pStyle w:val="Normal"/>
        <w:framePr w:w="14371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 payment adjusted net revenue consists of fees charged to customers and merchants that buy and sell products and services online, including</w:t>
      </w:r>
    </w:p>
    <w:p>
      <w:pPr>
        <w:pStyle w:val="Normal"/>
        <w:framePr w:w="14119" w:hAnchor="page" w:vAnchor="page" w:x="276" w:y="37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is the Adjusted Net Revenue consisting of the merchant and consumer fees collected for the payment transactions.</w:t>
      </w:r>
    </w:p>
    <w:p>
      <w:pPr>
        <w:pStyle w:val="Normal"/>
        <w:framePr w:w="1770" w:hAnchor="page" w:vAnchor="page" w:x="276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earnings release.</w:t>
      </w:r>
    </w:p>
    <w:p>
      <w:pPr>
        <w:pStyle w:val="Normal"/>
        <w:framePr w:w="14359" w:hAnchor="page" w:vAnchor="page" w:x="276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Revenue and Net Profit in the case of Adjusted EBITDA and Adjusted Net Profit, see Reconciliation of IFRS to Non-IFRS Operating Results in this</w:t>
      </w:r>
    </w:p>
    <w:p>
      <w:pPr>
        <w:pStyle w:val="Normal"/>
        <w:framePr w:w="14321" w:hAnchor="page" w:vAnchor="page" w:x="276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performance measure, which is revenue in the case of Total Adjusted Net Revenue, PS Payment Adjusted Net Revenue and PS Other Adjusted</w:t>
      </w:r>
    </w:p>
    <w:p>
      <w:pPr>
        <w:pStyle w:val="Normal"/>
        <w:framePr w:w="13953" w:hAnchor="page" w:vAnchor="page" w:x="276" w:y="2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Adjusted Net Revenue, PS Other Adjusted Net Revenue, Adjusted EBITDA and Adjusted Net Profit to the most directly comparable IFRS</w:t>
      </w:r>
    </w:p>
    <w:p>
      <w:pPr>
        <w:pStyle w:val="Normal"/>
        <w:framePr w:w="13868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EBITDA margin, Adjusted Net Profit, and Adjusted Net Profit per share, including a quantitative reconciliation of Total Adjusted Net Revenue, PS</w:t>
      </w:r>
    </w:p>
    <w:p>
      <w:pPr>
        <w:pStyle w:val="Normal"/>
        <w:framePr w:w="14246" w:hAnchor="page" w:vAnchor="page" w:x="276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information regarding Total Adjusted Net Revenue, PS Payment Adjusted Net Revenue, PS Other Adjusted Net Revenue, Adjusted EBITDA, Adjusted</w:t>
      </w:r>
    </w:p>
    <w:p>
      <w:pPr>
        <w:pStyle w:val="Normal"/>
        <w:framePr w:w="13251" w:hAnchor="page" w:vAnchor="page" w:x="276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encourages investors and others to review our financial information in its entirety and not rely on a single financial measure. For more</w:t>
      </w:r>
    </w:p>
    <w:p>
      <w:pPr>
        <w:pStyle w:val="Normal"/>
        <w:framePr w:w="13881" w:hAnchor="page" w:vAnchor="page" w:x="276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IFRS, they are susceptible to varying calculations and may not be comparable to other similarly titled measures presented by other companies.</w:t>
      </w:r>
    </w:p>
    <w:p>
      <w:pPr>
        <w:pStyle w:val="Normal"/>
        <w:framePr w:w="13950" w:hAnchor="page" w:vAnchor="page" w:x="276" w:y="1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per share, each prepared in accordance with IFRS. Furthermore, because these non-IFRS financial measures are not determined in accordance</w:t>
      </w:r>
    </w:p>
    <w:p>
      <w:pPr>
        <w:pStyle w:val="Normal"/>
        <w:framePr w:w="14094" w:hAnchor="page" w:vAnchor="page" w:x="276" w:y="12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Adjusted Net Revenue; Net Profit, in the case of Adjusted EBITDA; and Adjusted Net Profit, or earnings per share, in the case of Adjusted Net</w:t>
      </w:r>
    </w:p>
    <w:p>
      <w:pPr>
        <w:pStyle w:val="Normal"/>
        <w:framePr w:w="14322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IFRS financial measures as substitutes for or superior to revenue, in the case of Total Adjusted Net Revenue, PS Payment Adjusted Net Revenue and PS</w:t>
      </w:r>
    </w:p>
    <w:p>
      <w:pPr>
        <w:pStyle w:val="Normal"/>
        <w:framePr w:w="14016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EBITDA margin, Adjusted Net Profit and Adjusted Net Profit per share, which are non-IFRS financial measures. You should not consider these non-</w:t>
      </w:r>
    </w:p>
    <w:p>
      <w:pPr>
        <w:pStyle w:val="Normal"/>
        <w:framePr w:w="14149" w:hAnchor="page" w:vAnchor="page" w:x="276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This release presents Total Adjusted Net Revenue, PS Payment Adjusted Net Revenue, PS Other Adjusted Net Revenue, Adjusted EBITDA, Adjusted</w:t>
      </w:r>
    </w:p>
    <w:p>
      <w:pPr>
        <w:pStyle w:val="Normal"/>
        <w:framePr w:w="7333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Non-IFRS Financial Measures and Supplemental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7pt;margin-top:1pt;z-index:-1677012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12.8pt;margin-top:1pt;z-index:-1677011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12.8pt;margin-top:2.45pt;z-index:-167701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597.95pt;margin-top:1pt;z-index:-1677010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12.8pt;margin-top:1pt;z-index:-167701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</w:p>
    <w:p>
      <w:pPr>
        <w:pStyle w:val="Normal"/>
        <w:framePr w:w="5580" w:hAnchor="page" w:vAnchor="page" w:x="739" w:y="15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December 31, 2019.</w:t>
      </w:r>
    </w:p>
    <w:p>
      <w:pPr>
        <w:pStyle w:val="Normal"/>
        <w:framePr w:w="498" w:hAnchor="page" w:vAnchor="page" w:x="276" w:y="15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5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61.9057 to U.S. $1.00, which was the official exchange rate quoted by the Central</w:t>
      </w:r>
    </w:p>
    <w:p>
      <w:pPr>
        <w:pStyle w:val="Normal"/>
        <w:framePr w:w="922" w:hAnchor="page" w:vAnchor="page" w:x="276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6973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7948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61,856 </w:t>
      </w:r>
    </w:p>
    <w:p>
      <w:pPr>
        <w:pStyle w:val="Normal"/>
        <w:framePr w:w="922" w:hAnchor="page" w:vAnchor="page" w:x="9640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62,332 </w:t>
      </w:r>
    </w:p>
    <w:p>
      <w:pPr>
        <w:pStyle w:val="Normal"/>
        <w:framePr w:w="922" w:hAnchor="page" w:vAnchor="page" w:x="11333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62,332 </w:t>
      </w:r>
    </w:p>
    <w:p>
      <w:pPr>
        <w:pStyle w:val="Normal"/>
        <w:framePr w:w="742" w:hAnchor="page" w:vAnchor="page" w:x="276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6973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7948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61,539 </w:t>
      </w:r>
    </w:p>
    <w:p>
      <w:pPr>
        <w:pStyle w:val="Normal"/>
        <w:framePr w:w="922" w:hAnchor="page" w:vAnchor="page" w:x="9640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62,069 </w:t>
      </w:r>
    </w:p>
    <w:p>
      <w:pPr>
        <w:pStyle w:val="Normal"/>
        <w:framePr w:w="922" w:hAnchor="page" w:vAnchor="page" w:x="11333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62,069 </w:t>
      </w:r>
    </w:p>
    <w:p>
      <w:pPr>
        <w:pStyle w:val="Normal"/>
        <w:framePr w:w="8381" w:hAnchor="page" w:vAnchor="page" w:x="276" w:y="14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Weighted-average number of shares used in computing Adjusted Net Profit per share     </w:t>
      </w:r>
    </w:p>
    <w:p>
      <w:pPr>
        <w:pStyle w:val="Normal"/>
        <w:framePr w:w="922" w:hAnchor="page" w:vAnchor="page" w:x="276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6973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16.40 </w:t>
      </w:r>
    </w:p>
    <w:p>
      <w:pPr>
        <w:pStyle w:val="Normal"/>
        <w:framePr w:w="806" w:hAnchor="page" w:vAnchor="page" w:x="9737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18.74 </w:t>
      </w:r>
    </w:p>
    <w:p>
      <w:pPr>
        <w:pStyle w:val="Normal"/>
        <w:framePr w:w="691" w:hAnchor="page" w:vAnchor="page" w:x="11526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0.30 </w:t>
      </w:r>
    </w:p>
    <w:p>
      <w:pPr>
        <w:pStyle w:val="Normal"/>
        <w:framePr w:w="742" w:hAnchor="page" w:vAnchor="page" w:x="276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6973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16.48 </w:t>
      </w:r>
    </w:p>
    <w:p>
      <w:pPr>
        <w:pStyle w:val="Normal"/>
        <w:framePr w:w="806" w:hAnchor="page" w:vAnchor="page" w:x="9737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18.82 </w:t>
      </w:r>
    </w:p>
    <w:p>
      <w:pPr>
        <w:pStyle w:val="Normal"/>
        <w:framePr w:w="691" w:hAnchor="page" w:vAnchor="page" w:x="11526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0.30 </w:t>
      </w:r>
    </w:p>
    <w:p>
      <w:pPr>
        <w:pStyle w:val="Normal"/>
        <w:framePr w:w="3004" w:hAnchor="page" w:vAnchor="page" w:x="276" w:y="13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per share:</w:t>
      </w:r>
    </w:p>
    <w:p>
      <w:pPr>
        <w:pStyle w:val="Normal"/>
        <w:framePr w:w="21" w:hAnchor="page" w:vAnchor="page" w:x="6973" w:y="136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64" w:hAnchor="page" w:vAnchor="page" w:x="276" w:y="134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Net Profit</w:t>
      </w:r>
    </w:p>
    <w:p>
      <w:pPr>
        <w:pStyle w:val="Normal"/>
        <w:framePr w:w="21" w:hAnchor="page" w:vAnchor="page" w:x="6973" w:y="1339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134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1,014</w:t>
      </w:r>
    </w:p>
    <w:p>
      <w:pPr>
        <w:pStyle w:val="Normal"/>
        <w:framePr w:w="749" w:hAnchor="page" w:vAnchor="page" w:x="9737" w:y="134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1,168</w:t>
      </w:r>
    </w:p>
    <w:p>
      <w:pPr>
        <w:pStyle w:val="Normal"/>
        <w:framePr w:w="633" w:hAnchor="page" w:vAnchor="page" w:x="11526" w:y="134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18.9</w:t>
      </w:r>
    </w:p>
    <w:p>
      <w:pPr>
        <w:pStyle w:val="Normal"/>
        <w:framePr w:w="3603" w:hAnchor="page" w:vAnchor="page" w:x="276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taxation of the above items</w:t>
      </w:r>
    </w:p>
    <w:p>
      <w:pPr>
        <w:pStyle w:val="Normal"/>
        <w:framePr w:w="344" w:hAnchor="page" w:vAnchor="page" w:x="6973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13" w:hAnchor="page" w:vAnchor="page" w:x="8221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(16)</w:t>
      </w:r>
    </w:p>
    <w:p>
      <w:pPr>
        <w:pStyle w:val="Normal"/>
        <w:framePr w:w="778" w:hAnchor="page" w:vAnchor="page" w:x="9824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(113) </w:t>
      </w:r>
    </w:p>
    <w:p>
      <w:pPr>
        <w:pStyle w:val="Normal"/>
        <w:framePr w:w="729" w:hAnchor="page" w:vAnchor="page" w:x="11558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(1.8) </w:t>
      </w:r>
    </w:p>
    <w:p>
      <w:pPr>
        <w:pStyle w:val="Normal"/>
        <w:framePr w:w="3139" w:hAnchor="page" w:vAnchor="page" w:x="276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intangible assets</w:t>
      </w:r>
    </w:p>
    <w:p>
      <w:pPr>
        <w:pStyle w:val="Normal"/>
        <w:framePr w:w="344" w:hAnchor="page" w:vAnchor="page" w:x="6973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881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266 </w:t>
      </w:r>
    </w:p>
    <w:p>
      <w:pPr>
        <w:pStyle w:val="Normal"/>
        <w:framePr w:w="575" w:hAnchor="page" w:vAnchor="page" w:x="11622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4.3 </w:t>
      </w:r>
    </w:p>
    <w:p>
      <w:pPr>
        <w:pStyle w:val="Normal"/>
        <w:framePr w:w="2812" w:hAnchor="page" w:vAnchor="page" w:x="469" w:y="12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secondary public offering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(7)</w:t>
      </w:r>
    </w:p>
    <w:p>
      <w:pPr>
        <w:pStyle w:val="Normal"/>
        <w:framePr w:w="344" w:hAnchor="page" w:vAnchor="page" w:x="6973" w:y="12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125" w:y="12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(125) </w:t>
      </w:r>
    </w:p>
    <w:p>
      <w:pPr>
        <w:pStyle w:val="Normal"/>
        <w:framePr w:w="555" w:hAnchor="page" w:vAnchor="page" w:x="10010" w:y="12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</w:t>
      </w:r>
    </w:p>
    <w:p>
      <w:pPr>
        <w:pStyle w:val="Normal"/>
        <w:framePr w:w="729" w:hAnchor="page" w:vAnchor="page" w:x="11558" w:y="12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(0.0) </w:t>
      </w:r>
    </w:p>
    <w:p>
      <w:pPr>
        <w:pStyle w:val="Normal"/>
        <w:framePr w:w="7507" w:hAnchor="page" w:vAnchor="page" w:x="276" w:y="12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loss/(gain) from revaluation of cash proceeds received from</w:t>
      </w:r>
    </w:p>
    <w:p>
      <w:pPr>
        <w:pStyle w:val="Normal"/>
        <w:framePr w:w="3196" w:hAnchor="page" w:vAnchor="page" w:x="276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 expenses</w:t>
      </w:r>
    </w:p>
    <w:p>
      <w:pPr>
        <w:pStyle w:val="Normal"/>
        <w:framePr w:w="344" w:hAnchor="page" w:vAnchor="page" w:x="6973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24" w:hAnchor="page" w:vAnchor="page" w:x="8196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116 </w:t>
      </w:r>
    </w:p>
    <w:p>
      <w:pPr>
        <w:pStyle w:val="Normal"/>
        <w:framePr w:w="517" w:hAnchor="page" w:vAnchor="page" w:x="9978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 </w:t>
      </w:r>
    </w:p>
    <w:p>
      <w:pPr>
        <w:pStyle w:val="Normal"/>
        <w:framePr w:w="575" w:hAnchor="page" w:vAnchor="page" w:x="11622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 </w:t>
      </w:r>
    </w:p>
    <w:p>
      <w:pPr>
        <w:pStyle w:val="Normal"/>
        <w:framePr w:w="3081" w:hAnchor="page" w:vAnchor="page" w:x="276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Form F-3 and related expenses</w:t>
      </w:r>
    </w:p>
    <w:p>
      <w:pPr>
        <w:pStyle w:val="Normal"/>
        <w:framePr w:w="344" w:hAnchor="page" w:vAnchor="page" w:x="6973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9978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 </w:t>
      </w:r>
    </w:p>
    <w:p>
      <w:pPr>
        <w:pStyle w:val="Normal"/>
        <w:framePr w:w="575" w:hAnchor="page" w:vAnchor="page" w:x="11622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1.3 </w:t>
      </w:r>
    </w:p>
    <w:p>
      <w:pPr>
        <w:pStyle w:val="Normal"/>
        <w:framePr w:w="4024" w:hAnchor="page" w:vAnchor="page" w:x="276" w:y="11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 of fair value adjustments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6973" w:y="11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1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144 </w:t>
      </w:r>
    </w:p>
    <w:p>
      <w:pPr>
        <w:pStyle w:val="Normal"/>
        <w:framePr w:w="633" w:hAnchor="page" w:vAnchor="page" w:x="9881" w:y="11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177 </w:t>
      </w:r>
    </w:p>
    <w:p>
      <w:pPr>
        <w:pStyle w:val="Normal"/>
        <w:framePr w:w="575" w:hAnchor="page" w:vAnchor="page" w:x="11622" w:y="11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2.9 </w:t>
      </w:r>
    </w:p>
    <w:p>
      <w:pPr>
        <w:pStyle w:val="Normal"/>
        <w:framePr w:w="1194" w:hAnchor="page" w:vAnchor="page" w:x="276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344" w:hAnchor="page" w:vAnchor="page" w:x="6973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895 </w:t>
      </w:r>
    </w:p>
    <w:p>
      <w:pPr>
        <w:pStyle w:val="Normal"/>
        <w:framePr w:w="633" w:hAnchor="page" w:vAnchor="page" w:x="9881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688 </w:t>
      </w:r>
    </w:p>
    <w:p>
      <w:pPr>
        <w:pStyle w:val="Normal"/>
        <w:framePr w:w="678" w:hAnchor="page" w:vAnchor="page" w:x="11536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11.1 </w:t>
      </w:r>
    </w:p>
    <w:p>
      <w:pPr>
        <w:pStyle w:val="Normal"/>
        <w:framePr w:w="2610" w:hAnchor="page" w:vAnchor="page" w:x="276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EBITDA margin</w:t>
      </w:r>
    </w:p>
    <w:p>
      <w:pPr>
        <w:pStyle w:val="Normal"/>
        <w:framePr w:w="21" w:hAnchor="page" w:vAnchor="page" w:x="6973" w:y="1128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141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25.3%</w:t>
      </w:r>
    </w:p>
    <w:p>
      <w:pPr>
        <w:pStyle w:val="Normal"/>
        <w:framePr w:w="826" w:hAnchor="page" w:vAnchor="page" w:x="9833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25.7%</w:t>
      </w:r>
    </w:p>
    <w:p>
      <w:pPr>
        <w:pStyle w:val="Normal"/>
        <w:framePr w:w="884" w:hAnchor="page" w:vAnchor="page" w:x="11526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25.7% </w:t>
      </w:r>
    </w:p>
    <w:p>
      <w:pPr>
        <w:pStyle w:val="Normal"/>
        <w:framePr w:w="2073" w:hAnchor="page" w:vAnchor="page" w:x="276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EBITDA</w:t>
      </w:r>
    </w:p>
    <w:p>
      <w:pPr>
        <w:pStyle w:val="Normal"/>
        <w:framePr w:w="21" w:hAnchor="page" w:vAnchor="page" w:x="6973" w:y="1102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1,473</w:t>
      </w:r>
    </w:p>
    <w:p>
      <w:pPr>
        <w:pStyle w:val="Normal"/>
        <w:framePr w:w="749" w:hAnchor="page" w:vAnchor="page" w:x="9737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1,609</w:t>
      </w:r>
    </w:p>
    <w:p>
      <w:pPr>
        <w:pStyle w:val="Normal"/>
        <w:framePr w:w="633" w:hAnchor="page" w:vAnchor="page" w:x="11526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26.0</w:t>
      </w:r>
    </w:p>
    <w:p>
      <w:pPr>
        <w:pStyle w:val="Normal"/>
        <w:framePr w:w="3196" w:hAnchor="page" w:vAnchor="page" w:x="276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 expenses</w:t>
      </w:r>
    </w:p>
    <w:p>
      <w:pPr>
        <w:pStyle w:val="Normal"/>
        <w:framePr w:w="344" w:hAnchor="page" w:vAnchor="page" w:x="6973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24" w:hAnchor="page" w:vAnchor="page" w:x="8196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116 </w:t>
      </w:r>
    </w:p>
    <w:p>
      <w:pPr>
        <w:pStyle w:val="Normal"/>
        <w:framePr w:w="517" w:hAnchor="page" w:vAnchor="page" w:x="9978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 </w:t>
      </w:r>
    </w:p>
    <w:p>
      <w:pPr>
        <w:pStyle w:val="Normal"/>
        <w:framePr w:w="575" w:hAnchor="page" w:vAnchor="page" w:x="11622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 </w:t>
      </w:r>
    </w:p>
    <w:p>
      <w:pPr>
        <w:pStyle w:val="Normal"/>
        <w:framePr w:w="3081" w:hAnchor="page" w:vAnchor="page" w:x="276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Form F-3 and related expenses</w:t>
      </w:r>
    </w:p>
    <w:p>
      <w:pPr>
        <w:pStyle w:val="Normal"/>
        <w:framePr w:w="344" w:hAnchor="page" w:vAnchor="page" w:x="6973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9978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 </w:t>
      </w:r>
    </w:p>
    <w:p>
      <w:pPr>
        <w:pStyle w:val="Normal"/>
        <w:framePr w:w="575" w:hAnchor="page" w:vAnchor="page" w:x="11622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1.3 </w:t>
      </w:r>
    </w:p>
    <w:p>
      <w:pPr>
        <w:pStyle w:val="Normal"/>
        <w:framePr w:w="2155" w:hAnchor="page" w:vAnchor="page" w:x="276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expenses</w:t>
      </w:r>
    </w:p>
    <w:p>
      <w:pPr>
        <w:pStyle w:val="Normal"/>
        <w:framePr w:w="344" w:hAnchor="page" w:vAnchor="page" w:x="6973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163 </w:t>
      </w:r>
    </w:p>
    <w:p>
      <w:pPr>
        <w:pStyle w:val="Normal"/>
        <w:framePr w:w="633" w:hAnchor="page" w:vAnchor="page" w:x="9881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277 </w:t>
      </w:r>
    </w:p>
    <w:p>
      <w:pPr>
        <w:pStyle w:val="Normal"/>
        <w:framePr w:w="575" w:hAnchor="page" w:vAnchor="page" w:x="11622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4.5 </w:t>
      </w:r>
    </w:p>
    <w:p>
      <w:pPr>
        <w:pStyle w:val="Normal"/>
        <w:framePr w:w="1815" w:hAnchor="page" w:vAnchor="page" w:x="276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expenses</w:t>
      </w:r>
    </w:p>
    <w:p>
      <w:pPr>
        <w:pStyle w:val="Normal"/>
        <w:framePr w:w="344" w:hAnchor="page" w:vAnchor="page" w:x="6973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5" w:hAnchor="page" w:vAnchor="page" w:x="8317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(3) </w:t>
      </w:r>
    </w:p>
    <w:p>
      <w:pPr>
        <w:pStyle w:val="Normal"/>
        <w:framePr w:w="517" w:hAnchor="page" w:vAnchor="page" w:x="9978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38 </w:t>
      </w:r>
    </w:p>
    <w:p>
      <w:pPr>
        <w:pStyle w:val="Normal"/>
        <w:framePr w:w="575" w:hAnchor="page" w:vAnchor="page" w:x="11622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 </w:t>
      </w:r>
    </w:p>
    <w:p>
      <w:pPr>
        <w:pStyle w:val="Normal"/>
        <w:framePr w:w="3293" w:hAnchor="page" w:vAnchor="page" w:x="276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6973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881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266 </w:t>
      </w:r>
    </w:p>
    <w:p>
      <w:pPr>
        <w:pStyle w:val="Normal"/>
        <w:framePr w:w="575" w:hAnchor="page" w:vAnchor="page" w:x="11622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4.3 </w:t>
      </w:r>
    </w:p>
    <w:p>
      <w:pPr>
        <w:pStyle w:val="Normal"/>
        <w:framePr w:w="3068" w:hAnchor="page" w:vAnchor="page" w:x="276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formation of associate</w:t>
      </w:r>
    </w:p>
    <w:p>
      <w:pPr>
        <w:pStyle w:val="Normal"/>
        <w:framePr w:w="344" w:hAnchor="page" w:vAnchor="page" w:x="6973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285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 </w:t>
      </w:r>
    </w:p>
    <w:p>
      <w:pPr>
        <w:pStyle w:val="Normal"/>
        <w:framePr w:w="787" w:hAnchor="page" w:vAnchor="page" w:x="9817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(180) </w:t>
      </w:r>
    </w:p>
    <w:p>
      <w:pPr>
        <w:pStyle w:val="Normal"/>
        <w:framePr w:w="729" w:hAnchor="page" w:vAnchor="page" w:x="11558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(2.9) </w:t>
      </w:r>
    </w:p>
    <w:p>
      <w:pPr>
        <w:pStyle w:val="Normal"/>
        <w:framePr w:w="2297" w:hAnchor="page" w:vAnchor="page" w:x="27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6973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430 </w:t>
      </w:r>
    </w:p>
    <w:p>
      <w:pPr>
        <w:pStyle w:val="Normal"/>
        <w:framePr w:w="633" w:hAnchor="page" w:vAnchor="page" w:x="9881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235 </w:t>
      </w:r>
    </w:p>
    <w:p>
      <w:pPr>
        <w:pStyle w:val="Normal"/>
        <w:framePr w:w="575" w:hAnchor="page" w:vAnchor="page" w:x="11622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3.8 </w:t>
      </w:r>
    </w:p>
    <w:p>
      <w:pPr>
        <w:pStyle w:val="Normal"/>
        <w:framePr w:w="2335" w:hAnchor="page" w:vAnchor="page" w:x="276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6973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125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(505) </w:t>
      </w:r>
    </w:p>
    <w:p>
      <w:pPr>
        <w:pStyle w:val="Normal"/>
        <w:framePr w:w="778" w:hAnchor="page" w:vAnchor="page" w:x="9824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(211) </w:t>
      </w:r>
    </w:p>
    <w:p>
      <w:pPr>
        <w:pStyle w:val="Normal"/>
        <w:framePr w:w="729" w:hAnchor="page" w:vAnchor="page" w:x="11558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(3.4) </w:t>
      </w:r>
    </w:p>
    <w:p>
      <w:pPr>
        <w:pStyle w:val="Normal"/>
        <w:framePr w:w="1494" w:hAnchor="page" w:vAnchor="page" w:x="276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</w:t>
      </w:r>
    </w:p>
    <w:p>
      <w:pPr>
        <w:pStyle w:val="Normal"/>
        <w:framePr w:w="344" w:hAnchor="page" w:vAnchor="page" w:x="6973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109 </w:t>
      </w:r>
    </w:p>
    <w:p>
      <w:pPr>
        <w:pStyle w:val="Normal"/>
        <w:framePr w:w="517" w:hAnchor="page" w:vAnchor="page" w:x="9978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 </w:t>
      </w:r>
    </w:p>
    <w:p>
      <w:pPr>
        <w:pStyle w:val="Normal"/>
        <w:framePr w:w="575" w:hAnchor="page" w:vAnchor="page" w:x="11622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1.6 </w:t>
      </w:r>
    </w:p>
    <w:p>
      <w:pPr>
        <w:pStyle w:val="Normal"/>
        <w:framePr w:w="3042" w:hAnchor="page" w:vAnchor="page" w:x="276" w:y="86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6973" w:y="86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86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241 </w:t>
      </w:r>
    </w:p>
    <w:p>
      <w:pPr>
        <w:pStyle w:val="Normal"/>
        <w:framePr w:w="633" w:hAnchor="page" w:vAnchor="page" w:x="9881" w:y="86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245 </w:t>
      </w:r>
    </w:p>
    <w:p>
      <w:pPr>
        <w:pStyle w:val="Normal"/>
        <w:framePr w:w="575" w:hAnchor="page" w:vAnchor="page" w:x="11622" w:y="86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4.0 </w:t>
      </w:r>
    </w:p>
    <w:p>
      <w:pPr>
        <w:pStyle w:val="Normal"/>
        <w:framePr w:w="691" w:hAnchor="page" w:vAnchor="page" w:x="27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Plus:</w:t>
      </w:r>
    </w:p>
    <w:p>
      <w:pPr>
        <w:pStyle w:val="Normal"/>
        <w:framePr w:w="21" w:hAnchor="page" w:vAnchor="page" w:x="6973" w:y="84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207" w:hAnchor="page" w:vAnchor="page" w:x="276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6973" w:y="81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895</w:t>
      </w:r>
    </w:p>
    <w:p>
      <w:pPr>
        <w:pStyle w:val="Normal"/>
        <w:framePr w:w="575" w:hAnchor="page" w:vAnchor="page" w:x="9881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688</w:t>
      </w:r>
    </w:p>
    <w:p>
      <w:pPr>
        <w:pStyle w:val="Normal"/>
        <w:framePr w:w="633" w:hAnchor="page" w:vAnchor="page" w:x="11536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11.1</w:t>
      </w:r>
    </w:p>
    <w:p>
      <w:pPr>
        <w:pStyle w:val="Normal"/>
        <w:framePr w:w="2951" w:hAnchor="page" w:vAnchor="page" w:x="276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Revenue</w:t>
      </w:r>
    </w:p>
    <w:p>
      <w:pPr>
        <w:pStyle w:val="Normal"/>
        <w:framePr w:w="21" w:hAnchor="page" w:vAnchor="page" w:x="6973" w:y="78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5,818</w:t>
      </w:r>
    </w:p>
    <w:p>
      <w:pPr>
        <w:pStyle w:val="Normal"/>
        <w:framePr w:w="749" w:hAnchor="page" w:vAnchor="page" w:x="9737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6,253</w:t>
      </w:r>
    </w:p>
    <w:p>
      <w:pPr>
        <w:pStyle w:val="Normal"/>
        <w:framePr w:w="749" w:hAnchor="page" w:vAnchor="page" w:x="11429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101.0</w:t>
      </w:r>
    </w:p>
    <w:p>
      <w:pPr>
        <w:pStyle w:val="Normal"/>
        <w:framePr w:w="4675" w:hAnchor="page" w:vAnchor="page" w:x="276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CategoryNet Revenue</w:t>
      </w:r>
    </w:p>
    <w:p>
      <w:pPr>
        <w:pStyle w:val="Normal"/>
        <w:framePr w:w="21" w:hAnchor="page" w:vAnchor="page" w:x="6973" w:y="76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285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62</w:t>
      </w:r>
    </w:p>
    <w:p>
      <w:pPr>
        <w:pStyle w:val="Normal"/>
        <w:framePr w:w="575" w:hAnchor="page" w:vAnchor="page" w:x="9881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171</w:t>
      </w:r>
    </w:p>
    <w:p>
      <w:pPr>
        <w:pStyle w:val="Normal"/>
        <w:framePr w:w="517" w:hAnchor="page" w:vAnchor="page" w:x="11622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2.8</w:t>
      </w:r>
    </w:p>
    <w:p>
      <w:pPr>
        <w:pStyle w:val="Normal"/>
        <w:framePr w:w="6942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CO revenue (exclusive of depreciation and amortization)</w:t>
      </w:r>
    </w:p>
    <w:p>
      <w:pPr>
        <w:pStyle w:val="Normal"/>
        <w:framePr w:w="344" w:hAnchor="page" w:vAnchor="page" w:x="6973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285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 </w:t>
      </w:r>
    </w:p>
    <w:p>
      <w:pPr>
        <w:pStyle w:val="Normal"/>
        <w:framePr w:w="517" w:hAnchor="page" w:vAnchor="page" w:x="9978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 </w:t>
      </w:r>
    </w:p>
    <w:p>
      <w:pPr>
        <w:pStyle w:val="Normal"/>
        <w:framePr w:w="575" w:hAnchor="page" w:vAnchor="page" w:x="11622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 </w:t>
      </w:r>
    </w:p>
    <w:p>
      <w:pPr>
        <w:pStyle w:val="Normal"/>
        <w:framePr w:w="4328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CategoryRevenue</w:t>
      </w:r>
    </w:p>
    <w:p>
      <w:pPr>
        <w:pStyle w:val="Normal"/>
        <w:framePr w:w="21" w:hAnchor="page" w:vAnchor="page" w:x="6973" w:y="71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285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84</w:t>
      </w:r>
    </w:p>
    <w:p>
      <w:pPr>
        <w:pStyle w:val="Normal"/>
        <w:framePr w:w="575" w:hAnchor="page" w:vAnchor="page" w:x="9881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245</w:t>
      </w:r>
    </w:p>
    <w:p>
      <w:pPr>
        <w:pStyle w:val="Normal"/>
        <w:framePr w:w="517" w:hAnchor="page" w:vAnchor="page" w:x="11622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4.0</w:t>
      </w:r>
    </w:p>
    <w:p>
      <w:pPr>
        <w:pStyle w:val="Normal"/>
        <w:framePr w:w="2734" w:hAnchor="page" w:vAnchor="page" w:x="276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Net Revenue</w:t>
      </w:r>
    </w:p>
    <w:p>
      <w:pPr>
        <w:pStyle w:val="Normal"/>
        <w:framePr w:w="21" w:hAnchor="page" w:vAnchor="page" w:x="6973" w:y="685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125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(241)</w:t>
      </w:r>
    </w:p>
    <w:p>
      <w:pPr>
        <w:pStyle w:val="Normal"/>
        <w:framePr w:w="614" w:hAnchor="page" w:vAnchor="page" w:x="9913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(67)</w:t>
      </w:r>
    </w:p>
    <w:p>
      <w:pPr>
        <w:pStyle w:val="Normal"/>
        <w:framePr w:w="729" w:hAnchor="page" w:vAnchor="page" w:x="11558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(1.1) </w:t>
      </w:r>
    </w:p>
    <w:p>
      <w:pPr>
        <w:pStyle w:val="Normal"/>
        <w:framePr w:w="7726" w:hAnchor="page" w:vAnchor="page" w:x="27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Rocketbank revenue (exclusive of depreciation and amortization)</w:t>
      </w:r>
    </w:p>
    <w:p>
      <w:pPr>
        <w:pStyle w:val="Normal"/>
        <w:framePr w:w="344" w:hAnchor="page" w:vAnchor="page" w:x="6973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412 </w:t>
      </w:r>
    </w:p>
    <w:p>
      <w:pPr>
        <w:pStyle w:val="Normal"/>
        <w:framePr w:w="633" w:hAnchor="page" w:vAnchor="page" w:x="9881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449 </w:t>
      </w:r>
    </w:p>
    <w:p>
      <w:pPr>
        <w:pStyle w:val="Normal"/>
        <w:framePr w:w="575" w:hAnchor="page" w:vAnchor="page" w:x="11622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7.3 </w:t>
      </w:r>
    </w:p>
    <w:p>
      <w:pPr>
        <w:pStyle w:val="Normal"/>
        <w:framePr w:w="2330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Revenue</w:t>
      </w:r>
    </w:p>
    <w:p>
      <w:pPr>
        <w:pStyle w:val="Normal"/>
        <w:framePr w:w="21" w:hAnchor="page" w:vAnchor="page" w:x="6973" w:y="63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173</w:t>
      </w:r>
    </w:p>
    <w:p>
      <w:pPr>
        <w:pStyle w:val="Normal"/>
        <w:framePr w:w="575" w:hAnchor="page" w:vAnchor="page" w:x="9881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382</w:t>
      </w:r>
    </w:p>
    <w:p>
      <w:pPr>
        <w:pStyle w:val="Normal"/>
        <w:framePr w:w="517" w:hAnchor="page" w:vAnchor="page" w:x="11622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6.2</w:t>
      </w:r>
    </w:p>
    <w:p>
      <w:pPr>
        <w:pStyle w:val="Normal"/>
        <w:framePr w:w="2040" w:hAnchor="page" w:vAnchor="page" w:x="276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SME Net Revenue</w:t>
      </w:r>
    </w:p>
    <w:p>
      <w:pPr>
        <w:pStyle w:val="Normal"/>
        <w:framePr w:w="21" w:hAnchor="page" w:vAnchor="page" w:x="6973" w:y="610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1,057</w:t>
      </w:r>
    </w:p>
    <w:p>
      <w:pPr>
        <w:pStyle w:val="Normal"/>
        <w:framePr w:w="575" w:hAnchor="page" w:vAnchor="page" w:x="9881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193</w:t>
      </w:r>
    </w:p>
    <w:p>
      <w:pPr>
        <w:pStyle w:val="Normal"/>
        <w:framePr w:w="517" w:hAnchor="page" w:vAnchor="page" w:x="11622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3.1</w:t>
      </w:r>
    </w:p>
    <w:p>
      <w:pPr>
        <w:pStyle w:val="Normal"/>
        <w:framePr w:w="7096" w:hAnchor="page" w:vAnchor="page" w:x="276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SME revenue (exclusive of depreciation and amortization)</w:t>
      </w:r>
    </w:p>
    <w:p>
      <w:pPr>
        <w:pStyle w:val="Normal"/>
        <w:framePr w:w="344" w:hAnchor="page" w:vAnchor="page" w:x="6973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285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 </w:t>
      </w:r>
    </w:p>
    <w:p>
      <w:pPr>
        <w:pStyle w:val="Normal"/>
        <w:framePr w:w="517" w:hAnchor="page" w:vAnchor="page" w:x="9978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 </w:t>
      </w:r>
    </w:p>
    <w:p>
      <w:pPr>
        <w:pStyle w:val="Normal"/>
        <w:framePr w:w="575" w:hAnchor="page" w:vAnchor="page" w:x="11622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0.8 </w:t>
      </w:r>
    </w:p>
    <w:p>
      <w:pPr>
        <w:pStyle w:val="Normal"/>
        <w:framePr w:w="1635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SME Revenue</w:t>
      </w:r>
    </w:p>
    <w:p>
      <w:pPr>
        <w:pStyle w:val="Normal"/>
        <w:framePr w:w="21" w:hAnchor="page" w:vAnchor="page" w:x="6973" w:y="56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1,085</w:t>
      </w:r>
    </w:p>
    <w:p>
      <w:pPr>
        <w:pStyle w:val="Normal"/>
        <w:framePr w:w="575" w:hAnchor="page" w:vAnchor="page" w:x="9881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242</w:t>
      </w:r>
    </w:p>
    <w:p>
      <w:pPr>
        <w:pStyle w:val="Normal"/>
        <w:framePr w:w="517" w:hAnchor="page" w:vAnchor="page" w:x="1162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3.9</w:t>
      </w:r>
    </w:p>
    <w:p>
      <w:pPr>
        <w:pStyle w:val="Normal"/>
        <w:framePr w:w="5324" w:hAnchor="page" w:vAnchor="page" w:x="276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Net Revenue</w:t>
      </w:r>
    </w:p>
    <w:p>
      <w:pPr>
        <w:pStyle w:val="Normal"/>
        <w:framePr w:w="21" w:hAnchor="page" w:vAnchor="page" w:x="6973" w:y="53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199</w:t>
      </w:r>
    </w:p>
    <w:p>
      <w:pPr>
        <w:pStyle w:val="Normal"/>
        <w:framePr w:w="575" w:hAnchor="page" w:vAnchor="page" w:x="9881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469</w:t>
      </w:r>
    </w:p>
    <w:p>
      <w:pPr>
        <w:pStyle w:val="Normal"/>
        <w:framePr w:w="517" w:hAnchor="page" w:vAnchor="page" w:x="11622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7.6</w:t>
      </w:r>
    </w:p>
    <w:p>
      <w:pPr>
        <w:pStyle w:val="Normal"/>
        <w:framePr w:w="7032" w:hAnchor="page" w:vAnchor="page" w:x="276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CFS revenue (exclusive of depreciation and amortization)</w:t>
      </w:r>
    </w:p>
    <w:p>
      <w:pPr>
        <w:pStyle w:val="Normal"/>
        <w:framePr w:w="344" w:hAnchor="page" w:vAnchor="page" w:x="6973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285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 </w:t>
      </w:r>
    </w:p>
    <w:p>
      <w:pPr>
        <w:pStyle w:val="Normal"/>
        <w:framePr w:w="517" w:hAnchor="page" w:vAnchor="page" w:x="9978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 </w:t>
      </w:r>
    </w:p>
    <w:p>
      <w:pPr>
        <w:pStyle w:val="Normal"/>
        <w:framePr w:w="575" w:hAnchor="page" w:vAnchor="page" w:x="11622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1.3 </w:t>
      </w:r>
    </w:p>
    <w:p>
      <w:pPr>
        <w:pStyle w:val="Normal"/>
        <w:framePr w:w="4919" w:hAnchor="page" w:vAnchor="page" w:x="27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Revenue</w:t>
      </w:r>
    </w:p>
    <w:p>
      <w:pPr>
        <w:pStyle w:val="Normal"/>
        <w:framePr w:w="21" w:hAnchor="page" w:vAnchor="page" w:x="6973" w:y="48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252</w:t>
      </w:r>
    </w:p>
    <w:p>
      <w:pPr>
        <w:pStyle w:val="Normal"/>
        <w:framePr w:w="575" w:hAnchor="page" w:vAnchor="page" w:x="9881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550</w:t>
      </w:r>
    </w:p>
    <w:p>
      <w:pPr>
        <w:pStyle w:val="Normal"/>
        <w:framePr w:w="517" w:hAnchor="page" w:vAnchor="page" w:x="11622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8.9</w:t>
      </w:r>
    </w:p>
    <w:p>
      <w:pPr>
        <w:pStyle w:val="Normal"/>
        <w:framePr w:w="4302" w:hAnchor="page" w:vAnchor="page" w:x="276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Net Revenue</w:t>
      </w:r>
    </w:p>
    <w:p>
      <w:pPr>
        <w:pStyle w:val="Normal"/>
        <w:framePr w:w="21" w:hAnchor="page" w:vAnchor="page" w:x="6973" w:y="45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4,741</w:t>
      </w:r>
    </w:p>
    <w:p>
      <w:pPr>
        <w:pStyle w:val="Normal"/>
        <w:framePr w:w="749" w:hAnchor="page" w:vAnchor="page" w:x="9737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5,487</w:t>
      </w:r>
    </w:p>
    <w:p>
      <w:pPr>
        <w:pStyle w:val="Normal"/>
        <w:framePr w:w="633" w:hAnchor="page" w:vAnchor="page" w:x="11526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88.6</w:t>
      </w:r>
    </w:p>
    <w:p>
      <w:pPr>
        <w:pStyle w:val="Normal"/>
        <w:framePr w:w="3171" w:hAnchor="page" w:vAnchor="page" w:x="662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Other Adjusted Net Revenue</w:t>
      </w:r>
    </w:p>
    <w:p>
      <w:pPr>
        <w:pStyle w:val="Normal"/>
        <w:framePr w:w="21" w:hAnchor="page" w:vAnchor="page" w:x="6973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623</w:t>
      </w:r>
    </w:p>
    <w:p>
      <w:pPr>
        <w:pStyle w:val="Normal"/>
        <w:framePr w:w="575" w:hAnchor="page" w:vAnchor="page" w:x="9881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647</w:t>
      </w:r>
    </w:p>
    <w:p>
      <w:pPr>
        <w:pStyle w:val="Normal"/>
        <w:framePr w:w="633" w:hAnchor="page" w:vAnchor="page" w:x="1152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10.4</w:t>
      </w:r>
    </w:p>
    <w:p>
      <w:pPr>
        <w:pStyle w:val="Normal"/>
        <w:framePr w:w="7906" w:hAnchor="page" w:vAnchor="page" w:x="662" w:y="4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Other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(5)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156 </w:t>
      </w:r>
    </w:p>
    <w:p>
      <w:pPr>
        <w:pStyle w:val="Normal"/>
        <w:framePr w:w="633" w:hAnchor="page" w:vAnchor="page" w:x="988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296 </w:t>
      </w:r>
    </w:p>
    <w:p>
      <w:pPr>
        <w:pStyle w:val="Normal"/>
        <w:framePr w:w="575" w:hAnchor="page" w:vAnchor="page" w:x="11622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4.8 </w:t>
      </w:r>
    </w:p>
    <w:p>
      <w:pPr>
        <w:pStyle w:val="Normal"/>
        <w:framePr w:w="2205" w:hAnchor="page" w:vAnchor="page" w:x="662" w:y="38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PS Other Revenue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(4)</w:t>
      </w:r>
    </w:p>
    <w:p>
      <w:pPr>
        <w:pStyle w:val="Normal"/>
        <w:framePr w:w="21" w:hAnchor="page" w:vAnchor="page" w:x="6973" w:y="38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779</w:t>
      </w:r>
    </w:p>
    <w:p>
      <w:pPr>
        <w:pStyle w:val="Normal"/>
        <w:framePr w:w="575" w:hAnchor="page" w:vAnchor="page" w:x="9881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943</w:t>
      </w:r>
    </w:p>
    <w:p>
      <w:pPr>
        <w:pStyle w:val="Normal"/>
        <w:framePr w:w="633" w:hAnchor="page" w:vAnchor="page" w:x="1152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15.2</w:t>
      </w:r>
    </w:p>
    <w:p>
      <w:pPr>
        <w:pStyle w:val="Normal"/>
        <w:framePr w:w="3440" w:hAnchor="page" w:vAnchor="page" w:x="662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Payment Adjusted Net Revenue</w:t>
      </w:r>
    </w:p>
    <w:p>
      <w:pPr>
        <w:pStyle w:val="Normal"/>
        <w:framePr w:w="21" w:hAnchor="page" w:vAnchor="page" w:x="6973" w:y="35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59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4,118</w:t>
      </w:r>
    </w:p>
    <w:p>
      <w:pPr>
        <w:pStyle w:val="Normal"/>
        <w:framePr w:w="749" w:hAnchor="page" w:vAnchor="page" w:x="9737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4,840</w:t>
      </w:r>
    </w:p>
    <w:p>
      <w:pPr>
        <w:pStyle w:val="Normal"/>
        <w:framePr w:w="633" w:hAnchor="page" w:vAnchor="page" w:x="11526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78.2</w:t>
      </w:r>
    </w:p>
    <w:p>
      <w:pPr>
        <w:pStyle w:val="Normal"/>
        <w:framePr w:w="1686" w:hAnchor="page" w:vAnchor="page" w:x="854" w:y="33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</w:t>
      </w:r>
    </w:p>
    <w:p>
      <w:pPr>
        <w:pStyle w:val="Normal"/>
        <w:framePr w:w="344" w:hAnchor="page" w:vAnchor="page" w:x="6973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2,790 </w:t>
      </w:r>
    </w:p>
    <w:p>
      <w:pPr>
        <w:pStyle w:val="Normal"/>
        <w:framePr w:w="806" w:hAnchor="page" w:vAnchor="page" w:x="9737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3,488 </w:t>
      </w:r>
    </w:p>
    <w:p>
      <w:pPr>
        <w:pStyle w:val="Normal"/>
        <w:framePr w:w="691" w:hAnchor="page" w:vAnchor="page" w:x="11526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56.3 </w:t>
      </w:r>
    </w:p>
    <w:p>
      <w:pPr>
        <w:pStyle w:val="Normal"/>
        <w:framePr w:w="6519" w:hAnchor="page" w:vAnchor="page" w:x="662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Payment Revenue (exclusive of depreciation and</w:t>
      </w:r>
    </w:p>
    <w:p>
      <w:pPr>
        <w:pStyle w:val="Normal"/>
        <w:framePr w:w="2463" w:hAnchor="page" w:vAnchor="page" w:x="662" w:y="2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PS Payment Revenue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6973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6,908 </w:t>
      </w:r>
    </w:p>
    <w:p>
      <w:pPr>
        <w:pStyle w:val="Normal"/>
        <w:framePr w:w="806" w:hAnchor="page" w:vAnchor="page" w:x="9737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8,328 </w:t>
      </w:r>
    </w:p>
    <w:p>
      <w:pPr>
        <w:pStyle w:val="Normal"/>
        <w:framePr w:w="806" w:hAnchor="page" w:vAnchor="page" w:x="11429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134.5 </w:t>
      </w:r>
    </w:p>
    <w:p>
      <w:pPr>
        <w:pStyle w:val="Normal"/>
        <w:framePr w:w="948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</w:t>
      </w:r>
    </w:p>
    <w:p>
      <w:pPr>
        <w:pStyle w:val="Normal"/>
        <w:framePr w:w="3409" w:hAnchor="page" w:vAnchor="page" w:x="58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ment Services Segment Revenue</w:t>
      </w:r>
    </w:p>
    <w:p>
      <w:pPr>
        <w:pStyle w:val="Normal"/>
        <w:framePr w:w="344" w:hAnchor="page" w:vAnchor="page" w:x="697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7,687 </w:t>
      </w:r>
    </w:p>
    <w:p>
      <w:pPr>
        <w:pStyle w:val="Normal"/>
        <w:framePr w:w="806" w:hAnchor="page" w:vAnchor="page" w:x="9737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9,271 </w:t>
      </w:r>
    </w:p>
    <w:p>
      <w:pPr>
        <w:pStyle w:val="Normal"/>
        <w:framePr w:w="806" w:hAnchor="page" w:vAnchor="page" w:x="11429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149.8 </w:t>
      </w:r>
    </w:p>
    <w:p>
      <w:pPr>
        <w:pStyle w:val="Normal"/>
        <w:framePr w:w="2387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6973" w:y="24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002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Adjusted Net Revenue</w:t>
      </w:r>
    </w:p>
    <w:p>
      <w:pPr>
        <w:pStyle w:val="Normal"/>
        <w:framePr w:w="21" w:hAnchor="page" w:vAnchor="page" w:x="6973" w:y="21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5,818</w:t>
      </w:r>
    </w:p>
    <w:p>
      <w:pPr>
        <w:pStyle w:val="Normal"/>
        <w:framePr w:w="749" w:hAnchor="page" w:vAnchor="page" w:x="9737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6,253</w:t>
      </w:r>
    </w:p>
    <w:p>
      <w:pPr>
        <w:pStyle w:val="Normal"/>
        <w:framePr w:w="749" w:hAnchor="page" w:vAnchor="page" w:x="11429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101.0</w:t>
      </w:r>
    </w:p>
    <w:p>
      <w:pPr>
        <w:pStyle w:val="Normal"/>
        <w:framePr w:w="6563" w:hAnchor="page" w:vAnchor="page" w:x="27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revenue (exclusive of depreciation and amortization)</w:t>
      </w:r>
    </w:p>
    <w:p>
      <w:pPr>
        <w:pStyle w:val="Normal"/>
        <w:framePr w:w="344" w:hAnchor="page" w:vAnchor="page" w:x="6973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3,463 </w:t>
      </w:r>
    </w:p>
    <w:p>
      <w:pPr>
        <w:pStyle w:val="Normal"/>
        <w:framePr w:w="806" w:hAnchor="page" w:vAnchor="page" w:x="9737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4,437 </w:t>
      </w:r>
    </w:p>
    <w:p>
      <w:pPr>
        <w:pStyle w:val="Normal"/>
        <w:framePr w:w="691" w:hAnchor="page" w:vAnchor="page" w:x="1152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71.7 </w:t>
      </w:r>
    </w:p>
    <w:p>
      <w:pPr>
        <w:pStyle w:val="Normal"/>
        <w:framePr w:w="1076" w:hAnchor="page" w:vAnchor="page" w:x="276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344" w:hAnchor="page" w:vAnchor="page" w:x="697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9,281 </w:t>
      </w:r>
    </w:p>
    <w:p>
      <w:pPr>
        <w:pStyle w:val="Normal"/>
        <w:framePr w:w="922" w:hAnchor="page" w:vAnchor="page" w:x="9640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10,690 </w:t>
      </w:r>
    </w:p>
    <w:p>
      <w:pPr>
        <w:pStyle w:val="Normal"/>
        <w:framePr w:w="806" w:hAnchor="page" w:vAnchor="page" w:x="11429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172.7 </w:t>
      </w:r>
    </w:p>
    <w:p>
      <w:pPr>
        <w:pStyle w:val="Normal"/>
        <w:framePr w:w="273" w:hAnchor="page" w:vAnchor="page" w:x="697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69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386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010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697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71" w:hAnchor="page" w:vAnchor="page" w:x="7235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2018</w:t>
      </w:r>
    </w:p>
    <w:p>
      <w:pPr>
        <w:pStyle w:val="Normal"/>
        <w:framePr w:w="1671" w:hAnchor="page" w:vAnchor="page" w:x="892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2019</w:t>
      </w:r>
    </w:p>
    <w:p>
      <w:pPr>
        <w:pStyle w:val="Normal"/>
        <w:framePr w:w="1671" w:hAnchor="page" w:vAnchor="page" w:x="10620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2010</w:t>
      </w:r>
    </w:p>
    <w:p>
      <w:pPr>
        <w:pStyle w:val="Normal"/>
        <w:framePr w:w="273" w:hAnchor="page" w:vAnchor="page" w:x="6973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8468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652" w:hAnchor="page" w:vAnchor="page" w:x="3918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Reconciliation of IFRS to Non-IFRS Operating Results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7pt;margin-top:1pt;z-index:-1677010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12.8pt;margin-top:1pt;z-index:-1677009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12.8pt;margin-top:2.45pt;z-index:-167700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597.95pt;margin-top:1pt;z-index:-1677008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12.8pt;margin-top:1pt;z-index:-167700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12.8pt;margin-top:82pt;z-index:-1677008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47.65pt;margin-top:82pt;z-index:-1677007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60.7pt;margin-top:82pt;z-index:-167700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66.5pt;margin-top:82pt;z-index:-167700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422.9pt;margin-top:82pt;z-index:-167700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33.75pt;margin-top:82pt;z-index:-1677006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445.3pt;margin-top:82pt;z-index:-167700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451.1pt;margin-top:82pt;z-index:-167700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507.5pt;margin-top:82pt;z-index:-167700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18.35pt;margin-top:82pt;z-index:-1677004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529.95pt;margin-top:82pt;z-index:-167700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35.75pt;margin-top:82pt;z-index:-1677003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92.15pt;margin-top:82pt;z-index:-167700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12.8pt;margin-top:106.6pt;z-index:-1677002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47.65pt;margin-top:106.6pt;z-index:-1677002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360.7pt;margin-top:106.6pt;z-index:-167700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366.5pt;margin-top:106.6pt;z-index:-167700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422.9pt;margin-top:106.6pt;z-index:-167700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433.75pt;margin-top:106.6pt;z-index:-167700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445.3pt;margin-top:106.6pt;z-index:-167700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451.1pt;margin-top:106.6pt;z-index:-167700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507.5pt;margin-top:106.6pt;z-index:-167699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518.35pt;margin-top:106.6pt;z-index:-167699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529.95pt;margin-top:106.6pt;z-index:-167699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535.75pt;margin-top:106.6pt;z-index:-167699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592.15pt;margin-top:106.6pt;z-index:-167699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12.8pt;margin-top:131.2pt;z-index:-1676997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347.65pt;margin-top:131.2pt;z-index:-1676997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360.7pt;margin-top:131.2pt;z-index:-167699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366.5pt;margin-top:131.2pt;z-index:-167699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422.9pt;margin-top:131.2pt;z-index:-167699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433.75pt;margin-top:131.2pt;z-index:-1676995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445.3pt;margin-top:131.2pt;z-index:-167699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451.1pt;margin-top:131.2pt;z-index:-1676994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507.5pt;margin-top:131.2pt;z-index:-167699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18.35pt;margin-top:131.2pt;z-index:-1676994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29.95pt;margin-top:131.2pt;z-index:-167699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535.75pt;margin-top:131.2pt;z-index:-167699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592.15pt;margin-top:131.2pt;z-index:-167699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12.8pt;margin-top:154.35pt;z-index:-16769924;width:336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347.65pt;margin-top:154.35pt;z-index:-16769920;width: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360.7pt;margin-top:154.35pt;z-index:-1676991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366.5pt;margin-top:154.35pt;z-index:-16769912;width:58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22.9pt;margin-top:154.35pt;z-index:-16769908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433.75pt;margin-top:154.35pt;z-index:-16769904;width:13.5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45.3pt;margin-top:154.35pt;z-index:-1676990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51.1pt;margin-top:154.35pt;z-index:-16769896;width:58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507.5pt;margin-top:154.35pt;z-index:-16769892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518.35pt;margin-top:154.35pt;z-index:-16769888;width:13.5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529.95pt;margin-top:154.35pt;z-index:-1676988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535.75pt;margin-top:154.35pt;z-index:-16769880;width:58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92.15pt;margin-top:154.35pt;z-index:-16769876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12.8pt;margin-top:191.95pt;z-index:-1676987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347.65pt;margin-top:191.95pt;z-index:-1676986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360.7pt;margin-top:191.95pt;z-index:-167698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366.5pt;margin-top:191.95pt;z-index:-167698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22.9pt;margin-top:191.95pt;z-index:-167698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33.75pt;margin-top:191.95pt;z-index:-1676985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45.3pt;margin-top:191.95pt;z-index:-167698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51.1pt;margin-top:191.95pt;z-index:-167698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507.5pt;margin-top:191.95pt;z-index:-167698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518.35pt;margin-top:191.95pt;z-index:-1676983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29.95pt;margin-top:191.95pt;z-index:-167698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35.75pt;margin-top:191.95pt;z-index:-167698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92.15pt;margin-top:191.95pt;z-index:-167698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12.8pt;margin-top:216.55pt;z-index:-1676982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47.65pt;margin-top:216.55pt;z-index:-1676981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360.7pt;margin-top:216.55pt;z-index:-16769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366.5pt;margin-top:216.55pt;z-index:-1676980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422.9pt;margin-top:216.55pt;z-index:-167698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433.75pt;margin-top:216.55pt;z-index:-1676980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45.3pt;margin-top:216.55pt;z-index:-167697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51.1pt;margin-top:216.55pt;z-index:-1676979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507.5pt;margin-top:216.55pt;z-index:-167697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18.35pt;margin-top:216.55pt;z-index:-1676978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29.95pt;margin-top:216.55pt;z-index:-16769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35.75pt;margin-top:216.55pt;z-index:-1676977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92.15pt;margin-top:216.55pt;z-index:-167697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12.8pt;margin-top:242.6pt;z-index:-1676976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347.65pt;margin-top:242.6pt;z-index:-1676976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360.7pt;margin-top:242.6pt;z-index:-16769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366.5pt;margin-top:242.6pt;z-index:-1676975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22.9pt;margin-top:242.6pt;z-index:-167697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33.75pt;margin-top:242.6pt;z-index:-1676974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45.3pt;margin-top:242.6pt;z-index:-167697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51.1pt;margin-top:242.6pt;z-index:-1676974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07.5pt;margin-top:242.6pt;z-index:-167697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18.35pt;margin-top:242.6pt;z-index:-1676973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529.95pt;margin-top:242.6pt;z-index:-16769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535.75pt;margin-top:242.6pt;z-index:-1676972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592.15pt;margin-top:242.6pt;z-index:-167697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12.8pt;margin-top:267.2pt;z-index:-1676971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47.65pt;margin-top:267.2pt;z-index:-1676971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60.7pt;margin-top:267.2pt;z-index:-16769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66.5pt;margin-top:267.2pt;z-index:-167697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422.9pt;margin-top:267.2pt;z-index:-167697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433.75pt;margin-top:267.2pt;z-index:-1676969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445.3pt;margin-top:267.2pt;z-index:-167696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451.1pt;margin-top:267.2pt;z-index:-1676968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507.5pt;margin-top:267.2pt;z-index:-167696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518.35pt;margin-top:267.2pt;z-index:-1676968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29.95pt;margin-top:267.2pt;z-index:-167696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35.75pt;margin-top:267.2pt;z-index:-1676967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92.15pt;margin-top:267.2pt;z-index:-167696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12.8pt;margin-top:291.75pt;z-index:-16769664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47.65pt;margin-top:291.75pt;z-index:-1676966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360.7pt;margin-top:291.75pt;z-index:-167696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366.5pt;margin-top:291.75pt;z-index:-167696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422.9pt;margin-top:291.75pt;z-index:-167696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433.75pt;margin-top:291.75pt;z-index:-1676964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445.3pt;margin-top:291.75pt;z-index:-167696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451.1pt;margin-top:291.75pt;z-index:-1676963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507.5pt;margin-top:291.75pt;z-index:-167696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518.35pt;margin-top:291.75pt;z-index:-1676962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29.95pt;margin-top:291.75pt;z-index:-167696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35.75pt;margin-top:291.75pt;z-index:-1676962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92.15pt;margin-top:291.75pt;z-index:-167696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12.8pt;margin-top:317.8pt;z-index:-1676961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347.65pt;margin-top:317.8pt;z-index:-1676960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360.7pt;margin-top:317.8pt;z-index:-167696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366.5pt;margin-top:317.8pt;z-index:-167696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22.9pt;margin-top:317.8pt;z-index:-167695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33.75pt;margin-top:317.8pt;z-index:-167695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45.3pt;margin-top:317.8pt;z-index:-167695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51.1pt;margin-top:317.8pt;z-index:-167695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507.5pt;margin-top:317.8pt;z-index:-167695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518.35pt;margin-top:317.8pt;z-index:-1676957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29.95pt;margin-top:317.8pt;z-index:-167695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535.75pt;margin-top:317.8pt;z-index:-167695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592.15pt;margin-top:317.8pt;z-index:-167695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12.8pt;margin-top:342.4pt;z-index:-1676956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47.65pt;margin-top:342.4pt;z-index:-1676955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60.7pt;margin-top:342.4pt;z-index:-16769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66.5pt;margin-top:342.4pt;z-index:-1676954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422.9pt;margin-top:342.4pt;z-index:-167695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33.75pt;margin-top:342.4pt;z-index:-1676954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45.3pt;margin-top:342.4pt;z-index:-167695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51.1pt;margin-top:342.4pt;z-index:-167695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07.5pt;margin-top:342.4pt;z-index:-167695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18.35pt;margin-top:342.4pt;z-index:-1676952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29.95pt;margin-top:342.4pt;z-index:-167695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35.75pt;margin-top:342.4pt;z-index:-167695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92.15pt;margin-top:342.4pt;z-index:-167695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12.8pt;margin-top:367pt;z-index:-1676950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47.65pt;margin-top:367pt;z-index:-1676950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360.7pt;margin-top:367pt;z-index:-16769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366.5pt;margin-top:367pt;z-index:-167694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22.9pt;margin-top:367pt;z-index:-167694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33.75pt;margin-top:367pt;z-index:-1676948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45.3pt;margin-top:367pt;z-index:-167694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51.1pt;margin-top:367pt;z-index:-1676948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07.5pt;margin-top:367pt;z-index:-167694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18.35pt;margin-top:367pt;z-index:-1676947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29.95pt;margin-top:367pt;z-index:-167694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35.75pt;margin-top:367pt;z-index:-167694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92.15pt;margin-top:367pt;z-index:-167694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12.8pt;margin-top:394.5pt;z-index:-1676945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347.65pt;margin-top:394.5pt;z-index:-1676945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360.7pt;margin-top:394.5pt;z-index:-167694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66.5pt;margin-top:394.5pt;z-index:-167694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422.9pt;margin-top:394.5pt;z-index:-167694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433.75pt;margin-top:394.5pt;z-index:-1676943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445.3pt;margin-top:394.5pt;z-index:-167694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451.1pt;margin-top:394.5pt;z-index:-167694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507.5pt;margin-top:394.5pt;z-index:-167694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518.35pt;margin-top:394.5pt;z-index:-1676942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529.95pt;margin-top:394.5pt;z-index:-167694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35.75pt;margin-top:394.5pt;z-index:-1676941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92.15pt;margin-top:394.5pt;z-index:-167694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12.8pt;margin-top:421.95pt;z-index:-16769404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347.65pt;margin-top:421.95pt;z-index:-1676940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60.7pt;margin-top:421.95pt;z-index:-167693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66.5pt;margin-top:421.95pt;z-index:-1676939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422.9pt;margin-top:421.95pt;z-index:-167693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433.75pt;margin-top:421.95pt;z-index:-1676938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445.3pt;margin-top:421.95pt;z-index:-167693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451.1pt;margin-top:421.95pt;z-index:-1676937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07.5pt;margin-top:421.95pt;z-index:-167693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18.35pt;margin-top:421.95pt;z-index:-1676936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29.95pt;margin-top:421.95pt;z-index:-167693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35.75pt;margin-top:421.95pt;z-index:-167693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592.15pt;margin-top:421.95pt;z-index:-167693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12.8pt;margin-top:445.1pt;z-index:-1676935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347.65pt;margin-top:445.1pt;z-index:-1676934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360.7pt;margin-top:445.1pt;z-index:-16769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366.5pt;margin-top:445.1pt;z-index:-1676934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422.9pt;margin-top:445.1pt;z-index:-167693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433.75pt;margin-top:445.1pt;z-index:-1676933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45.3pt;margin-top:445.1pt;z-index:-16769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51.1pt;margin-top:445.1pt;z-index:-1676932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507.5pt;margin-top:445.1pt;z-index:-167693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518.35pt;margin-top:445.1pt;z-index:-1676931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529.95pt;margin-top:445.1pt;z-index:-16769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535.75pt;margin-top:445.1pt;z-index:-1676930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592.15pt;margin-top:445.1pt;z-index:-167693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12.8pt;margin-top:468.25pt;z-index:-1676930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47.65pt;margin-top:468.25pt;z-index:-1676929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60.7pt;margin-top:468.25pt;z-index:-16769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66.5pt;margin-top:468.25pt;z-index:-1676928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422.9pt;margin-top:468.25pt;z-index:-167692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433.75pt;margin-top:468.25pt;z-index:-1676928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45.3pt;margin-top:468.25pt;z-index:-16769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51.1pt;margin-top:468.25pt;z-index:-1676927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07.5pt;margin-top:468.25pt;z-index:-167692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518.35pt;margin-top:468.25pt;z-index:-1676926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29.95pt;margin-top:468.25pt;z-index:-16769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35.75pt;margin-top:468.25pt;z-index:-1676925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592.15pt;margin-top:468.25pt;z-index:-167692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12.8pt;margin-top:491.4pt;z-index:-1676924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47.65pt;margin-top:491.4pt;z-index:-1676924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60.7pt;margin-top:491.4pt;z-index:-16769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366.5pt;margin-top:491.4pt;z-index:-1676923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422.9pt;margin-top:491.4pt;z-index:-167692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433.75pt;margin-top:491.4pt;z-index:-1676922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45.3pt;margin-top:491.4pt;z-index:-16769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451.1pt;margin-top:491.4pt;z-index:-1676922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507.5pt;margin-top:491.4pt;z-index:-167692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518.35pt;margin-top:491.4pt;z-index:-1676921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529.95pt;margin-top:491.4pt;z-index:-16769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535.75pt;margin-top:491.4pt;z-index:-167692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592.15pt;margin-top:491.4pt;z-index:-167692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12.8pt;margin-top:514.55pt;z-index:-1676919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47.65pt;margin-top:514.55pt;z-index:-1676919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60.7pt;margin-top:514.55pt;z-index:-16769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66.5pt;margin-top:514.55pt;z-index:-167691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22.9pt;margin-top:514.55pt;z-index:-167691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33.75pt;margin-top:514.55pt;z-index:-1676917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45.3pt;margin-top:514.55pt;z-index:-16769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51.1pt;margin-top:514.55pt;z-index:-167691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507.5pt;margin-top:514.55pt;z-index:-167691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518.35pt;margin-top:514.55pt;z-index:-1676916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529.95pt;margin-top:514.55pt;z-index:-16769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35.75pt;margin-top:514.55pt;z-index:-167691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92.15pt;margin-top:514.55pt;z-index:-167691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12.8pt;margin-top:537.7pt;z-index:-16769144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347.65pt;margin-top:537.7pt;z-index:-1676914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360.7pt;margin-top:537.7pt;z-index:-16769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366.5pt;margin-top:537.7pt;z-index:-167691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22.9pt;margin-top:537.7pt;z-index:-167691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433.75pt;margin-top:537.7pt;z-index:-1676912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45.3pt;margin-top:537.7pt;z-index:-167691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51.1pt;margin-top:537.7pt;z-index:-167691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07.5pt;margin-top:537.7pt;z-index:-167691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518.35pt;margin-top:537.7pt;z-index:-167691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529.95pt;margin-top:537.7pt;z-index:-16769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35.75pt;margin-top:537.7pt;z-index:-167691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592.15pt;margin-top:537.7pt;z-index:-167690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12.8pt;margin-top:563.75pt;z-index:-1676909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347.65pt;margin-top:563.75pt;z-index:-1676908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360.7pt;margin-top:563.75pt;z-index:-16769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66.5pt;margin-top:563.75pt;z-index:-1676908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22.9pt;margin-top:563.75pt;z-index:-167690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433.75pt;margin-top:563.75pt;z-index:-1676907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45.3pt;margin-top:563.75pt;z-index:-167690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51.1pt;margin-top:563.75pt;z-index:-167690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507.5pt;margin-top:563.75pt;z-index:-167690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518.35pt;margin-top:563.75pt;z-index:-1676905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529.95pt;margin-top:563.75pt;z-index:-16769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535.75pt;margin-top:563.75pt;z-index:-1676904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592.15pt;margin-top:563.75pt;z-index:-167690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12.8pt;margin-top:586.9pt;z-index:-1676904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347.65pt;margin-top:586.9pt;z-index:-1676903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360.7pt;margin-top:586.9pt;z-index:-167690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366.5pt;margin-top:586.9pt;z-index:-167690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22.9pt;margin-top:586.9pt;z-index:-167690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33.75pt;margin-top:586.9pt;z-index:-1676902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445.3pt;margin-top:586.9pt;z-index:-16769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451.1pt;margin-top:586.9pt;z-index:-1676901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07.5pt;margin-top:586.9pt;z-index:-167690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18.35pt;margin-top:586.9pt;z-index:-1676900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29.95pt;margin-top:586.9pt;z-index:-16769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35.75pt;margin-top:586.9pt;z-index:-167689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592.15pt;margin-top:586.9pt;z-index:-167689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12.8pt;margin-top:610pt;z-index:-1676898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347.65pt;margin-top:610pt;z-index:-1676898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360.7pt;margin-top:610pt;z-index:-16768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366.5pt;margin-top:610pt;z-index:-1676897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422.9pt;margin-top:610pt;z-index:-167689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433.75pt;margin-top:610pt;z-index:-1676896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445.3pt;margin-top:610pt;z-index:-16768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51.1pt;margin-top:610pt;z-index:-167689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507.5pt;margin-top:610pt;z-index:-167689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518.35pt;margin-top:610pt;z-index:-1676895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529.95pt;margin-top:610pt;z-index:-16768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535.75pt;margin-top:610pt;z-index:-167689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592.15pt;margin-top:610pt;z-index:-167689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12.8pt;margin-top:644.75pt;z-index:-1676893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47.65pt;margin-top:644.75pt;z-index:-1676893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360.7pt;margin-top:644.75pt;z-index:-16768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366.5pt;margin-top:644.75pt;z-index:-1676892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422.9pt;margin-top:644.75pt;z-index:-167689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433.75pt;margin-top:644.75pt;z-index:-1676891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445.3pt;margin-top:644.75pt;z-index:-167689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451.1pt;margin-top:644.75pt;z-index:-1676890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07.5pt;margin-top:644.75pt;z-index:-167689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18.35pt;margin-top:644.75pt;z-index:-1676890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29.95pt;margin-top:644.75pt;z-index:-16768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535.75pt;margin-top:644.75pt;z-index:-1676889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92.15pt;margin-top:644.75pt;z-index:-167688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12.8pt;margin-top:669.35pt;z-index:-16768884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347.65pt;margin-top:669.35pt;z-index:-1676888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360.7pt;margin-top:669.35pt;z-index:-16768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366.5pt;margin-top:669.35pt;z-index:-1676887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22.9pt;margin-top:669.35pt;z-index:-167688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33.75pt;margin-top:669.35pt;z-index:-1676886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45.3pt;margin-top:669.35pt;z-index:-167688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51.1pt;margin-top:669.35pt;z-index:-1676885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507.5pt;margin-top:669.35pt;z-index:-167688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518.35pt;margin-top:669.35pt;z-index:-1676884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529.95pt;margin-top:669.35pt;z-index:-16768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535.75pt;margin-top:669.35pt;z-index:-1676884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592.15pt;margin-top:669.35pt;z-index:-167688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12.8pt;margin-top:693.95pt;z-index:-1676883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47.65pt;margin-top:693.95pt;z-index:-1676882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60.7pt;margin-top:693.95pt;z-index:-16768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66.5pt;margin-top:693.95pt;z-index:-1676882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422.9pt;margin-top:693.95pt;z-index:-167688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433.75pt;margin-top:693.95pt;z-index:-1676881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445.3pt;margin-top:693.95pt;z-index:-16768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451.1pt;margin-top:693.95pt;z-index:-167688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507.5pt;margin-top:693.95pt;z-index:-167688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518.35pt;margin-top:693.95pt;z-index:-1676879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29.95pt;margin-top:693.95pt;z-index:-16768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35.75pt;margin-top:693.95pt;z-index:-1676878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92.15pt;margin-top:693.95pt;z-index:-167687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12.8pt;margin-top:717.05pt;z-index:-1676878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47.65pt;margin-top:717.05pt;z-index:-1676877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360.7pt;margin-top:717.05pt;z-index:-16768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366.5pt;margin-top:717.05pt;z-index:-167687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22.9pt;margin-top:717.05pt;z-index:-167687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33.75pt;margin-top:717.05pt;z-index:-1676876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45.3pt;margin-top:717.05pt;z-index:-167687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51.1pt;margin-top:717.05pt;z-index:-167687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07.5pt;margin-top:717.05pt;z-index:-167687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518.35pt;margin-top:717.05pt;z-index:-1676874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529.95pt;margin-top:717.05pt;z-index:-16768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35.75pt;margin-top:717.05pt;z-index:-1676873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92.15pt;margin-top:717.05pt;z-index:-167687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12.8pt;margin-top:740.2pt;z-index:-1676872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347.65pt;margin-top:740.2pt;z-index:-1676872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360.7pt;margin-top:740.2pt;z-index:-16768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366.5pt;margin-top:740.2pt;z-index:-167687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22.9pt;margin-top:740.2pt;z-index:-167687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33.75pt;margin-top:740.2pt;z-index:-167687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45.3pt;margin-top:740.2pt;z-index:-167687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51.1pt;margin-top:740.2pt;z-index:-167687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507.5pt;margin-top:740.2pt;z-index:-167686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518.35pt;margin-top:740.2pt;z-index:-167686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529.95pt;margin-top:740.2pt;z-index:-16768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35.75pt;margin-top:740.2pt;z-index:-167686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92.15pt;margin-top:740.2pt;z-index:-167686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60.7pt;margin-top:105.15pt;z-index:-167686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66.5pt;margin-top:105.15pt;z-index:-1676867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45.3pt;margin-top:105.15pt;z-index:-167686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451.1pt;margin-top:105.15pt;z-index:-1676866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529.95pt;margin-top:105.15pt;z-index:-167686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535.75pt;margin-top:105.15pt;z-index:-1676865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360.7pt;margin-top:118.2pt;z-index:-167686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366.5pt;margin-top:118.2pt;z-index:-1676864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45.3pt;margin-top:118.2pt;z-index:-167686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451.1pt;margin-top:118.2pt;z-index:-1676864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529.95pt;margin-top:118.2pt;z-index:-167686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535.75pt;margin-top:118.2pt;z-index:-167686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60.7pt;margin-top:177.5pt;z-index:-167686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66.5pt;margin-top:177.5pt;z-index:-167686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445.3pt;margin-top:177.5pt;z-index:-167686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451.1pt;margin-top:177.5pt;z-index:-1676861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529.95pt;margin-top:177.5pt;z-index:-167686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35.75pt;margin-top:177.5pt;z-index:-1676860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360.7pt;margin-top:190.5pt;z-index:-167686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366.5pt;margin-top:190.5pt;z-index:-1676860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45.3pt;margin-top:190.5pt;z-index:-167685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51.1pt;margin-top:190.5pt;z-index:-1676859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529.95pt;margin-top:190.5pt;z-index:-167685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35.75pt;margin-top:190.5pt;z-index:-1676858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360.7pt;margin-top:215.1pt;z-index:-167685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66.5pt;margin-top:215.1pt;z-index:-167685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45.3pt;margin-top:215.1pt;z-index:-167685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451.1pt;margin-top:215.1pt;z-index:-167685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529.95pt;margin-top:215.1pt;z-index:-167685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35.75pt;margin-top:215.1pt;z-index:-167685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360.7pt;margin-top:228.1pt;z-index:-167685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366.5pt;margin-top:228.1pt;z-index:-167685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45.3pt;margin-top:228.1pt;z-index:-167685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51.1pt;margin-top:228.1pt;z-index:-167685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529.95pt;margin-top:228.1pt;z-index:-167685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535.75pt;margin-top:228.1pt;z-index:-1676853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360.7pt;margin-top:241.15pt;z-index:-167685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366.5pt;margin-top:241.15pt;z-index:-167685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45.3pt;margin-top:241.15pt;z-index:-167685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451.1pt;margin-top:241.15pt;z-index:-1676852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529.95pt;margin-top:241.15pt;z-index:-167685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535.75pt;margin-top:241.15pt;z-index:-1676851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360.7pt;margin-top:265.75pt;z-index:-167685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366.5pt;margin-top:265.75pt;z-index:-167685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445.3pt;margin-top:265.75pt;z-index:-167685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51.1pt;margin-top:265.75pt;z-index:-1676849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29.95pt;margin-top:265.75pt;z-index:-167684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35.75pt;margin-top:265.75pt;z-index:-1676848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360.7pt;margin-top:278.75pt;z-index:-167684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366.5pt;margin-top:278.75pt;z-index:-1676848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445.3pt;margin-top:278.75pt;z-index:-167684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451.1pt;margin-top:278.75pt;z-index:-1676847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29.95pt;margin-top:278.75pt;z-index:-167684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535.75pt;margin-top:278.75pt;z-index:-1676846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360.7pt;margin-top:303.35pt;z-index:-167684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66.5pt;margin-top:303.35pt;z-index:-1676845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445.3pt;margin-top:303.35pt;z-index:-167684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51.1pt;margin-top:303.35pt;z-index:-1676844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529.95pt;margin-top:303.35pt;z-index:-167684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535.75pt;margin-top:303.35pt;z-index:-1676844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360.7pt;margin-top:316.35pt;z-index:-167684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366.5pt;margin-top:316.35pt;z-index:-167684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445.3pt;margin-top:316.35pt;z-index:-167684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451.1pt;margin-top:316.35pt;z-index:-167684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29.95pt;margin-top:316.35pt;z-index:-167684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35.75pt;margin-top:316.35pt;z-index:-1676841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60.7pt;margin-top:340.95pt;z-index:-167684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366.5pt;margin-top:340.95pt;z-index:-1676840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445.3pt;margin-top:340.95pt;z-index:-167684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451.1pt;margin-top:340.95pt;z-index:-1676840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529.95pt;margin-top:340.95pt;z-index:-167683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535.75pt;margin-top:340.95pt;z-index:-1676839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360.7pt;margin-top:353.95pt;z-index:-167683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366.5pt;margin-top:353.95pt;z-index:-1676838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45.3pt;margin-top:353.95pt;z-index:-167683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51.1pt;margin-top:353.95pt;z-index:-167683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529.95pt;margin-top:353.95pt;z-index:-167683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535.75pt;margin-top:353.95pt;z-index:-167683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360.7pt;margin-top:378.55pt;z-index:-167683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366.5pt;margin-top:378.55pt;z-index:-167683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445.3pt;margin-top:378.55pt;z-index:-167683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451.1pt;margin-top:378.55pt;z-index:-167683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29.95pt;margin-top:378.55pt;z-index:-167683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35.75pt;margin-top:378.55pt;z-index:-167683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360.7pt;margin-top:391.6pt;z-index:-167683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60.7pt;margin-top:393.05pt;z-index:-167683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66.5pt;margin-top:391.6pt;z-index:-167683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366.5pt;margin-top:393.05pt;z-index:-167683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445.3pt;margin-top:391.6pt;z-index:-167683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45.3pt;margin-top:393.05pt;z-index:-167683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51.1pt;margin-top:391.6pt;z-index:-1676831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51.1pt;margin-top:393.05pt;z-index:-1676831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529.95pt;margin-top:391.6pt;z-index:-167683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529.95pt;margin-top:393.05pt;z-index:-167683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535.75pt;margin-top:391.6pt;z-index:-1676830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535.75pt;margin-top:393.05pt;z-index:-1676829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360.7pt;margin-top:406.05pt;z-index:-167682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360.7pt;margin-top:407.5pt;z-index:-167682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366.5pt;margin-top:406.05pt;z-index:-1676828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366.5pt;margin-top:407.5pt;z-index:-1676828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45.3pt;margin-top:406.05pt;z-index:-167682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45.3pt;margin-top:407.5pt;z-index:-167682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51.1pt;margin-top:406.05pt;z-index:-167682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51.1pt;margin-top:407.5pt;z-index:-1676826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529.95pt;margin-top:406.05pt;z-index:-167682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29.95pt;margin-top:407.5pt;z-index:-167682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35.75pt;margin-top:406.05pt;z-index:-167682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35.75pt;margin-top:407.5pt;z-index:-1676824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60.7pt;margin-top:420.5pt;z-index:-167682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366.5pt;margin-top:420.5pt;z-index:-1676824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445.3pt;margin-top:420.5pt;z-index:-167682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51.1pt;margin-top:420.5pt;z-index:-167682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529.95pt;margin-top:420.5pt;z-index:-167682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535.75pt;margin-top:420.5pt;z-index:-167682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360.7pt;margin-top:549.25pt;z-index:-167682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366.5pt;margin-top:549.25pt;z-index:-1676821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45.3pt;margin-top:549.25pt;z-index:-167682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451.1pt;margin-top:549.25pt;z-index:-1676820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29.95pt;margin-top:549.25pt;z-index:-167682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535.75pt;margin-top:549.25pt;z-index:-1676820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360.7pt;margin-top:562.3pt;z-index:-167681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366.5pt;margin-top:562.3pt;z-index:-1676819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445.3pt;margin-top:562.3pt;z-index:-167681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451.1pt;margin-top:562.3pt;z-index:-1676818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29.95pt;margin-top:562.3pt;z-index:-167681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35.75pt;margin-top:562.3pt;z-index:-167681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360.7pt;margin-top:667.9pt;z-index:-167681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366.5pt;margin-top:667.9pt;z-index:-167681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445.3pt;margin-top:667.9pt;z-index:-167681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51.1pt;margin-top:667.9pt;z-index:-167681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29.95pt;margin-top:667.9pt;z-index:-167681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35.75pt;margin-top:667.9pt;z-index:-167681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360.7pt;margin-top:680.9pt;z-index:-167681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366.5pt;margin-top:680.9pt;z-index:-167681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445.3pt;margin-top:680.9pt;z-index:-167681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51.1pt;margin-top:680.9pt;z-index:-1676813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529.95pt;margin-top:680.9pt;z-index:-167681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35.75pt;margin-top:680.9pt;z-index:-167681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29.95pt;margin-top:64.65pt;z-index:-1676812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529.95pt;margin-top:73.35pt;z-index:-16768120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18.35pt;margin-top:64.65pt;z-index:-16768116;width:1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507.5pt;margin-top:64.65pt;z-index:-16768112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45.3pt;margin-top:64.65pt;z-index:-16768108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45.3pt;margin-top:73.35pt;z-index:-1676810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33.75pt;margin-top:64.65pt;z-index:-16768100;width:1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422.9pt;margin-top:64.65pt;z-index:-16768096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60.7pt;margin-top:73.35pt;z-index:-16768092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360.7pt;margin-top:64.65pt;z-index:-16768088;width:233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12.8pt;margin-top:759pt;z-index:-1676808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</w:p>
    <w:p>
      <w:pPr>
        <w:pStyle w:val="Normal"/>
        <w:framePr w:w="11665" w:hAnchor="page" w:vAnchor="page" w:x="739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period, while the former only include the foreign exchange loss/(gain) on the US dollar amount, which we received at SPO.</w:t>
      </w:r>
    </w:p>
    <w:p>
      <w:pPr>
        <w:pStyle w:val="Normal"/>
        <w:framePr w:w="13733" w:hAnchor="page" w:vAnchor="page" w:x="739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 in the reconciliation of Net Profit to Adjusted EBITDA as the latter includes all the foreign exchange losses/(gains) for the</w:t>
      </w:r>
    </w:p>
    <w:p>
      <w:pPr>
        <w:pStyle w:val="Normal"/>
        <w:framePr w:w="498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3409" w:hAnchor="page" w:vAnchor="page" w:x="739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Forex loss on SPO funds as presented in the reconciliation of Net Profit to Adjusted Net Profit differs from the Foreign exchange loss and</w:t>
      </w:r>
    </w:p>
    <w:p>
      <w:pPr>
        <w:pStyle w:val="Normal"/>
        <w:framePr w:w="498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1288" w:hAnchor="page" w:vAnchor="page" w:x="739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 of fair value adjustments primarily includes the effect of the acquisition of control in Contact and Rapida.</w:t>
      </w:r>
    </w:p>
    <w:p>
      <w:pPr>
        <w:pStyle w:val="Normal"/>
        <w:framePr w:w="8100" w:hAnchor="page" w:vAnchor="page" w:x="739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costs, including but not limited to: costs of call-centers and advertising commissions.</w:t>
      </w:r>
    </w:p>
    <w:p>
      <w:pPr>
        <w:pStyle w:val="Normal"/>
        <w:framePr w:w="498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618" w:hAnchor="page" w:vAnchor="page" w:x="739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Other Revenue (exclusive of depreciation and amortization) primarily consists of direct costs associated with other revenue and other</w:t>
      </w:r>
    </w:p>
    <w:p>
      <w:pPr>
        <w:pStyle w:val="Normal"/>
        <w:framePr w:w="9473" w:hAnchor="page" w:vAnchor="page" w:x="739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overdrafts provided to agents, rent of space for kiosks, cash and settlement services and advertising.</w:t>
      </w:r>
    </w:p>
    <w:p>
      <w:pPr>
        <w:pStyle w:val="Normal"/>
        <w:framePr w:w="498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2910" w:hAnchor="page" w:vAnchor="page" w:x="739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Other Revenue primarily consists of revenue from fees for inactive accounts and unclaimed payments, interest revenue, revenue from</w:t>
      </w:r>
    </w:p>
    <w:p>
      <w:pPr>
        <w:pStyle w:val="Normal"/>
        <w:framePr w:w="9095" w:hAnchor="page" w:vAnchor="page" w:x="739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payable to agents, mobile operators, international payment systems and other parties.</w:t>
      </w:r>
    </w:p>
    <w:p>
      <w:pPr>
        <w:pStyle w:val="Normal"/>
        <w:framePr w:w="498" w:hAnchor="page" w:vAnchor="page" w:x="27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458" w:hAnchor="page" w:vAnchor="page" w:x="739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Payment Revenue (exclusive of depreciation and amortization) primarily consists of transaction costs to acquire payments from our</w:t>
      </w:r>
    </w:p>
    <w:p>
      <w:pPr>
        <w:pStyle w:val="Normal"/>
        <w:framePr w:w="1391" w:hAnchor="page" w:vAnchor="page" w:x="739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transactions.</w:t>
      </w:r>
    </w:p>
    <w:p>
      <w:pPr>
        <w:pStyle w:val="Normal"/>
        <w:framePr w:w="498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536" w:hAnchor="page" w:vAnchor="page" w:x="739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Revenue represents payment processing fees, which primarily consists of the merchant and consumer fees charged for the payment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7pt;margin-top:1pt;z-index:-1676808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12.8pt;margin-top:1pt;z-index:-167680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12.8pt;margin-top:2.45pt;z-index:-1676807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597.95pt;margin-top:1pt;z-index:-167680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12.8pt;margin-top:1pt;z-index:-167680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</w:p>
    <w:p>
      <w:pPr>
        <w:pStyle w:val="Normal"/>
        <w:framePr w:w="5580" w:hAnchor="page" w:vAnchor="page" w:x="739" w:y="154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December 31, 2019.</w:t>
      </w:r>
    </w:p>
    <w:p>
      <w:pPr>
        <w:pStyle w:val="Normal"/>
        <w:framePr w:w="498" w:hAnchor="page" w:vAnchor="page" w:x="276" w:y="15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52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61.9057 to U.S. $1.00, which was the official exchange rate quoted by the Central</w:t>
      </w:r>
    </w:p>
    <w:p>
      <w:pPr>
        <w:pStyle w:val="Normal"/>
        <w:framePr w:w="922" w:hAnchor="page" w:vAnchor="page" w:x="276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6973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7948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61,725 </w:t>
      </w:r>
    </w:p>
    <w:p>
      <w:pPr>
        <w:pStyle w:val="Normal"/>
        <w:framePr w:w="922" w:hAnchor="page" w:vAnchor="page" w:x="9640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62,264 </w:t>
      </w:r>
    </w:p>
    <w:p>
      <w:pPr>
        <w:pStyle w:val="Normal"/>
        <w:framePr w:w="922" w:hAnchor="page" w:vAnchor="page" w:x="11333" w:y="14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62,264 </w:t>
      </w:r>
    </w:p>
    <w:p>
      <w:pPr>
        <w:pStyle w:val="Normal"/>
        <w:framePr w:w="742" w:hAnchor="page" w:vAnchor="page" w:x="276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6973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7948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61,203 </w:t>
      </w:r>
    </w:p>
    <w:p>
      <w:pPr>
        <w:pStyle w:val="Normal"/>
        <w:framePr w:w="922" w:hAnchor="page" w:vAnchor="page" w:x="9640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61,788 </w:t>
      </w:r>
    </w:p>
    <w:p>
      <w:pPr>
        <w:pStyle w:val="Normal"/>
        <w:framePr w:w="922" w:hAnchor="page" w:vAnchor="page" w:x="11333" w:y="14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61,788 </w:t>
      </w:r>
    </w:p>
    <w:p>
      <w:pPr>
        <w:pStyle w:val="Normal"/>
        <w:framePr w:w="8381" w:hAnchor="page" w:vAnchor="page" w:x="276" w:y="14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Weighted-average number of shares used in computing Adjusted Net Profit per share     </w:t>
      </w:r>
    </w:p>
    <w:p>
      <w:pPr>
        <w:pStyle w:val="Normal"/>
        <w:framePr w:w="922" w:hAnchor="page" w:vAnchor="page" w:x="276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6973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67.03 </w:t>
      </w:r>
    </w:p>
    <w:p>
      <w:pPr>
        <w:pStyle w:val="Normal"/>
        <w:framePr w:w="922" w:hAnchor="page" w:vAnchor="page" w:x="9640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107.27 </w:t>
      </w:r>
    </w:p>
    <w:p>
      <w:pPr>
        <w:pStyle w:val="Normal"/>
        <w:framePr w:w="691" w:hAnchor="page" w:vAnchor="page" w:x="11526" w:y="14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1.73 </w:t>
      </w:r>
    </w:p>
    <w:p>
      <w:pPr>
        <w:pStyle w:val="Normal"/>
        <w:framePr w:w="742" w:hAnchor="page" w:vAnchor="page" w:x="276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6973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67.60 </w:t>
      </w:r>
    </w:p>
    <w:p>
      <w:pPr>
        <w:pStyle w:val="Normal"/>
        <w:framePr w:w="922" w:hAnchor="page" w:vAnchor="page" w:x="9640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108.10 </w:t>
      </w:r>
    </w:p>
    <w:p>
      <w:pPr>
        <w:pStyle w:val="Normal"/>
        <w:framePr w:w="691" w:hAnchor="page" w:vAnchor="page" w:x="11526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1.75 </w:t>
      </w:r>
    </w:p>
    <w:p>
      <w:pPr>
        <w:pStyle w:val="Normal"/>
        <w:framePr w:w="3004" w:hAnchor="page" w:vAnchor="page" w:x="276" w:y="13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per share:</w:t>
      </w:r>
    </w:p>
    <w:p>
      <w:pPr>
        <w:pStyle w:val="Normal"/>
        <w:framePr w:w="21" w:hAnchor="page" w:vAnchor="page" w:x="6973" w:y="136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64" w:hAnchor="page" w:vAnchor="page" w:x="276" w:y="134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Net Profit</w:t>
      </w:r>
    </w:p>
    <w:p>
      <w:pPr>
        <w:pStyle w:val="Normal"/>
        <w:framePr w:w="21" w:hAnchor="page" w:vAnchor="page" w:x="6973" w:y="1339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134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4,137</w:t>
      </w:r>
    </w:p>
    <w:p>
      <w:pPr>
        <w:pStyle w:val="Normal"/>
        <w:framePr w:w="749" w:hAnchor="page" w:vAnchor="page" w:x="9737" w:y="134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6,679</w:t>
      </w:r>
    </w:p>
    <w:p>
      <w:pPr>
        <w:pStyle w:val="Normal"/>
        <w:framePr w:w="749" w:hAnchor="page" w:vAnchor="page" w:x="11429" w:y="134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107.9</w:t>
      </w:r>
    </w:p>
    <w:p>
      <w:pPr>
        <w:pStyle w:val="Normal"/>
        <w:framePr w:w="3603" w:hAnchor="page" w:vAnchor="page" w:x="276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taxation of the above items</w:t>
      </w:r>
    </w:p>
    <w:p>
      <w:pPr>
        <w:pStyle w:val="Normal"/>
        <w:framePr w:w="344" w:hAnchor="page" w:vAnchor="page" w:x="6973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221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(60) </w:t>
      </w:r>
    </w:p>
    <w:p>
      <w:pPr>
        <w:pStyle w:val="Normal"/>
        <w:framePr w:w="787" w:hAnchor="page" w:vAnchor="page" w:x="9817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(152) </w:t>
      </w:r>
    </w:p>
    <w:p>
      <w:pPr>
        <w:pStyle w:val="Normal"/>
        <w:framePr w:w="729" w:hAnchor="page" w:vAnchor="page" w:x="11558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(2.4) </w:t>
      </w:r>
    </w:p>
    <w:p>
      <w:pPr>
        <w:pStyle w:val="Normal"/>
        <w:framePr w:w="3293" w:hAnchor="page" w:vAnchor="page" w:x="276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6973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881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792 </w:t>
      </w:r>
    </w:p>
    <w:p>
      <w:pPr>
        <w:pStyle w:val="Normal"/>
        <w:framePr w:w="691" w:hAnchor="page" w:vAnchor="page" w:x="11526" w:y="12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12.8 </w:t>
      </w:r>
    </w:p>
    <w:p>
      <w:pPr>
        <w:pStyle w:val="Normal"/>
        <w:framePr w:w="2812" w:hAnchor="page" w:vAnchor="page" w:x="469" w:y="12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secondary public offering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(7)</w:t>
      </w:r>
    </w:p>
    <w:p>
      <w:pPr>
        <w:pStyle w:val="Normal"/>
        <w:framePr w:w="344" w:hAnchor="page" w:vAnchor="page" w:x="6973" w:y="12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125" w:y="12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(433) </w:t>
      </w:r>
    </w:p>
    <w:p>
      <w:pPr>
        <w:pStyle w:val="Normal"/>
        <w:framePr w:w="633" w:hAnchor="page" w:vAnchor="page" w:x="9881" w:y="12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130 </w:t>
      </w:r>
    </w:p>
    <w:p>
      <w:pPr>
        <w:pStyle w:val="Normal"/>
        <w:framePr w:w="575" w:hAnchor="page" w:vAnchor="page" w:x="11622" w:y="12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2.1 </w:t>
      </w:r>
    </w:p>
    <w:p>
      <w:pPr>
        <w:pStyle w:val="Normal"/>
        <w:framePr w:w="7507" w:hAnchor="page" w:vAnchor="page" w:x="276" w:y="12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loss/(gain) from revaluation of cash proceeds received from</w:t>
      </w:r>
    </w:p>
    <w:p>
      <w:pPr>
        <w:pStyle w:val="Normal"/>
        <w:framePr w:w="3196" w:hAnchor="page" w:vAnchor="page" w:x="276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 expenses</w:t>
      </w:r>
    </w:p>
    <w:p>
      <w:pPr>
        <w:pStyle w:val="Normal"/>
        <w:framePr w:w="344" w:hAnchor="page" w:vAnchor="page" w:x="6973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635 </w:t>
      </w:r>
    </w:p>
    <w:p>
      <w:pPr>
        <w:pStyle w:val="Normal"/>
        <w:framePr w:w="633" w:hAnchor="page" w:vAnchor="page" w:x="9881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464 </w:t>
      </w:r>
    </w:p>
    <w:p>
      <w:pPr>
        <w:pStyle w:val="Normal"/>
        <w:framePr w:w="575" w:hAnchor="page" w:vAnchor="page" w:x="11622" w:y="12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7.5 </w:t>
      </w:r>
    </w:p>
    <w:p>
      <w:pPr>
        <w:pStyle w:val="Normal"/>
        <w:framePr w:w="3081" w:hAnchor="page" w:vAnchor="page" w:x="276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Form F-3 and related expenses</w:t>
      </w:r>
    </w:p>
    <w:p>
      <w:pPr>
        <w:pStyle w:val="Normal"/>
        <w:framePr w:w="344" w:hAnchor="page" w:vAnchor="page" w:x="6973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9978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 </w:t>
      </w:r>
    </w:p>
    <w:p>
      <w:pPr>
        <w:pStyle w:val="Normal"/>
        <w:framePr w:w="575" w:hAnchor="page" w:vAnchor="page" w:x="11622" w:y="11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1.3 </w:t>
      </w:r>
    </w:p>
    <w:p>
      <w:pPr>
        <w:pStyle w:val="Normal"/>
        <w:framePr w:w="4024" w:hAnchor="page" w:vAnchor="page" w:x="276" w:y="11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 of fair value adjustments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6973" w:y="11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1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369 </w:t>
      </w:r>
    </w:p>
    <w:p>
      <w:pPr>
        <w:pStyle w:val="Normal"/>
        <w:framePr w:w="633" w:hAnchor="page" w:vAnchor="page" w:x="9881" w:y="11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479 </w:t>
      </w:r>
    </w:p>
    <w:p>
      <w:pPr>
        <w:pStyle w:val="Normal"/>
        <w:framePr w:w="575" w:hAnchor="page" w:vAnchor="page" w:x="11622" w:y="11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7.7 </w:t>
      </w:r>
    </w:p>
    <w:p>
      <w:pPr>
        <w:pStyle w:val="Normal"/>
        <w:framePr w:w="1194" w:hAnchor="page" w:vAnchor="page" w:x="276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344" w:hAnchor="page" w:vAnchor="page" w:x="6973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3,626 </w:t>
      </w:r>
    </w:p>
    <w:p>
      <w:pPr>
        <w:pStyle w:val="Normal"/>
        <w:framePr w:w="806" w:hAnchor="page" w:vAnchor="page" w:x="9737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4,887 </w:t>
      </w:r>
    </w:p>
    <w:p>
      <w:pPr>
        <w:pStyle w:val="Normal"/>
        <w:framePr w:w="691" w:hAnchor="page" w:vAnchor="page" w:x="11526" w:y="11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78.9 </w:t>
      </w:r>
    </w:p>
    <w:p>
      <w:pPr>
        <w:pStyle w:val="Normal"/>
        <w:framePr w:w="2610" w:hAnchor="page" w:vAnchor="page" w:x="276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EBITDA margin</w:t>
      </w:r>
    </w:p>
    <w:p>
      <w:pPr>
        <w:pStyle w:val="Normal"/>
        <w:framePr w:w="21" w:hAnchor="page" w:vAnchor="page" w:x="6973" w:y="1128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141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30.3%</w:t>
      </w:r>
    </w:p>
    <w:p>
      <w:pPr>
        <w:pStyle w:val="Normal"/>
        <w:framePr w:w="826" w:hAnchor="page" w:vAnchor="page" w:x="9833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39.3%</w:t>
      </w:r>
    </w:p>
    <w:p>
      <w:pPr>
        <w:pStyle w:val="Normal"/>
        <w:framePr w:w="884" w:hAnchor="page" w:vAnchor="page" w:x="11526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39.3% </w:t>
      </w:r>
    </w:p>
    <w:p>
      <w:pPr>
        <w:pStyle w:val="Normal"/>
        <w:framePr w:w="2073" w:hAnchor="page" w:vAnchor="page" w:x="276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EBITDA</w:t>
      </w:r>
    </w:p>
    <w:p>
      <w:pPr>
        <w:pStyle w:val="Normal"/>
        <w:framePr w:w="21" w:hAnchor="page" w:vAnchor="page" w:x="6973" w:y="1102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5,948</w:t>
      </w:r>
    </w:p>
    <w:p>
      <w:pPr>
        <w:pStyle w:val="Normal"/>
        <w:framePr w:w="749" w:hAnchor="page" w:vAnchor="page" w:x="9737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9,099</w:t>
      </w:r>
    </w:p>
    <w:p>
      <w:pPr>
        <w:pStyle w:val="Normal"/>
        <w:framePr w:w="749" w:hAnchor="page" w:vAnchor="page" w:x="11429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147.0</w:t>
      </w:r>
    </w:p>
    <w:p>
      <w:pPr>
        <w:pStyle w:val="Normal"/>
        <w:framePr w:w="3196" w:hAnchor="page" w:vAnchor="page" w:x="276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 expenses</w:t>
      </w:r>
    </w:p>
    <w:p>
      <w:pPr>
        <w:pStyle w:val="Normal"/>
        <w:framePr w:w="344" w:hAnchor="page" w:vAnchor="page" w:x="6973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635 </w:t>
      </w:r>
    </w:p>
    <w:p>
      <w:pPr>
        <w:pStyle w:val="Normal"/>
        <w:framePr w:w="633" w:hAnchor="page" w:vAnchor="page" w:x="9881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464 </w:t>
      </w:r>
    </w:p>
    <w:p>
      <w:pPr>
        <w:pStyle w:val="Normal"/>
        <w:framePr w:w="575" w:hAnchor="page" w:vAnchor="page" w:x="11622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7.5 </w:t>
      </w:r>
    </w:p>
    <w:p>
      <w:pPr>
        <w:pStyle w:val="Normal"/>
        <w:framePr w:w="3081" w:hAnchor="page" w:vAnchor="page" w:x="276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Form F-3 and related expenses</w:t>
      </w:r>
    </w:p>
    <w:p>
      <w:pPr>
        <w:pStyle w:val="Normal"/>
        <w:framePr w:w="344" w:hAnchor="page" w:vAnchor="page" w:x="6973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9978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 </w:t>
      </w:r>
    </w:p>
    <w:p>
      <w:pPr>
        <w:pStyle w:val="Normal"/>
        <w:framePr w:w="575" w:hAnchor="page" w:vAnchor="page" w:x="11622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1.3 </w:t>
      </w:r>
    </w:p>
    <w:p>
      <w:pPr>
        <w:pStyle w:val="Normal"/>
        <w:framePr w:w="2155" w:hAnchor="page" w:vAnchor="page" w:x="276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expenses</w:t>
      </w:r>
    </w:p>
    <w:p>
      <w:pPr>
        <w:pStyle w:val="Normal"/>
        <w:framePr w:w="344" w:hAnchor="page" w:vAnchor="page" w:x="6973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875 </w:t>
      </w:r>
    </w:p>
    <w:p>
      <w:pPr>
        <w:pStyle w:val="Normal"/>
        <w:framePr w:w="806" w:hAnchor="page" w:vAnchor="page" w:x="9737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1,492 </w:t>
      </w:r>
    </w:p>
    <w:p>
      <w:pPr>
        <w:pStyle w:val="Normal"/>
        <w:framePr w:w="691" w:hAnchor="page" w:vAnchor="page" w:x="11526" w:y="10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24.1 </w:t>
      </w:r>
    </w:p>
    <w:p>
      <w:pPr>
        <w:pStyle w:val="Normal"/>
        <w:framePr w:w="3344" w:hAnchor="page" w:vAnchor="page" w:x="276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6973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221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(17) </w:t>
      </w:r>
    </w:p>
    <w:p>
      <w:pPr>
        <w:pStyle w:val="Normal"/>
        <w:framePr w:w="517" w:hAnchor="page" w:vAnchor="page" w:x="9978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56 </w:t>
      </w:r>
    </w:p>
    <w:p>
      <w:pPr>
        <w:pStyle w:val="Normal"/>
        <w:framePr w:w="575" w:hAnchor="page" w:vAnchor="page" w:x="11622" w:y="10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 </w:t>
      </w:r>
    </w:p>
    <w:p>
      <w:pPr>
        <w:pStyle w:val="Normal"/>
        <w:framePr w:w="3293" w:hAnchor="page" w:vAnchor="page" w:x="276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6973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881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792 </w:t>
      </w:r>
    </w:p>
    <w:p>
      <w:pPr>
        <w:pStyle w:val="Normal"/>
        <w:framePr w:w="691" w:hAnchor="page" w:vAnchor="page" w:x="11526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12.8 </w:t>
      </w:r>
    </w:p>
    <w:p>
      <w:pPr>
        <w:pStyle w:val="Normal"/>
        <w:framePr w:w="3068" w:hAnchor="page" w:vAnchor="page" w:x="276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formation of associate</w:t>
      </w:r>
    </w:p>
    <w:p>
      <w:pPr>
        <w:pStyle w:val="Normal"/>
        <w:framePr w:w="344" w:hAnchor="page" w:vAnchor="page" w:x="6973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285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 </w:t>
      </w:r>
    </w:p>
    <w:p>
      <w:pPr>
        <w:pStyle w:val="Normal"/>
        <w:framePr w:w="787" w:hAnchor="page" w:vAnchor="page" w:x="9817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(258) </w:t>
      </w:r>
    </w:p>
    <w:p>
      <w:pPr>
        <w:pStyle w:val="Normal"/>
        <w:framePr w:w="729" w:hAnchor="page" w:vAnchor="page" w:x="11558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(4.2) </w:t>
      </w:r>
    </w:p>
    <w:p>
      <w:pPr>
        <w:pStyle w:val="Normal"/>
        <w:framePr w:w="2297" w:hAnchor="page" w:vAnchor="page" w:x="27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6973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1,049 </w:t>
      </w:r>
    </w:p>
    <w:p>
      <w:pPr>
        <w:pStyle w:val="Normal"/>
        <w:framePr w:w="806" w:hAnchor="page" w:vAnchor="page" w:x="9737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1,077 </w:t>
      </w:r>
    </w:p>
    <w:p>
      <w:pPr>
        <w:pStyle w:val="Normal"/>
        <w:framePr w:w="691" w:hAnchor="page" w:vAnchor="page" w:x="1152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17.4 </w:t>
      </w:r>
    </w:p>
    <w:p>
      <w:pPr>
        <w:pStyle w:val="Normal"/>
        <w:framePr w:w="2335" w:hAnchor="page" w:vAnchor="page" w:x="276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6973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52" w:hAnchor="page" w:vAnchor="page" w:x="7987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(1,311) </w:t>
      </w:r>
    </w:p>
    <w:p>
      <w:pPr>
        <w:pStyle w:val="Normal"/>
        <w:framePr w:w="787" w:hAnchor="page" w:vAnchor="page" w:x="9817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(905) </w:t>
      </w:r>
    </w:p>
    <w:p>
      <w:pPr>
        <w:pStyle w:val="Normal"/>
        <w:framePr w:w="845" w:hAnchor="page" w:vAnchor="page" w:x="11462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(14.6) </w:t>
      </w:r>
    </w:p>
    <w:p>
      <w:pPr>
        <w:pStyle w:val="Normal"/>
        <w:framePr w:w="3177" w:hAnchor="page" w:vAnchor="page" w:x="276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6973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181 </w:t>
      </w:r>
    </w:p>
    <w:p>
      <w:pPr>
        <w:pStyle w:val="Normal"/>
        <w:framePr w:w="517" w:hAnchor="page" w:vAnchor="page" w:x="9978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 </w:t>
      </w:r>
    </w:p>
    <w:p>
      <w:pPr>
        <w:pStyle w:val="Normal"/>
        <w:framePr w:w="575" w:hAnchor="page" w:vAnchor="page" w:x="11622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1.5 </w:t>
      </w:r>
    </w:p>
    <w:p>
      <w:pPr>
        <w:pStyle w:val="Normal"/>
        <w:framePr w:w="3042" w:hAnchor="page" w:vAnchor="page" w:x="276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6973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864 </w:t>
      </w:r>
    </w:p>
    <w:p>
      <w:pPr>
        <w:pStyle w:val="Normal"/>
        <w:framePr w:w="806" w:hAnchor="page" w:vAnchor="page" w:x="9737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1,324 </w:t>
      </w:r>
    </w:p>
    <w:p>
      <w:pPr>
        <w:pStyle w:val="Normal"/>
        <w:framePr w:w="691" w:hAnchor="page" w:vAnchor="page" w:x="11526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21.4 </w:t>
      </w:r>
    </w:p>
    <w:p>
      <w:pPr>
        <w:pStyle w:val="Normal"/>
        <w:framePr w:w="691" w:hAnchor="page" w:vAnchor="page" w:x="27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Plus:</w:t>
      </w:r>
    </w:p>
    <w:p>
      <w:pPr>
        <w:pStyle w:val="Normal"/>
        <w:framePr w:w="21" w:hAnchor="page" w:vAnchor="page" w:x="6973" w:y="84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207" w:hAnchor="page" w:vAnchor="page" w:x="276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6973" w:y="81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3,626</w:t>
      </w:r>
    </w:p>
    <w:p>
      <w:pPr>
        <w:pStyle w:val="Normal"/>
        <w:framePr w:w="749" w:hAnchor="page" w:vAnchor="page" w:x="9737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4,887</w:t>
      </w:r>
    </w:p>
    <w:p>
      <w:pPr>
        <w:pStyle w:val="Normal"/>
        <w:framePr w:w="633" w:hAnchor="page" w:vAnchor="page" w:x="11526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78.9</w:t>
      </w:r>
    </w:p>
    <w:p>
      <w:pPr>
        <w:pStyle w:val="Normal"/>
        <w:framePr w:w="2951" w:hAnchor="page" w:vAnchor="page" w:x="276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Revenue</w:t>
      </w:r>
    </w:p>
    <w:p>
      <w:pPr>
        <w:pStyle w:val="Normal"/>
        <w:framePr w:w="21" w:hAnchor="page" w:vAnchor="page" w:x="6973" w:y="78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948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19,657</w:t>
      </w:r>
    </w:p>
    <w:p>
      <w:pPr>
        <w:pStyle w:val="Normal"/>
        <w:framePr w:w="864" w:hAnchor="page" w:vAnchor="page" w:x="9640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23,176</w:t>
      </w:r>
    </w:p>
    <w:p>
      <w:pPr>
        <w:pStyle w:val="Normal"/>
        <w:framePr w:w="749" w:hAnchor="page" w:vAnchor="page" w:x="11429" w:y="79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374.4</w:t>
      </w:r>
    </w:p>
    <w:p>
      <w:pPr>
        <w:pStyle w:val="Normal"/>
        <w:framePr w:w="4675" w:hAnchor="page" w:vAnchor="page" w:x="276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CategoryNet Revenue</w:t>
      </w:r>
    </w:p>
    <w:p>
      <w:pPr>
        <w:pStyle w:val="Normal"/>
        <w:framePr w:w="21" w:hAnchor="page" w:vAnchor="page" w:x="6973" w:y="76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122</w:t>
      </w:r>
    </w:p>
    <w:p>
      <w:pPr>
        <w:pStyle w:val="Normal"/>
        <w:framePr w:w="575" w:hAnchor="page" w:vAnchor="page" w:x="9881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372</w:t>
      </w:r>
    </w:p>
    <w:p>
      <w:pPr>
        <w:pStyle w:val="Normal"/>
        <w:framePr w:w="517" w:hAnchor="page" w:vAnchor="page" w:x="11622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6.0</w:t>
      </w:r>
    </w:p>
    <w:p>
      <w:pPr>
        <w:pStyle w:val="Normal"/>
        <w:framePr w:w="6942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CO revenue (exclusive of depreciation and amortization)</w:t>
      </w:r>
    </w:p>
    <w:p>
      <w:pPr>
        <w:pStyle w:val="Normal"/>
        <w:framePr w:w="344" w:hAnchor="page" w:vAnchor="page" w:x="6973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285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56 </w:t>
      </w:r>
    </w:p>
    <w:p>
      <w:pPr>
        <w:pStyle w:val="Normal"/>
        <w:framePr w:w="633" w:hAnchor="page" w:vAnchor="page" w:x="9881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180 </w:t>
      </w:r>
    </w:p>
    <w:p>
      <w:pPr>
        <w:pStyle w:val="Normal"/>
        <w:framePr w:w="575" w:hAnchor="page" w:vAnchor="page" w:x="11622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2.9 </w:t>
      </w:r>
    </w:p>
    <w:p>
      <w:pPr>
        <w:pStyle w:val="Normal"/>
        <w:framePr w:w="4328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CategoryRevenue</w:t>
      </w:r>
    </w:p>
    <w:p>
      <w:pPr>
        <w:pStyle w:val="Normal"/>
        <w:framePr w:w="21" w:hAnchor="page" w:vAnchor="page" w:x="6973" w:y="71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178</w:t>
      </w:r>
    </w:p>
    <w:p>
      <w:pPr>
        <w:pStyle w:val="Normal"/>
        <w:framePr w:w="575" w:hAnchor="page" w:vAnchor="page" w:x="9881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552</w:t>
      </w:r>
    </w:p>
    <w:p>
      <w:pPr>
        <w:pStyle w:val="Normal"/>
        <w:framePr w:w="517" w:hAnchor="page" w:vAnchor="page" w:x="11622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8.9</w:t>
      </w:r>
    </w:p>
    <w:p>
      <w:pPr>
        <w:pStyle w:val="Normal"/>
        <w:framePr w:w="2734" w:hAnchor="page" w:vAnchor="page" w:x="276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Net Revenue</w:t>
      </w:r>
    </w:p>
    <w:p>
      <w:pPr>
        <w:pStyle w:val="Normal"/>
        <w:framePr w:w="21" w:hAnchor="page" w:vAnchor="page" w:x="6973" w:y="685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125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(263)</w:t>
      </w:r>
    </w:p>
    <w:p>
      <w:pPr>
        <w:pStyle w:val="Normal"/>
        <w:framePr w:w="729" w:hAnchor="page" w:vAnchor="page" w:x="9817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(490)</w:t>
      </w:r>
    </w:p>
    <w:p>
      <w:pPr>
        <w:pStyle w:val="Normal"/>
        <w:framePr w:w="729" w:hAnchor="page" w:vAnchor="page" w:x="11558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(7.9) </w:t>
      </w:r>
    </w:p>
    <w:p>
      <w:pPr>
        <w:pStyle w:val="Normal"/>
        <w:framePr w:w="7726" w:hAnchor="page" w:vAnchor="page" w:x="27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Rocketbank revenue (exclusive of depreciation and amortization)</w:t>
      </w:r>
    </w:p>
    <w:p>
      <w:pPr>
        <w:pStyle w:val="Normal"/>
        <w:framePr w:w="344" w:hAnchor="page" w:vAnchor="page" w:x="6973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443 </w:t>
      </w:r>
    </w:p>
    <w:p>
      <w:pPr>
        <w:pStyle w:val="Normal"/>
        <w:framePr w:w="806" w:hAnchor="page" w:vAnchor="page" w:x="9737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1,829 </w:t>
      </w:r>
    </w:p>
    <w:p>
      <w:pPr>
        <w:pStyle w:val="Normal"/>
        <w:framePr w:w="691" w:hAnchor="page" w:vAnchor="page" w:x="1152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29.5 </w:t>
      </w:r>
    </w:p>
    <w:p>
      <w:pPr>
        <w:pStyle w:val="Normal"/>
        <w:framePr w:w="2330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Revenue</w:t>
      </w:r>
    </w:p>
    <w:p>
      <w:pPr>
        <w:pStyle w:val="Normal"/>
        <w:framePr w:w="21" w:hAnchor="page" w:vAnchor="page" w:x="6973" w:y="63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180</w:t>
      </w:r>
    </w:p>
    <w:p>
      <w:pPr>
        <w:pStyle w:val="Normal"/>
        <w:framePr w:w="749" w:hAnchor="page" w:vAnchor="page" w:x="9737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1,339</w:t>
      </w:r>
    </w:p>
    <w:p>
      <w:pPr>
        <w:pStyle w:val="Normal"/>
        <w:framePr w:w="633" w:hAnchor="page" w:vAnchor="page" w:x="1152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21.6</w:t>
      </w:r>
    </w:p>
    <w:p>
      <w:pPr>
        <w:pStyle w:val="Normal"/>
        <w:framePr w:w="2040" w:hAnchor="page" w:vAnchor="page" w:x="276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SME Net Revenue</w:t>
      </w:r>
    </w:p>
    <w:p>
      <w:pPr>
        <w:pStyle w:val="Normal"/>
        <w:framePr w:w="21" w:hAnchor="page" w:vAnchor="page" w:x="6973" w:y="610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2,916</w:t>
      </w:r>
    </w:p>
    <w:p>
      <w:pPr>
        <w:pStyle w:val="Normal"/>
        <w:framePr w:w="575" w:hAnchor="page" w:vAnchor="page" w:x="9881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990</w:t>
      </w:r>
    </w:p>
    <w:p>
      <w:pPr>
        <w:pStyle w:val="Normal"/>
        <w:framePr w:w="633" w:hAnchor="page" w:vAnchor="page" w:x="11526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16.0</w:t>
      </w:r>
    </w:p>
    <w:p>
      <w:pPr>
        <w:pStyle w:val="Normal"/>
        <w:framePr w:w="7096" w:hAnchor="page" w:vAnchor="page" w:x="276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SME revenue (exclusive of depreciation and amortization)</w:t>
      </w:r>
    </w:p>
    <w:p>
      <w:pPr>
        <w:pStyle w:val="Normal"/>
        <w:framePr w:w="344" w:hAnchor="page" w:vAnchor="page" w:x="6973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129 </w:t>
      </w:r>
    </w:p>
    <w:p>
      <w:pPr>
        <w:pStyle w:val="Normal"/>
        <w:framePr w:w="633" w:hAnchor="page" w:vAnchor="page" w:x="9881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180 </w:t>
      </w:r>
    </w:p>
    <w:p>
      <w:pPr>
        <w:pStyle w:val="Normal"/>
        <w:framePr w:w="575" w:hAnchor="page" w:vAnchor="page" w:x="11622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2.9 </w:t>
      </w:r>
    </w:p>
    <w:p>
      <w:pPr>
        <w:pStyle w:val="Normal"/>
        <w:framePr w:w="1635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SME Revenue</w:t>
      </w:r>
    </w:p>
    <w:p>
      <w:pPr>
        <w:pStyle w:val="Normal"/>
        <w:framePr w:w="21" w:hAnchor="page" w:vAnchor="page" w:x="6973" w:y="56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3,045</w:t>
      </w:r>
    </w:p>
    <w:p>
      <w:pPr>
        <w:pStyle w:val="Normal"/>
        <w:framePr w:w="749" w:hAnchor="page" w:vAnchor="page" w:x="9737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1,170</w:t>
      </w:r>
    </w:p>
    <w:p>
      <w:pPr>
        <w:pStyle w:val="Normal"/>
        <w:framePr w:w="633" w:hAnchor="page" w:vAnchor="page" w:x="1152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18.9</w:t>
      </w:r>
    </w:p>
    <w:p>
      <w:pPr>
        <w:pStyle w:val="Normal"/>
        <w:framePr w:w="5324" w:hAnchor="page" w:vAnchor="page" w:x="276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Net Revenue</w:t>
      </w:r>
    </w:p>
    <w:p>
      <w:pPr>
        <w:pStyle w:val="Normal"/>
        <w:framePr w:w="21" w:hAnchor="page" w:vAnchor="page" w:x="6973" w:y="53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385</w:t>
      </w:r>
    </w:p>
    <w:p>
      <w:pPr>
        <w:pStyle w:val="Normal"/>
        <w:framePr w:w="749" w:hAnchor="page" w:vAnchor="page" w:x="9737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1,339</w:t>
      </w:r>
    </w:p>
    <w:p>
      <w:pPr>
        <w:pStyle w:val="Normal"/>
        <w:framePr w:w="633" w:hAnchor="page" w:vAnchor="page" w:x="11526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21.6</w:t>
      </w:r>
    </w:p>
    <w:p>
      <w:pPr>
        <w:pStyle w:val="Normal"/>
        <w:framePr w:w="7032" w:hAnchor="page" w:vAnchor="page" w:x="276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CFS revenue (exclusive of depreciation and amortization)</w:t>
      </w:r>
    </w:p>
    <w:p>
      <w:pPr>
        <w:pStyle w:val="Normal"/>
        <w:framePr w:w="344" w:hAnchor="page" w:vAnchor="page" w:x="6973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173 </w:t>
      </w:r>
    </w:p>
    <w:p>
      <w:pPr>
        <w:pStyle w:val="Normal"/>
        <w:framePr w:w="633" w:hAnchor="page" w:vAnchor="page" w:x="9881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236 </w:t>
      </w:r>
    </w:p>
    <w:p>
      <w:pPr>
        <w:pStyle w:val="Normal"/>
        <w:framePr w:w="575" w:hAnchor="page" w:vAnchor="page" w:x="11622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3.8 </w:t>
      </w:r>
    </w:p>
    <w:p>
      <w:pPr>
        <w:pStyle w:val="Normal"/>
        <w:framePr w:w="4919" w:hAnchor="page" w:vAnchor="page" w:x="27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Revenue</w:t>
      </w:r>
    </w:p>
    <w:p>
      <w:pPr>
        <w:pStyle w:val="Normal"/>
        <w:framePr w:w="21" w:hAnchor="page" w:vAnchor="page" w:x="6973" w:y="485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189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558</w:t>
      </w:r>
    </w:p>
    <w:p>
      <w:pPr>
        <w:pStyle w:val="Normal"/>
        <w:framePr w:w="749" w:hAnchor="page" w:vAnchor="page" w:x="9737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1,575</w:t>
      </w:r>
    </w:p>
    <w:p>
      <w:pPr>
        <w:pStyle w:val="Normal"/>
        <w:framePr w:w="633" w:hAnchor="page" w:vAnchor="page" w:x="1152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25.4</w:t>
      </w:r>
    </w:p>
    <w:p>
      <w:pPr>
        <w:pStyle w:val="Normal"/>
        <w:framePr w:w="4302" w:hAnchor="page" w:vAnchor="page" w:x="276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Net Revenue</w:t>
      </w:r>
    </w:p>
    <w:p>
      <w:pPr>
        <w:pStyle w:val="Normal"/>
        <w:framePr w:w="21" w:hAnchor="page" w:vAnchor="page" w:x="6973" w:y="45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948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16,497</w:t>
      </w:r>
    </w:p>
    <w:p>
      <w:pPr>
        <w:pStyle w:val="Normal"/>
        <w:framePr w:w="864" w:hAnchor="page" w:vAnchor="page" w:x="9640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20,965</w:t>
      </w:r>
    </w:p>
    <w:p>
      <w:pPr>
        <w:pStyle w:val="Normal"/>
        <w:framePr w:w="749" w:hAnchor="page" w:vAnchor="page" w:x="11429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338.7</w:t>
      </w:r>
    </w:p>
    <w:p>
      <w:pPr>
        <w:pStyle w:val="Normal"/>
        <w:framePr w:w="3171" w:hAnchor="page" w:vAnchor="page" w:x="662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Other Adjusted Net Revenue</w:t>
      </w:r>
    </w:p>
    <w:p>
      <w:pPr>
        <w:pStyle w:val="Normal"/>
        <w:framePr w:w="21" w:hAnchor="page" w:vAnchor="page" w:x="6973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2,127</w:t>
      </w:r>
    </w:p>
    <w:p>
      <w:pPr>
        <w:pStyle w:val="Normal"/>
        <w:framePr w:w="749" w:hAnchor="page" w:vAnchor="page" w:x="9737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2,862</w:t>
      </w:r>
    </w:p>
    <w:p>
      <w:pPr>
        <w:pStyle w:val="Normal"/>
        <w:framePr w:w="633" w:hAnchor="page" w:vAnchor="page" w:x="1152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46.2</w:t>
      </w:r>
    </w:p>
    <w:p>
      <w:pPr>
        <w:pStyle w:val="Normal"/>
        <w:framePr w:w="7906" w:hAnchor="page" w:vAnchor="page" w:x="662" w:y="4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Other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(5)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89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828 </w:t>
      </w:r>
    </w:p>
    <w:p>
      <w:pPr>
        <w:pStyle w:val="Normal"/>
        <w:framePr w:w="806" w:hAnchor="page" w:vAnchor="page" w:x="9737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1,103 </w:t>
      </w:r>
    </w:p>
    <w:p>
      <w:pPr>
        <w:pStyle w:val="Normal"/>
        <w:framePr w:w="691" w:hAnchor="page" w:vAnchor="page" w:x="1152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17.8 </w:t>
      </w:r>
    </w:p>
    <w:p>
      <w:pPr>
        <w:pStyle w:val="Normal"/>
        <w:framePr w:w="2205" w:hAnchor="page" w:vAnchor="page" w:x="662" w:y="38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PS Other Revenue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(4)</w:t>
      </w:r>
    </w:p>
    <w:p>
      <w:pPr>
        <w:pStyle w:val="Normal"/>
        <w:framePr w:w="21" w:hAnchor="page" w:vAnchor="page" w:x="6973" w:y="38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044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2,955</w:t>
      </w:r>
    </w:p>
    <w:p>
      <w:pPr>
        <w:pStyle w:val="Normal"/>
        <w:framePr w:w="749" w:hAnchor="page" w:vAnchor="page" w:x="9737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3,965</w:t>
      </w:r>
    </w:p>
    <w:p>
      <w:pPr>
        <w:pStyle w:val="Normal"/>
        <w:framePr w:w="633" w:hAnchor="page" w:vAnchor="page" w:x="1152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64.0</w:t>
      </w:r>
    </w:p>
    <w:p>
      <w:pPr>
        <w:pStyle w:val="Normal"/>
        <w:framePr w:w="3440" w:hAnchor="page" w:vAnchor="page" w:x="662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Payment Adjusted Net Revenue</w:t>
      </w:r>
    </w:p>
    <w:p>
      <w:pPr>
        <w:pStyle w:val="Normal"/>
        <w:framePr w:w="21" w:hAnchor="page" w:vAnchor="page" w:x="6973" w:y="35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948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14,370</w:t>
      </w:r>
    </w:p>
    <w:p>
      <w:pPr>
        <w:pStyle w:val="Normal"/>
        <w:framePr w:w="864" w:hAnchor="page" w:vAnchor="page" w:x="9640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18,103</w:t>
      </w:r>
    </w:p>
    <w:p>
      <w:pPr>
        <w:pStyle w:val="Normal"/>
        <w:framePr w:w="749" w:hAnchor="page" w:vAnchor="page" w:x="11429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292.4</w:t>
      </w:r>
    </w:p>
    <w:p>
      <w:pPr>
        <w:pStyle w:val="Normal"/>
        <w:framePr w:w="1686" w:hAnchor="page" w:vAnchor="page" w:x="854" w:y="33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</w:t>
      </w:r>
    </w:p>
    <w:p>
      <w:pPr>
        <w:pStyle w:val="Normal"/>
        <w:framePr w:w="344" w:hAnchor="page" w:vAnchor="page" w:x="6973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044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9,324 </w:t>
      </w:r>
    </w:p>
    <w:p>
      <w:pPr>
        <w:pStyle w:val="Normal"/>
        <w:framePr w:w="922" w:hAnchor="page" w:vAnchor="page" w:x="9640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12,633 </w:t>
      </w:r>
    </w:p>
    <w:p>
      <w:pPr>
        <w:pStyle w:val="Normal"/>
        <w:framePr w:w="806" w:hAnchor="page" w:vAnchor="page" w:x="11429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204.1 </w:t>
      </w:r>
    </w:p>
    <w:p>
      <w:pPr>
        <w:pStyle w:val="Normal"/>
        <w:framePr w:w="6519" w:hAnchor="page" w:vAnchor="page" w:x="662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Payment Revenue (exclusive of depreciation and</w:t>
      </w:r>
    </w:p>
    <w:p>
      <w:pPr>
        <w:pStyle w:val="Normal"/>
        <w:framePr w:w="2463" w:hAnchor="page" w:vAnchor="page" w:x="662" w:y="2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PS Payment Revenue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6973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7948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23,694 </w:t>
      </w:r>
    </w:p>
    <w:p>
      <w:pPr>
        <w:pStyle w:val="Normal"/>
        <w:framePr w:w="922" w:hAnchor="page" w:vAnchor="page" w:x="9640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30,736 </w:t>
      </w:r>
    </w:p>
    <w:p>
      <w:pPr>
        <w:pStyle w:val="Normal"/>
        <w:framePr w:w="806" w:hAnchor="page" w:vAnchor="page" w:x="11429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495.6 </w:t>
      </w:r>
    </w:p>
    <w:p>
      <w:pPr>
        <w:pStyle w:val="Normal"/>
        <w:framePr w:w="948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</w:t>
      </w:r>
    </w:p>
    <w:p>
      <w:pPr>
        <w:pStyle w:val="Normal"/>
        <w:framePr w:w="3409" w:hAnchor="page" w:vAnchor="page" w:x="58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ment Services Segment Revenue</w:t>
      </w:r>
    </w:p>
    <w:p>
      <w:pPr>
        <w:pStyle w:val="Normal"/>
        <w:framePr w:w="344" w:hAnchor="page" w:vAnchor="page" w:x="697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7948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26,649 </w:t>
      </w:r>
    </w:p>
    <w:p>
      <w:pPr>
        <w:pStyle w:val="Normal"/>
        <w:framePr w:w="922" w:hAnchor="page" w:vAnchor="page" w:x="9640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34,700 </w:t>
      </w:r>
    </w:p>
    <w:p>
      <w:pPr>
        <w:pStyle w:val="Normal"/>
        <w:framePr w:w="806" w:hAnchor="page" w:vAnchor="page" w:x="11429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560.5 </w:t>
      </w:r>
    </w:p>
    <w:p>
      <w:pPr>
        <w:pStyle w:val="Normal"/>
        <w:framePr w:w="2387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6973" w:y="24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002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Adjusted Net Revenue</w:t>
      </w:r>
    </w:p>
    <w:p>
      <w:pPr>
        <w:pStyle w:val="Normal"/>
        <w:framePr w:w="21" w:hAnchor="page" w:vAnchor="page" w:x="6973" w:y="21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948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19,657</w:t>
      </w:r>
    </w:p>
    <w:p>
      <w:pPr>
        <w:pStyle w:val="Normal"/>
        <w:framePr w:w="864" w:hAnchor="page" w:vAnchor="page" w:x="9640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23,176</w:t>
      </w:r>
    </w:p>
    <w:p>
      <w:pPr>
        <w:pStyle w:val="Normal"/>
        <w:framePr w:w="749" w:hAnchor="page" w:vAnchor="page" w:x="11429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374.4</w:t>
      </w:r>
    </w:p>
    <w:p>
      <w:pPr>
        <w:pStyle w:val="Normal"/>
        <w:framePr w:w="6563" w:hAnchor="page" w:vAnchor="page" w:x="27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revenue (exclusive of depreciation and amortization)</w:t>
      </w:r>
    </w:p>
    <w:p>
      <w:pPr>
        <w:pStyle w:val="Normal"/>
        <w:framePr w:w="344" w:hAnchor="page" w:vAnchor="page" w:x="6973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7948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10,953 </w:t>
      </w:r>
    </w:p>
    <w:p>
      <w:pPr>
        <w:pStyle w:val="Normal"/>
        <w:framePr w:w="922" w:hAnchor="page" w:vAnchor="page" w:x="9640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16,160 </w:t>
      </w:r>
    </w:p>
    <w:p>
      <w:pPr>
        <w:pStyle w:val="Normal"/>
        <w:framePr w:w="806" w:hAnchor="page" w:vAnchor="page" w:x="11429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261.0 </w:t>
      </w:r>
    </w:p>
    <w:p>
      <w:pPr>
        <w:pStyle w:val="Normal"/>
        <w:framePr w:w="1076" w:hAnchor="page" w:vAnchor="page" w:x="276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344" w:hAnchor="page" w:vAnchor="page" w:x="697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7948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30,610 </w:t>
      </w:r>
    </w:p>
    <w:p>
      <w:pPr>
        <w:pStyle w:val="Normal"/>
        <w:framePr w:w="922" w:hAnchor="page" w:vAnchor="page" w:x="9640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39,336 </w:t>
      </w:r>
    </w:p>
    <w:p>
      <w:pPr>
        <w:pStyle w:val="Normal"/>
        <w:framePr w:w="806" w:hAnchor="page" w:vAnchor="page" w:x="11429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635.4 </w:t>
      </w:r>
    </w:p>
    <w:p>
      <w:pPr>
        <w:pStyle w:val="Normal"/>
        <w:framePr w:w="273" w:hAnchor="page" w:vAnchor="page" w:x="697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69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386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010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697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71" w:hAnchor="page" w:vAnchor="page" w:x="7235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2018</w:t>
      </w:r>
    </w:p>
    <w:p>
      <w:pPr>
        <w:pStyle w:val="Normal"/>
        <w:framePr w:w="1671" w:hAnchor="page" w:vAnchor="page" w:x="892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2019</w:t>
      </w:r>
    </w:p>
    <w:p>
      <w:pPr>
        <w:pStyle w:val="Normal"/>
        <w:framePr w:w="1671" w:hAnchor="page" w:vAnchor="page" w:x="10620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2019</w:t>
      </w:r>
    </w:p>
    <w:p>
      <w:pPr>
        <w:pStyle w:val="Normal"/>
        <w:framePr w:w="273" w:hAnchor="page" w:vAnchor="page" w:x="6973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405" w:hAnchor="page" w:vAnchor="page" w:x="8621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Full Year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652" w:hAnchor="page" w:vAnchor="page" w:x="3918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Reconciliation of IFRS to Non-IFRS Operating Results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7pt;margin-top:1pt;z-index:-1676806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12.8pt;margin-top:1pt;z-index:-167680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12.8pt;margin-top:2.45pt;z-index:-167680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97.95pt;margin-top:1pt;z-index:-167680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12.8pt;margin-top:1pt;z-index:-167680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12.8pt;margin-top:82pt;z-index:-1676804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347.65pt;margin-top:82pt;z-index:-1676803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60.7pt;margin-top:82pt;z-index:-167680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66.5pt;margin-top:82pt;z-index:-167680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22.9pt;margin-top:82pt;z-index:-167680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433.75pt;margin-top:82pt;z-index:-1676802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445.3pt;margin-top:82pt;z-index:-16768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451.1pt;margin-top:82pt;z-index:-1676801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507.5pt;margin-top:82pt;z-index:-167680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518.35pt;margin-top:82pt;z-index:-1676800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529.95pt;margin-top:82pt;z-index:-16768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35.75pt;margin-top:82pt;z-index:-167679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592.15pt;margin-top:82pt;z-index:-167679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12.8pt;margin-top:106.6pt;z-index:-1676798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347.65pt;margin-top:106.6pt;z-index:-1676798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360.7pt;margin-top:106.6pt;z-index:-16767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366.5pt;margin-top:106.6pt;z-index:-1676797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22.9pt;margin-top:106.6pt;z-index:-167679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33.75pt;margin-top:106.6pt;z-index:-1676796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445.3pt;margin-top:106.6pt;z-index:-16767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451.1pt;margin-top:106.6pt;z-index:-167679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07.5pt;margin-top:106.6pt;z-index:-167679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518.35pt;margin-top:106.6pt;z-index:-1676795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529.95pt;margin-top:106.6pt;z-index:-16767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535.75pt;margin-top:106.6pt;z-index:-167679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592.15pt;margin-top:106.6pt;z-index:-167679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12.8pt;margin-top:131.2pt;z-index:-1676793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347.65pt;margin-top:131.2pt;z-index:-1676793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360.7pt;margin-top:131.2pt;z-index:-16767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366.5pt;margin-top:131.2pt;z-index:-1676792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422.9pt;margin-top:131.2pt;z-index:-167679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33.75pt;margin-top:131.2pt;z-index:-1676791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45.3pt;margin-top:131.2pt;z-index:-167679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51.1pt;margin-top:131.2pt;z-index:-1676790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507.5pt;margin-top:131.2pt;z-index:-167679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518.35pt;margin-top:131.2pt;z-index:-1676790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529.95pt;margin-top:131.2pt;z-index:-16767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35.75pt;margin-top:131.2pt;z-index:-1676789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92.15pt;margin-top:131.2pt;z-index:-167678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12.8pt;margin-top:154.35pt;z-index:-16767884;width:336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347.65pt;margin-top:154.35pt;z-index:-16767880;width: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60.7pt;margin-top:154.35pt;z-index:-1676787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366.5pt;margin-top:154.35pt;z-index:-16767872;width:58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22.9pt;margin-top:154.35pt;z-index:-16767868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33.75pt;margin-top:154.35pt;z-index:-16767864;width:13.5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45.3pt;margin-top:154.35pt;z-index:-1676786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51.1pt;margin-top:154.35pt;z-index:-16767856;width:58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507.5pt;margin-top:154.35pt;z-index:-16767852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18.35pt;margin-top:154.35pt;z-index:-16767848;width:13.5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29.95pt;margin-top:154.35pt;z-index:-1676784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35.75pt;margin-top:154.35pt;z-index:-16767840;width:58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592.15pt;margin-top:154.35pt;z-index:-16767836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12.8pt;margin-top:191.95pt;z-index:-1676783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347.65pt;margin-top:191.95pt;z-index:-1676782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360.7pt;margin-top:191.95pt;z-index:-16767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366.5pt;margin-top:191.95pt;z-index:-1676782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422.9pt;margin-top:191.95pt;z-index:-167678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33.75pt;margin-top:191.95pt;z-index:-1676781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45.3pt;margin-top:191.95pt;z-index:-16767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451.1pt;margin-top:191.95pt;z-index:-167678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07.5pt;margin-top:191.95pt;z-index:-167678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518.35pt;margin-top:191.95pt;z-index:-1676779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529.95pt;margin-top:191.95pt;z-index:-16767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535.75pt;margin-top:191.95pt;z-index:-1676778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92.15pt;margin-top:191.95pt;z-index:-167677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12.8pt;margin-top:216.55pt;z-index:-1676778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47.65pt;margin-top:216.55pt;z-index:-1676777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60.7pt;margin-top:216.55pt;z-index:-16767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366.5pt;margin-top:216.55pt;z-index:-167677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22.9pt;margin-top:216.55pt;z-index:-167677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33.75pt;margin-top:216.55pt;z-index:-1676776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45.3pt;margin-top:216.55pt;z-index:-167677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51.1pt;margin-top:216.55pt;z-index:-167677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07.5pt;margin-top:216.55pt;z-index:-167677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18.35pt;margin-top:216.55pt;z-index:-1676774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29.95pt;margin-top:216.55pt;z-index:-16767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35.75pt;margin-top:216.55pt;z-index:-1676773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592.15pt;margin-top:216.55pt;z-index:-167677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12.8pt;margin-top:242.6pt;z-index:-1676772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347.65pt;margin-top:242.6pt;z-index:-1676772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360.7pt;margin-top:242.6pt;z-index:-16767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366.5pt;margin-top:242.6pt;z-index:-167677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22.9pt;margin-top:242.6pt;z-index:-167677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33.75pt;margin-top:242.6pt;z-index:-167677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45.3pt;margin-top:242.6pt;z-index:-167677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51.1pt;margin-top:242.6pt;z-index:-167677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07.5pt;margin-top:242.6pt;z-index:-167676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18.35pt;margin-top:242.6pt;z-index:-167676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29.95pt;margin-top:242.6pt;z-index:-16767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35.75pt;margin-top:242.6pt;z-index:-167676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92.15pt;margin-top:242.6pt;z-index:-167676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12.8pt;margin-top:267.2pt;z-index:-1676767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347.65pt;margin-top:267.2pt;z-index:-1676767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360.7pt;margin-top:267.2pt;z-index:-16767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366.5pt;margin-top:267.2pt;z-index:-167676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22.9pt;margin-top:267.2pt;z-index:-167676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33.75pt;margin-top:267.2pt;z-index:-1676765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45.3pt;margin-top:267.2pt;z-index:-16767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51.1pt;margin-top:267.2pt;z-index:-1676764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507.5pt;margin-top:267.2pt;z-index:-167676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18.35pt;margin-top:267.2pt;z-index:-1676764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529.95pt;margin-top:267.2pt;z-index:-16767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35.75pt;margin-top:267.2pt;z-index:-167676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592.15pt;margin-top:267.2pt;z-index:-167676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12.8pt;margin-top:291.75pt;z-index:-16767624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47.65pt;margin-top:291.75pt;z-index:-1676762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360.7pt;margin-top:291.75pt;z-index:-167676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366.5pt;margin-top:291.75pt;z-index:-1676761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422.9pt;margin-top:291.75pt;z-index:-167676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33.75pt;margin-top:291.75pt;z-index:-1676760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45.3pt;margin-top:291.75pt;z-index:-167676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51.1pt;margin-top:291.75pt;z-index:-167675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07.5pt;margin-top:291.75pt;z-index:-167675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18.35pt;margin-top:291.75pt;z-index:-1676758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29.95pt;margin-top:291.75pt;z-index:-16767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35.75pt;margin-top:291.75pt;z-index:-1676758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592.15pt;margin-top:291.75pt;z-index:-167675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12.8pt;margin-top:317.8pt;z-index:-1676757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47.65pt;margin-top:317.8pt;z-index:-1676756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60.7pt;margin-top:317.8pt;z-index:-16767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366.5pt;margin-top:317.8pt;z-index:-167675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22.9pt;margin-top:317.8pt;z-index:-167675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33.75pt;margin-top:317.8pt;z-index:-1676755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45.3pt;margin-top:317.8pt;z-index:-167675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51.1pt;margin-top:317.8pt;z-index:-167675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507.5pt;margin-top:317.8pt;z-index:-167675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518.35pt;margin-top:317.8pt;z-index:-1676753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529.95pt;margin-top:317.8pt;z-index:-16767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35.75pt;margin-top:317.8pt;z-index:-167675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92.15pt;margin-top:317.8pt;z-index:-167675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12.8pt;margin-top:342.4pt;z-index:-1676752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347.65pt;margin-top:342.4pt;z-index:-1676751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360.7pt;margin-top:342.4pt;z-index:-167675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366.5pt;margin-top:342.4pt;z-index:-1676750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22.9pt;margin-top:342.4pt;z-index:-167675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33.75pt;margin-top:342.4pt;z-index:-1676750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45.3pt;margin-top:342.4pt;z-index:-167674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451.1pt;margin-top:342.4pt;z-index:-1676749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507.5pt;margin-top:342.4pt;z-index:-167674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518.35pt;margin-top:342.4pt;z-index:-1676748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29.95pt;margin-top:342.4pt;z-index:-167674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35.75pt;margin-top:342.4pt;z-index:-1676747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92.15pt;margin-top:342.4pt;z-index:-167674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12.8pt;margin-top:367pt;z-index:-1676746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47.65pt;margin-top:367pt;z-index:-1676746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60.7pt;margin-top:367pt;z-index:-167674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366.5pt;margin-top:367pt;z-index:-1676745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22.9pt;margin-top:367pt;z-index:-167674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33.75pt;margin-top:367pt;z-index:-1676744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445.3pt;margin-top:367pt;z-index:-167674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451.1pt;margin-top:367pt;z-index:-1676744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07.5pt;margin-top:367pt;z-index:-167674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18.35pt;margin-top:367pt;z-index:-1676743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29.95pt;margin-top:367pt;z-index:-167674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35.75pt;margin-top:367pt;z-index:-1676742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92.15pt;margin-top:367pt;z-index:-167674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12.8pt;margin-top:394.5pt;z-index:-1676741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347.65pt;margin-top:394.5pt;z-index:-1676741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360.7pt;margin-top:394.5pt;z-index:-16767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366.5pt;margin-top:394.5pt;z-index:-167674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22.9pt;margin-top:394.5pt;z-index:-167674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33.75pt;margin-top:394.5pt;z-index:-1676739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45.3pt;margin-top:394.5pt;z-index:-167673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51.1pt;margin-top:394.5pt;z-index:-1676738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507.5pt;margin-top:394.5pt;z-index:-167673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18.35pt;margin-top:394.5pt;z-index:-1676738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29.95pt;margin-top:394.5pt;z-index:-16767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535.75pt;margin-top:394.5pt;z-index:-1676737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592.15pt;margin-top:394.5pt;z-index:-167673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12.8pt;margin-top:421.95pt;z-index:-16767364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47.65pt;margin-top:421.95pt;z-index:-1676736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360.7pt;margin-top:421.95pt;z-index:-167673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366.5pt;margin-top:421.95pt;z-index:-167673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22.9pt;margin-top:421.95pt;z-index:-167673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433.75pt;margin-top:421.95pt;z-index:-1676734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445.3pt;margin-top:421.95pt;z-index:-167673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451.1pt;margin-top:421.95pt;z-index:-1676733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507.5pt;margin-top:421.95pt;z-index:-167673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18.35pt;margin-top:421.95pt;z-index:-1676732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29.95pt;margin-top:421.95pt;z-index:-16767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535.75pt;margin-top:421.95pt;z-index:-1676732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592.15pt;margin-top:421.95pt;z-index:-167673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12.8pt;margin-top:445.1pt;z-index:-1676731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47.65pt;margin-top:445.1pt;z-index:-1676730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360.7pt;margin-top:445.1pt;z-index:-167673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366.5pt;margin-top:445.1pt;z-index:-167673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422.9pt;margin-top:445.1pt;z-index:-167672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433.75pt;margin-top:445.1pt;z-index:-167672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445.3pt;margin-top:445.1pt;z-index:-167672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451.1pt;margin-top:445.1pt;z-index:-167672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507.5pt;margin-top:445.1pt;z-index:-167672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518.35pt;margin-top:445.1pt;z-index:-1676727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529.95pt;margin-top:445.1pt;z-index:-167672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535.75pt;margin-top:445.1pt;z-index:-167672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592.15pt;margin-top:445.1pt;z-index:-167672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12.8pt;margin-top:468.25pt;z-index:-1676726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347.65pt;margin-top:468.25pt;z-index:-1676725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360.7pt;margin-top:468.25pt;z-index:-16767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366.5pt;margin-top:468.25pt;z-index:-1676724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422.9pt;margin-top:468.25pt;z-index:-167672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33.75pt;margin-top:468.25pt;z-index:-1676724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45.3pt;margin-top:468.25pt;z-index:-167672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51.1pt;margin-top:468.25pt;z-index:-167672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07.5pt;margin-top:468.25pt;z-index:-167672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18.35pt;margin-top:468.25pt;z-index:-1676722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529.95pt;margin-top:468.25pt;z-index:-167672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535.75pt;margin-top:468.25pt;z-index:-167672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92.15pt;margin-top:468.25pt;z-index:-167672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12.8pt;margin-top:491.4pt;z-index:-1676720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347.65pt;margin-top:491.4pt;z-index:-1676720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360.7pt;margin-top:491.4pt;z-index:-16767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366.5pt;margin-top:491.4pt;z-index:-167671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22.9pt;margin-top:491.4pt;z-index:-167671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33.75pt;margin-top:491.4pt;z-index:-1676718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45.3pt;margin-top:491.4pt;z-index:-167671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51.1pt;margin-top:491.4pt;z-index:-1676718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07.5pt;margin-top:491.4pt;z-index:-167671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18.35pt;margin-top:491.4pt;z-index:-1676717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29.95pt;margin-top:491.4pt;z-index:-167671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35.75pt;margin-top:491.4pt;z-index:-167671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592.15pt;margin-top:491.4pt;z-index:-167671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12.8pt;margin-top:514.55pt;z-index:-1676715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347.65pt;margin-top:514.55pt;z-index:-1676715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360.7pt;margin-top:514.55pt;z-index:-167671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366.5pt;margin-top:514.55pt;z-index:-167671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422.9pt;margin-top:514.55pt;z-index:-167671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433.75pt;margin-top:514.55pt;z-index:-1676713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445.3pt;margin-top:514.55pt;z-index:-167671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51.1pt;margin-top:514.55pt;z-index:-167671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507.5pt;margin-top:514.55pt;z-index:-167671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518.35pt;margin-top:514.55pt;z-index:-1676712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529.95pt;margin-top:514.55pt;z-index:-16767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35.75pt;margin-top:514.55pt;z-index:-1676711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92.15pt;margin-top:514.55pt;z-index:-167671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12.8pt;margin-top:537.7pt;z-index:-16767104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347.65pt;margin-top:537.7pt;z-index:-1676710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360.7pt;margin-top:537.7pt;z-index:-16767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366.5pt;margin-top:537.7pt;z-index:-1676709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422.9pt;margin-top:537.7pt;z-index:-167670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433.75pt;margin-top:537.7pt;z-index:-1676708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445.3pt;margin-top:537.7pt;z-index:-167670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451.1pt;margin-top:537.7pt;z-index:-1676707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07.5pt;margin-top:537.7pt;z-index:-167670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518.35pt;margin-top:537.7pt;z-index:-1676706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529.95pt;margin-top:537.7pt;z-index:-167670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535.75pt;margin-top:537.7pt;z-index:-167670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92.15pt;margin-top:537.7pt;z-index:-167670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12.8pt;margin-top:563.75pt;z-index:-1676705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347.65pt;margin-top:563.75pt;z-index:-1676704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360.7pt;margin-top:563.75pt;z-index:-167670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366.5pt;margin-top:563.75pt;z-index:-1676704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22.9pt;margin-top:563.75pt;z-index:-167670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33.75pt;margin-top:563.75pt;z-index:-1676703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45.3pt;margin-top:563.75pt;z-index:-167670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51.1pt;margin-top:563.75pt;z-index:-1676702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507.5pt;margin-top:563.75pt;z-index:-167670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518.35pt;margin-top:563.75pt;z-index:-1676701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529.95pt;margin-top:563.75pt;z-index:-167670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35.75pt;margin-top:563.75pt;z-index:-1676700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92.15pt;margin-top:563.75pt;z-index:-167670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12.8pt;margin-top:586.9pt;z-index:-1676700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347.65pt;margin-top:586.9pt;z-index:-1676699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360.7pt;margin-top:586.9pt;z-index:-16766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366.5pt;margin-top:586.9pt;z-index:-1676698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22.9pt;margin-top:586.9pt;z-index:-167669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433.75pt;margin-top:586.9pt;z-index:-1676698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445.3pt;margin-top:586.9pt;z-index:-167669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51.1pt;margin-top:586.9pt;z-index:-1676697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07.5pt;margin-top:586.9pt;z-index:-167669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518.35pt;margin-top:586.9pt;z-index:-1676696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529.95pt;margin-top:586.9pt;z-index:-167669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535.75pt;margin-top:586.9pt;z-index:-1676695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592.15pt;margin-top:586.9pt;z-index:-167669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12.8pt;margin-top:610pt;z-index:-1676694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347.65pt;margin-top:610pt;z-index:-1676694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360.7pt;margin-top:610pt;z-index:-167669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366.5pt;margin-top:610pt;z-index:-1676693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22.9pt;margin-top:610pt;z-index:-167669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433.75pt;margin-top:610pt;z-index:-1676692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445.3pt;margin-top:610pt;z-index:-167669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51.1pt;margin-top:610pt;z-index:-1676692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07.5pt;margin-top:610pt;z-index:-167669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18.35pt;margin-top:610pt;z-index:-1676691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529.95pt;margin-top:610pt;z-index:-167669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35.75pt;margin-top:610pt;z-index:-167669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92.15pt;margin-top:610pt;z-index:-167669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12.8pt;margin-top:644.75pt;z-index:-16766896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347.65pt;margin-top:644.75pt;z-index:-1676689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60.7pt;margin-top:644.75pt;z-index:-16766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66.5pt;margin-top:644.75pt;z-index:-167668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22.9pt;margin-top:644.75pt;z-index:-167668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433.75pt;margin-top:644.75pt;z-index:-1676687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445.3pt;margin-top:644.75pt;z-index:-167668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51.1pt;margin-top:644.75pt;z-index:-167668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507.5pt;margin-top:644.75pt;z-index:-167668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518.35pt;margin-top:644.75pt;z-index:-1676686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529.95pt;margin-top:644.75pt;z-index:-167668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535.75pt;margin-top:644.75pt;z-index:-167668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592.15pt;margin-top:644.75pt;z-index:-167668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12.8pt;margin-top:669.35pt;z-index:-16766844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347.65pt;margin-top:669.35pt;z-index:-1676684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360.7pt;margin-top:669.35pt;z-index:-16766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366.5pt;margin-top:669.35pt;z-index:-167668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22.9pt;margin-top:669.35pt;z-index:-167668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33.75pt;margin-top:669.35pt;z-index:-1676682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45.3pt;margin-top:669.35pt;z-index:-167668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451.1pt;margin-top:669.35pt;z-index:-167668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507.5pt;margin-top:669.35pt;z-index:-167668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518.35pt;margin-top:669.35pt;z-index:-167668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529.95pt;margin-top:669.35pt;z-index:-167668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35.75pt;margin-top:669.35pt;z-index:-167668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92.15pt;margin-top:669.35pt;z-index:-167667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12.8pt;margin-top:693.9pt;z-index:-16766792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347.65pt;margin-top:693.9pt;z-index:-1676678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360.7pt;margin-top:693.9pt;z-index:-167667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366.5pt;margin-top:693.9pt;z-index:-1676678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422.9pt;margin-top:693.9pt;z-index:-167667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433.75pt;margin-top:693.9pt;z-index:-1676677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45.3pt;margin-top:693.9pt;z-index:-167667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51.1pt;margin-top:693.9pt;z-index:-167667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507.5pt;margin-top:693.9pt;z-index:-167667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518.35pt;margin-top:693.9pt;z-index:-1676675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529.95pt;margin-top:693.9pt;z-index:-167667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35.75pt;margin-top:693.9pt;z-index:-1676674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92.15pt;margin-top:693.9pt;z-index:-167667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12.8pt;margin-top:717.05pt;z-index:-16766740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347.65pt;margin-top:717.05pt;z-index:-1676673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360.7pt;margin-top:717.05pt;z-index:-16766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366.5pt;margin-top:717.05pt;z-index:-167667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22.9pt;margin-top:717.05pt;z-index:-167667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433.75pt;margin-top:717.05pt;z-index:-1676672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445.3pt;margin-top:717.05pt;z-index:-167667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451.1pt;margin-top:717.05pt;z-index:-1676671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507.5pt;margin-top:717.05pt;z-index:-167667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518.35pt;margin-top:717.05pt;z-index:-1676670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529.95pt;margin-top:717.05pt;z-index:-167667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535.75pt;margin-top:717.05pt;z-index:-167666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92.15pt;margin-top:717.05pt;z-index:-167666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12.8pt;margin-top:740.2pt;z-index:-16766688;width:336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347.65pt;margin-top:740.2pt;z-index:-1676668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360.7pt;margin-top:740.2pt;z-index:-16766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366.5pt;margin-top:740.2pt;z-index:-1676667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422.9pt;margin-top:740.2pt;z-index:-167666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433.75pt;margin-top:740.2pt;z-index:-1676666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445.3pt;margin-top:740.2pt;z-index:-167666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451.1pt;margin-top:740.2pt;z-index:-167666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507.5pt;margin-top:740.2pt;z-index:-167666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18.35pt;margin-top:740.2pt;z-index:-1676665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29.95pt;margin-top:740.2pt;z-index:-167666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35.75pt;margin-top:740.2pt;z-index:-167666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92.15pt;margin-top:740.2pt;z-index:-167666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360.7pt;margin-top:105.15pt;z-index:-167666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366.5pt;margin-top:105.15pt;z-index:-167666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445.3pt;margin-top:105.15pt;z-index:-167666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451.1pt;margin-top:105.15pt;z-index:-167666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529.95pt;margin-top:105.15pt;z-index:-167666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535.75pt;margin-top:105.15pt;z-index:-1676661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60.7pt;margin-top:118.2pt;z-index:-167666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366.5pt;margin-top:118.2pt;z-index:-1676660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45.3pt;margin-top:118.2pt;z-index:-167666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51.1pt;margin-top:118.2pt;z-index:-1676660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29.95pt;margin-top:118.2pt;z-index:-167665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35.75pt;margin-top:118.2pt;z-index:-1676659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360.7pt;margin-top:177.5pt;z-index:-167665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366.5pt;margin-top:177.5pt;z-index:-1676658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445.3pt;margin-top:177.5pt;z-index:-167665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451.1pt;margin-top:177.5pt;z-index:-167665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29.95pt;margin-top:177.5pt;z-index:-167665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535.75pt;margin-top:177.5pt;z-index:-167665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360.7pt;margin-top:190.5pt;z-index:-167665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66.5pt;margin-top:190.5pt;z-index:-167665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445.3pt;margin-top:190.5pt;z-index:-167665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51.1pt;margin-top:190.5pt;z-index:-167665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529.95pt;margin-top:190.5pt;z-index:-167665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535.75pt;margin-top:190.5pt;z-index:-167665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360.7pt;margin-top:215.1pt;z-index:-167665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366.5pt;margin-top:215.1pt;z-index:-1676653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445.3pt;margin-top:215.1pt;z-index:-167665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451.1pt;margin-top:215.1pt;z-index:-167665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529.95pt;margin-top:215.1pt;z-index:-167665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535.75pt;margin-top:215.1pt;z-index:-1676652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360.7pt;margin-top:228.1pt;z-index:-167665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366.5pt;margin-top:228.1pt;z-index:-1676651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445.3pt;margin-top:228.1pt;z-index:-167665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51.1pt;margin-top:228.1pt;z-index:-167665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529.95pt;margin-top:228.1pt;z-index:-167665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535.75pt;margin-top:228.1pt;z-index:-1676649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360.7pt;margin-top:241.15pt;z-index:-167664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66.5pt;margin-top:241.15pt;z-index:-1676648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445.3pt;margin-top:241.15pt;z-index:-167664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451.1pt;margin-top:241.15pt;z-index:-1676648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529.95pt;margin-top:241.15pt;z-index:-167664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35.75pt;margin-top:241.15pt;z-index:-1676647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360.7pt;margin-top:265.75pt;z-index:-167664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66.5pt;margin-top:265.75pt;z-index:-1676646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45.3pt;margin-top:265.75pt;z-index:-167664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51.1pt;margin-top:265.75pt;z-index:-1676645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529.95pt;margin-top:265.75pt;z-index:-167664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35.75pt;margin-top:265.75pt;z-index:-1676644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360.7pt;margin-top:278.75pt;z-index:-167664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366.5pt;margin-top:278.75pt;z-index:-1676644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445.3pt;margin-top:278.75pt;z-index:-167664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451.1pt;margin-top:278.75pt;z-index:-167664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529.95pt;margin-top:278.75pt;z-index:-167664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535.75pt;margin-top:278.75pt;z-index:-167664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60.7pt;margin-top:303.35pt;z-index:-167664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366.5pt;margin-top:303.35pt;z-index:-1676641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445.3pt;margin-top:303.35pt;z-index:-167664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51.1pt;margin-top:303.35pt;z-index:-1676640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529.95pt;margin-top:303.35pt;z-index:-167664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535.75pt;margin-top:303.35pt;z-index:-1676640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360.7pt;margin-top:316.35pt;z-index:-167663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366.5pt;margin-top:316.35pt;z-index:-1676639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445.3pt;margin-top:316.35pt;z-index:-167663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451.1pt;margin-top:316.35pt;z-index:-1676638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529.95pt;margin-top:316.35pt;z-index:-167663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35.75pt;margin-top:316.35pt;z-index:-167663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360.7pt;margin-top:340.95pt;z-index:-167663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366.5pt;margin-top:340.95pt;z-index:-167663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445.3pt;margin-top:340.95pt;z-index:-167663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451.1pt;margin-top:340.95pt;z-index:-167663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529.95pt;margin-top:340.95pt;z-index:-167663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535.75pt;margin-top:340.95pt;z-index:-167663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360.7pt;margin-top:353.95pt;z-index:-167663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366.5pt;margin-top:353.95pt;z-index:-167663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45.3pt;margin-top:353.95pt;z-index:-167663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51.1pt;margin-top:353.95pt;z-index:-1676633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529.95pt;margin-top:353.95pt;z-index:-167663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535.75pt;margin-top:353.95pt;z-index:-167663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360.7pt;margin-top:378.55pt;z-index:-167663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66.5pt;margin-top:378.55pt;z-index:-1676632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445.3pt;margin-top:378.55pt;z-index:-167663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51.1pt;margin-top:378.55pt;z-index:-1676631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529.95pt;margin-top:378.55pt;z-index:-167663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535.75pt;margin-top:378.55pt;z-index:-167663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360.7pt;margin-top:391.6pt;z-index:-167663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360.7pt;margin-top:393.05pt;z-index:-167662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366.5pt;margin-top:391.6pt;z-index:-1676629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366.5pt;margin-top:393.05pt;z-index:-1676628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445.3pt;margin-top:391.6pt;z-index:-167662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445.3pt;margin-top:393.05pt;z-index:-167662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451.1pt;margin-top:391.6pt;z-index:-167662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451.1pt;margin-top:393.05pt;z-index:-1676627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529.95pt;margin-top:391.6pt;z-index:-167662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29.95pt;margin-top:393.05pt;z-index:-167662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35.75pt;margin-top:391.6pt;z-index:-167662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35.75pt;margin-top:393.05pt;z-index:-1676625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360.7pt;margin-top:406.05pt;z-index:-167662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360.7pt;margin-top:407.5pt;z-index:-167662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366.5pt;margin-top:406.05pt;z-index:-167662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366.5pt;margin-top:407.5pt;z-index:-1676624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445.3pt;margin-top:406.05pt;z-index:-167662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445.3pt;margin-top:407.5pt;z-index:-167662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451.1pt;margin-top:406.05pt;z-index:-167662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451.1pt;margin-top:407.5pt;z-index:-167662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529.95pt;margin-top:406.05pt;z-index:-167662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529.95pt;margin-top:407.5pt;z-index:-167662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535.75pt;margin-top:406.05pt;z-index:-1676621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535.75pt;margin-top:407.5pt;z-index:-1676620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360.7pt;margin-top:420.5pt;z-index:-167662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66.5pt;margin-top:420.5pt;z-index:-1676620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445.3pt;margin-top:420.5pt;z-index:-167661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51.1pt;margin-top:420.5pt;z-index:-1676619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529.95pt;margin-top:420.5pt;z-index:-167661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35.75pt;margin-top:420.5pt;z-index:-1676618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360.7pt;margin-top:549.25pt;z-index:-167661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366.5pt;margin-top:549.25pt;z-index:-167661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445.3pt;margin-top:549.25pt;z-index:-167661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451.1pt;margin-top:549.25pt;z-index:-1676616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29.95pt;margin-top:549.25pt;z-index:-167661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35.75pt;margin-top:549.25pt;z-index:-167661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360.7pt;margin-top:562.3pt;z-index:-167661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366.5pt;margin-top:562.3pt;z-index:-167661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445.3pt;margin-top:562.3pt;z-index:-167661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451.1pt;margin-top:562.3pt;z-index:-167661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529.95pt;margin-top:562.3pt;z-index:-167661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535.75pt;margin-top:562.3pt;z-index:-1676613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360.7pt;margin-top:667.9pt;z-index:-167661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366.5pt;margin-top:667.9pt;z-index:-167661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445.3pt;margin-top:667.9pt;z-index:-167661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451.1pt;margin-top:667.9pt;z-index:-1676612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29.95pt;margin-top:667.9pt;z-index:-167661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535.75pt;margin-top:667.9pt;z-index:-1676611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360.7pt;margin-top:680.9pt;z-index:-167661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66.5pt;margin-top:680.9pt;z-index:-167661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445.3pt;margin-top:680.9pt;z-index:-167661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451.1pt;margin-top:680.9pt;z-index:-1676609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29.95pt;margin-top:680.9pt;z-index:-167660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35.75pt;margin-top:680.9pt;z-index:-1676608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529.95pt;margin-top:64.65pt;z-index:-1676608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529.95pt;margin-top:73.35pt;z-index:-16766080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518.35pt;margin-top:64.65pt;z-index:-16766076;width:1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507.5pt;margin-top:64.65pt;z-index:-16766072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445.3pt;margin-top:64.65pt;z-index:-16766068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445.3pt;margin-top:73.35pt;z-index:-1676606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433.75pt;margin-top:64.65pt;z-index:-16766060;width:1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422.9pt;margin-top:64.65pt;z-index:-16766056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360.7pt;margin-top:73.35pt;z-index:-16766052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60.7pt;margin-top:64.65pt;z-index:-16766048;width:233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12.8pt;margin-top:759pt;z-index:-1676604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</w:p>
    <w:p>
      <w:pPr>
        <w:pStyle w:val="Normal"/>
        <w:framePr w:w="11665" w:hAnchor="page" w:vAnchor="page" w:x="739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period, while the former only include the foreign exchange loss/(gain) on the US dollar amount, which we received at SPO.</w:t>
      </w:r>
    </w:p>
    <w:p>
      <w:pPr>
        <w:pStyle w:val="Normal"/>
        <w:framePr w:w="13733" w:hAnchor="page" w:vAnchor="page" w:x="739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 in the reconciliation of Net Profit to Adjusted EBITDA as the latter includes all the foreign exchange losses/(gains) for the</w:t>
      </w:r>
    </w:p>
    <w:p>
      <w:pPr>
        <w:pStyle w:val="Normal"/>
        <w:framePr w:w="498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3409" w:hAnchor="page" w:vAnchor="page" w:x="739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Forex loss on SPO funds as presented in the reconciliation of Net Profit to Adjusted Net Profit differs from the Foreign exchange loss and</w:t>
      </w:r>
    </w:p>
    <w:p>
      <w:pPr>
        <w:pStyle w:val="Normal"/>
        <w:framePr w:w="498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1288" w:hAnchor="page" w:vAnchor="page" w:x="739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 of fair value adjustments primarily includes the effect of the acquisition of control in Contact and Rapida.</w:t>
      </w:r>
    </w:p>
    <w:p>
      <w:pPr>
        <w:pStyle w:val="Normal"/>
        <w:framePr w:w="8100" w:hAnchor="page" w:vAnchor="page" w:x="739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costs, including but not limited to: costs of call-centers and advertising commissions.</w:t>
      </w:r>
    </w:p>
    <w:p>
      <w:pPr>
        <w:pStyle w:val="Normal"/>
        <w:framePr w:w="498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618" w:hAnchor="page" w:vAnchor="page" w:x="739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Other Revenue (exclusive of depreciation and amortization) primarily consists of direct costs associated with other revenue and other</w:t>
      </w:r>
    </w:p>
    <w:p>
      <w:pPr>
        <w:pStyle w:val="Normal"/>
        <w:framePr w:w="9473" w:hAnchor="page" w:vAnchor="page" w:x="739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overdrafts provided to agents, rent of space for kiosks, cash and settlement services and advertising.</w:t>
      </w:r>
    </w:p>
    <w:p>
      <w:pPr>
        <w:pStyle w:val="Normal"/>
        <w:framePr w:w="498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2910" w:hAnchor="page" w:vAnchor="page" w:x="739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Other Revenue primarily consists of revenue from fees for inactive accounts and unclaimed payments, interest revenue, revenue from</w:t>
      </w:r>
    </w:p>
    <w:p>
      <w:pPr>
        <w:pStyle w:val="Normal"/>
        <w:framePr w:w="9095" w:hAnchor="page" w:vAnchor="page" w:x="739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payable to agents, mobile operators, international payment systems and other parties.</w:t>
      </w:r>
    </w:p>
    <w:p>
      <w:pPr>
        <w:pStyle w:val="Normal"/>
        <w:framePr w:w="498" w:hAnchor="page" w:vAnchor="page" w:x="27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458" w:hAnchor="page" w:vAnchor="page" w:x="739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Payment Revenue (exclusive of depreciation and amortization) primarily consists of transaction costs to acquire payments from our</w:t>
      </w:r>
    </w:p>
    <w:p>
      <w:pPr>
        <w:pStyle w:val="Normal"/>
        <w:framePr w:w="1391" w:hAnchor="page" w:vAnchor="page" w:x="739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transactions.</w:t>
      </w:r>
    </w:p>
    <w:p>
      <w:pPr>
        <w:pStyle w:val="Normal"/>
        <w:framePr w:w="498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536" w:hAnchor="page" w:vAnchor="page" w:x="739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Revenue represents payment processing fees, which primarily consists of the merchant and consumer fees charged for the payment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7pt;margin-top:1pt;z-index:-1676604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12.8pt;margin-top:1pt;z-index:-167660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12.8pt;margin-top:2.45pt;z-index:-167660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97.95pt;margin-top:1pt;z-index:-167660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12.8pt;margin-top:1pt;z-index:-167660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</w:p>
    <w:p>
      <w:pPr>
        <w:pStyle w:val="Normal"/>
        <w:framePr w:w="1764" w:hAnchor="page" w:vAnchor="page" w:x="739" w:y="12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reimbursements.</w:t>
      </w:r>
    </w:p>
    <w:p>
      <w:pPr>
        <w:pStyle w:val="Normal"/>
        <w:framePr w:w="12823" w:hAnchor="page" w:vAnchor="page" w:x="739" w:y="12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online (including, but not limited to the partner-merchants) or withdrawn through ATMs less the amount returned for corresponding</w:t>
      </w:r>
    </w:p>
    <w:p>
      <w:pPr>
        <w:pStyle w:val="Normal"/>
        <w:framePr w:w="498" w:hAnchor="page" w:vAnchor="page" w:x="276" w:y="12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3717" w:hAnchor="page" w:vAnchor="page" w:x="739" w:y="12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segment payment volume consists of the transaction amounts paid by SOVEST card customers to merchants offline</w:t>
      </w:r>
    </w:p>
    <w:p>
      <w:pPr>
        <w:pStyle w:val="Normal"/>
        <w:framePr w:w="3164" w:hAnchor="page" w:vAnchor="page" w:x="739" w:y="11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from the reporting date.</w:t>
      </w:r>
    </w:p>
    <w:p>
      <w:pPr>
        <w:pStyle w:val="Normal"/>
        <w:framePr w:w="498" w:hAnchor="page" w:vAnchor="page" w:x="276" w:y="11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3444" w:hAnchor="page" w:vAnchor="page" w:x="739" w:y="11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calculated on a yearly basis, i.e. an active account is an account that had at least one transaction within the last 12</w:t>
      </w:r>
    </w:p>
    <w:p>
      <w:pPr>
        <w:pStyle w:val="Normal"/>
        <w:framePr w:w="877" w:hAnchor="page" w:vAnchor="page" w:x="739" w:y="11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period.</w:t>
      </w:r>
    </w:p>
    <w:p>
      <w:pPr>
        <w:pStyle w:val="Normal"/>
        <w:framePr w:w="13257" w:hAnchor="page" w:vAnchor="page" w:x="739" w:y="11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kiosks and terminals are calculated as an average of the number of active kiosks and terminals for the last 30 days of the respective reporting</w:t>
      </w:r>
    </w:p>
    <w:p>
      <w:pPr>
        <w:pStyle w:val="Normal"/>
        <w:framePr w:w="13506" w:hAnchor="page" w:vAnchor="page" w:x="739" w:y="10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at least one payment has been processed during the day, which we refer to as active kiosks and terminals. The period end numbers of our</w:t>
      </w:r>
    </w:p>
    <w:p>
      <w:pPr>
        <w:pStyle w:val="Normal"/>
        <w:framePr w:w="498" w:hAnchor="page" w:vAnchor="page" w:x="276" w:y="106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523" w:hAnchor="page" w:vAnchor="page" w:x="739" w:y="106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measure the numbers of our kiosks and terminals on a daily basis, with only those kiosks and terminals being taken into calculation through</w:t>
      </w:r>
    </w:p>
    <w:p>
      <w:pPr>
        <w:pStyle w:val="Normal"/>
        <w:framePr w:w="980" w:hAnchor="page" w:vAnchor="page" w:x="739" w:y="104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volume.</w:t>
      </w:r>
    </w:p>
    <w:p>
      <w:pPr>
        <w:pStyle w:val="Normal"/>
        <w:framePr w:w="498" w:hAnchor="page" w:vAnchor="page" w:x="276" w:y="102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3363" w:hAnchor="page" w:vAnchor="page" w:x="739" w:y="102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Average Adjusted Net Revenue Yield is defined as PS Payment adjusted net revenue divided by Payment Services payment segment</w:t>
      </w:r>
    </w:p>
    <w:p>
      <w:pPr>
        <w:pStyle w:val="Normal"/>
        <w:framePr w:w="877" w:hAnchor="page" w:vAnchor="page" w:x="739" w:y="9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agents.</w:t>
      </w:r>
    </w:p>
    <w:p>
      <w:pPr>
        <w:pStyle w:val="Normal"/>
        <w:framePr w:w="13800" w:hAnchor="page" w:vAnchor="page" w:x="739" w:y="9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D&amp;A). PS Payment Revenue primarily consists of merchant and consumer fees. Cost of PS Payment Revenue primarily consists of commission to</w:t>
      </w:r>
    </w:p>
    <w:p>
      <w:pPr>
        <w:pStyle w:val="Normal"/>
        <w:framePr w:w="498" w:hAnchor="page" w:vAnchor="page" w:x="276" w:y="9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396" w:hAnchor="page" w:vAnchor="page" w:x="739" w:y="9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is calculated as the difference between PS Payment Revenue and PS Cost of Payment Revenue (excluding</w:t>
      </w:r>
    </w:p>
    <w:p>
      <w:pPr>
        <w:pStyle w:val="Normal"/>
        <w:framePr w:w="4771" w:hAnchor="page" w:vAnchor="page" w:x="739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conformity with the methodology used by QIWI.</w:t>
      </w:r>
    </w:p>
    <w:p>
      <w:pPr>
        <w:pStyle w:val="Normal"/>
        <w:framePr w:w="13206" w:hAnchor="page" w:vAnchor="page" w:x="739" w:y="9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restate the presented volumes, net revenues and net revenue yields data in case the methodology of Contact and Rapida will be brought in</w:t>
      </w:r>
    </w:p>
    <w:p>
      <w:pPr>
        <w:pStyle w:val="Normal"/>
        <w:framePr w:w="13731" w:hAnchor="page" w:vAnchor="page" w:x="739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allocation between different market verticals in Contact and Rapida may differ from the methodology used by QIWI. We therefore retain the right</w:t>
      </w:r>
    </w:p>
    <w:p>
      <w:pPr>
        <w:pStyle w:val="Normal"/>
        <w:framePr w:w="13515" w:hAnchor="page" w:vAnchor="page" w:x="739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merchants or other customers included in each of those market verticals less intra-group eliminations. The methodology of payment volumes</w:t>
      </w:r>
    </w:p>
    <w:p>
      <w:pPr>
        <w:pStyle w:val="Normal"/>
        <w:framePr w:w="498" w:hAnchor="page" w:vAnchor="page" w:x="276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651" w:hAnchor="page" w:vAnchor="page" w:x="739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payment volume by market verticals and consolidated payment volume consist of the amounts paid by our customers</w:t>
      </w:r>
    </w:p>
    <w:p>
      <w:pPr>
        <w:pStyle w:val="Normal"/>
        <w:framePr w:w="5580" w:hAnchor="page" w:vAnchor="page" w:x="739" w:y="81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December 31, 2019.</w:t>
      </w:r>
    </w:p>
    <w:p>
      <w:pPr>
        <w:pStyle w:val="Normal"/>
        <w:framePr w:w="498" w:hAnchor="page" w:vAnchor="page" w:x="276" w:y="78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78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61.9057 to U.S. $1.00, which was the official exchange rate quoted by the Central</w:t>
      </w:r>
    </w:p>
    <w:p>
      <w:pPr>
        <w:pStyle w:val="Normal"/>
        <w:framePr w:w="21" w:hAnchor="page" w:vAnchor="page" w:x="6858" w:y="76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325" w:hAnchor="page" w:vAnchor="page" w:x="276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CFS Segment Net Revenue Yield</w:t>
      </w:r>
    </w:p>
    <w:p>
      <w:pPr>
        <w:pStyle w:val="Normal"/>
        <w:framePr w:w="344" w:hAnchor="page" w:vAnchor="page" w:x="6858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3.44% </w:t>
      </w:r>
    </w:p>
    <w:p>
      <w:pPr>
        <w:pStyle w:val="Normal"/>
        <w:framePr w:w="883" w:hAnchor="page" w:vAnchor="page" w:x="9761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4.81% </w:t>
      </w:r>
    </w:p>
    <w:p>
      <w:pPr>
        <w:pStyle w:val="Normal"/>
        <w:framePr w:w="883" w:hAnchor="page" w:vAnchor="page" w:x="11497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4.81% </w:t>
      </w:r>
    </w:p>
    <w:p>
      <w:pPr>
        <w:pStyle w:val="Normal"/>
        <w:framePr w:w="2881" w:hAnchor="page" w:vAnchor="page" w:x="276" w:y="7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volume (million)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(7)</w:t>
      </w:r>
    </w:p>
    <w:p>
      <w:pPr>
        <w:pStyle w:val="Normal"/>
        <w:framePr w:w="344" w:hAnchor="page" w:vAnchor="page" w:x="6858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75" w:hAnchor="page" w:vAnchor="page" w:x="8121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5.8 </w:t>
      </w:r>
    </w:p>
    <w:p>
      <w:pPr>
        <w:pStyle w:val="Normal"/>
        <w:framePr w:w="575" w:hAnchor="page" w:vAnchor="page" w:x="9857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9.8 </w:t>
      </w:r>
    </w:p>
    <w:p>
      <w:pPr>
        <w:pStyle w:val="Normal"/>
        <w:framePr w:w="575" w:hAnchor="page" w:vAnchor="page" w:x="11593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6218" w:hAnchor="page" w:vAnchor="page" w:x="276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keyoperating metrics</w:t>
      </w:r>
    </w:p>
    <w:p>
      <w:pPr>
        <w:pStyle w:val="Normal"/>
        <w:framePr w:w="21" w:hAnchor="page" w:vAnchor="page" w:x="6858" w:y="69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80" w:hAnchor="page" w:vAnchor="page" w:x="276" w:y="66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(million)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6858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025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20.8 </w:t>
      </w:r>
    </w:p>
    <w:p>
      <w:pPr>
        <w:pStyle w:val="Normal"/>
        <w:framePr w:w="691" w:hAnchor="page" w:vAnchor="page" w:x="9761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22.5 </w:t>
      </w:r>
    </w:p>
    <w:p>
      <w:pPr>
        <w:pStyle w:val="Normal"/>
        <w:framePr w:w="691" w:hAnchor="page" w:vAnchor="page" w:x="11497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22.5 </w:t>
      </w:r>
    </w:p>
    <w:p>
      <w:pPr>
        <w:pStyle w:val="Normal"/>
        <w:framePr w:w="3678" w:hAnchor="page" w:vAnchor="page" w:x="276" w:y="6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kiosks and terminals (units)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6858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38" w:hAnchor="page" w:vAnchor="page" w:x="7736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143,690 </w:t>
      </w:r>
    </w:p>
    <w:p>
      <w:pPr>
        <w:pStyle w:val="Normal"/>
        <w:framePr w:w="1038" w:hAnchor="page" w:vAnchor="page" w:x="9472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134,280 </w:t>
      </w:r>
    </w:p>
    <w:p>
      <w:pPr>
        <w:pStyle w:val="Normal"/>
        <w:framePr w:w="1038" w:hAnchor="page" w:vAnchor="page" w:x="11208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134,280 </w:t>
      </w:r>
    </w:p>
    <w:p>
      <w:pPr>
        <w:pStyle w:val="Normal"/>
        <w:framePr w:w="4565" w:hAnchor="page" w:vAnchor="page" w:x="276" w:y="61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Yield</w:t>
      </w:r>
    </w:p>
    <w:p>
      <w:pPr>
        <w:pStyle w:val="Normal"/>
        <w:framePr w:w="21" w:hAnchor="page" w:vAnchor="page" w:x="6858" w:y="61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025" w:y="61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1.43%</w:t>
      </w:r>
    </w:p>
    <w:p>
      <w:pPr>
        <w:pStyle w:val="Normal"/>
        <w:framePr w:w="826" w:hAnchor="page" w:vAnchor="page" w:x="9761" w:y="61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1.37%</w:t>
      </w:r>
    </w:p>
    <w:p>
      <w:pPr>
        <w:pStyle w:val="Normal"/>
        <w:framePr w:w="884" w:hAnchor="page" w:vAnchor="page" w:x="11497" w:y="61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1.37% </w:t>
      </w:r>
    </w:p>
    <w:p>
      <w:pPr>
        <w:pStyle w:val="Normal"/>
        <w:framePr w:w="755" w:hAnchor="page" w:vAnchor="page" w:x="276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858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0.60% </w:t>
      </w:r>
    </w:p>
    <w:p>
      <w:pPr>
        <w:pStyle w:val="Normal"/>
        <w:framePr w:w="883" w:hAnchor="page" w:vAnchor="page" w:x="9761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0.62% </w:t>
      </w:r>
    </w:p>
    <w:p>
      <w:pPr>
        <w:pStyle w:val="Normal"/>
        <w:framePr w:w="883" w:hAnchor="page" w:vAnchor="page" w:x="11497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0.62% </w:t>
      </w:r>
    </w:p>
    <w:p>
      <w:pPr>
        <w:pStyle w:val="Normal"/>
        <w:framePr w:w="1021" w:hAnchor="page" w:vAnchor="page" w:x="27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6858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0.45% </w:t>
      </w:r>
    </w:p>
    <w:p>
      <w:pPr>
        <w:pStyle w:val="Normal"/>
        <w:framePr w:w="883" w:hAnchor="page" w:vAnchor="page" w:x="9761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0.45% </w:t>
      </w:r>
    </w:p>
    <w:p>
      <w:pPr>
        <w:pStyle w:val="Normal"/>
        <w:framePr w:w="883" w:hAnchor="page" w:vAnchor="page" w:x="11497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0.45% </w:t>
      </w:r>
    </w:p>
    <w:p>
      <w:pPr>
        <w:pStyle w:val="Normal"/>
        <w:framePr w:w="2008" w:hAnchor="page" w:vAnchor="page" w:x="27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6858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0.98% </w:t>
      </w:r>
    </w:p>
    <w:p>
      <w:pPr>
        <w:pStyle w:val="Normal"/>
        <w:framePr w:w="883" w:hAnchor="page" w:vAnchor="page" w:x="9761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0.95% </w:t>
      </w:r>
    </w:p>
    <w:p>
      <w:pPr>
        <w:pStyle w:val="Normal"/>
        <w:framePr w:w="883" w:hAnchor="page" w:vAnchor="page" w:x="11497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0.95% </w:t>
      </w:r>
    </w:p>
    <w:p>
      <w:pPr>
        <w:pStyle w:val="Normal"/>
        <w:framePr w:w="1892" w:hAnchor="page" w:vAnchor="page" w:x="27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6858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0.39% </w:t>
      </w:r>
    </w:p>
    <w:p>
      <w:pPr>
        <w:pStyle w:val="Normal"/>
        <w:framePr w:w="883" w:hAnchor="page" w:vAnchor="page" w:x="9761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0.41% </w:t>
      </w:r>
    </w:p>
    <w:p>
      <w:pPr>
        <w:pStyle w:val="Normal"/>
        <w:framePr w:w="883" w:hAnchor="page" w:vAnchor="page" w:x="11497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0.41% </w:t>
      </w:r>
    </w:p>
    <w:p>
      <w:pPr>
        <w:pStyle w:val="Normal"/>
        <w:framePr w:w="1410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6858" w:y="496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025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2.84%</w:t>
      </w:r>
    </w:p>
    <w:p>
      <w:pPr>
        <w:pStyle w:val="Normal"/>
        <w:framePr w:w="826" w:hAnchor="page" w:vAnchor="page" w:x="9761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2.50%</w:t>
      </w:r>
    </w:p>
    <w:p>
      <w:pPr>
        <w:pStyle w:val="Normal"/>
        <w:framePr w:w="884" w:hAnchor="page" w:vAnchor="page" w:x="11497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2.50% </w:t>
      </w:r>
    </w:p>
    <w:p>
      <w:pPr>
        <w:pStyle w:val="Normal"/>
        <w:framePr w:w="5120" w:hAnchor="page" w:vAnchor="page" w:x="276" w:y="47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Average Adjusted Net Revenue Yield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(4)</w:t>
      </w:r>
    </w:p>
    <w:p>
      <w:pPr>
        <w:pStyle w:val="Normal"/>
        <w:framePr w:w="21" w:hAnchor="page" w:vAnchor="page" w:x="6858" w:y="47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025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1.25%</w:t>
      </w:r>
    </w:p>
    <w:p>
      <w:pPr>
        <w:pStyle w:val="Normal"/>
        <w:framePr w:w="864" w:hAnchor="page" w:vAnchor="page" w:x="9761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1.21%</w:t>
      </w:r>
    </w:p>
    <w:p>
      <w:pPr>
        <w:pStyle w:val="Normal"/>
        <w:framePr w:w="922" w:hAnchor="page" w:vAnchor="page" w:x="11497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1.21% </w:t>
      </w:r>
    </w:p>
    <w:p>
      <w:pPr>
        <w:pStyle w:val="Normal"/>
        <w:framePr w:w="755" w:hAnchor="page" w:vAnchor="page" w:x="276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858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025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62.1 </w:t>
      </w:r>
    </w:p>
    <w:p>
      <w:pPr>
        <w:pStyle w:val="Normal"/>
        <w:framePr w:w="691" w:hAnchor="page" w:vAnchor="page" w:x="9761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59.6 </w:t>
      </w:r>
    </w:p>
    <w:p>
      <w:pPr>
        <w:pStyle w:val="Normal"/>
        <w:framePr w:w="575" w:hAnchor="page" w:vAnchor="page" w:x="11593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 </w:t>
      </w:r>
    </w:p>
    <w:p>
      <w:pPr>
        <w:pStyle w:val="Normal"/>
        <w:framePr w:w="1021" w:hAnchor="page" w:vAnchor="page" w:x="276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6858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928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191.1 </w:t>
      </w:r>
    </w:p>
    <w:p>
      <w:pPr>
        <w:pStyle w:val="Normal"/>
        <w:framePr w:w="806" w:hAnchor="page" w:vAnchor="page" w:x="9664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192.5 </w:t>
      </w:r>
    </w:p>
    <w:p>
      <w:pPr>
        <w:pStyle w:val="Normal"/>
        <w:framePr w:w="575" w:hAnchor="page" w:vAnchor="page" w:x="11593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3.1 </w:t>
      </w:r>
    </w:p>
    <w:p>
      <w:pPr>
        <w:pStyle w:val="Normal"/>
        <w:framePr w:w="2008" w:hAnchor="page" w:vAnchor="page" w:x="276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6858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80" w:hAnchor="page" w:vAnchor="page" w:x="7784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1,159.3 </w:t>
      </w:r>
    </w:p>
    <w:p>
      <w:pPr>
        <w:pStyle w:val="Normal"/>
        <w:framePr w:w="980" w:hAnchor="page" w:vAnchor="page" w:x="9520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1,490.9 </w:t>
      </w:r>
    </w:p>
    <w:p>
      <w:pPr>
        <w:pStyle w:val="Normal"/>
        <w:framePr w:w="691" w:hAnchor="page" w:vAnchor="page" w:x="11497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24.1 </w:t>
      </w:r>
    </w:p>
    <w:p>
      <w:pPr>
        <w:pStyle w:val="Normal"/>
        <w:framePr w:w="1892" w:hAnchor="page" w:vAnchor="page" w:x="276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6858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928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282.3 </w:t>
      </w:r>
    </w:p>
    <w:p>
      <w:pPr>
        <w:pStyle w:val="Normal"/>
        <w:framePr w:w="806" w:hAnchor="page" w:vAnchor="page" w:x="9664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332.8 </w:t>
      </w:r>
    </w:p>
    <w:p>
      <w:pPr>
        <w:pStyle w:val="Normal"/>
        <w:framePr w:w="575" w:hAnchor="page" w:vAnchor="page" w:x="11593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5.4 </w:t>
      </w:r>
    </w:p>
    <w:p>
      <w:pPr>
        <w:pStyle w:val="Normal"/>
        <w:framePr w:w="1410" w:hAnchor="page" w:vAnchor="page" w:x="276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6858" w:y="351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7784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2,423.6</w:t>
      </w:r>
    </w:p>
    <w:p>
      <w:pPr>
        <w:pStyle w:val="Normal"/>
        <w:framePr w:w="922" w:hAnchor="page" w:vAnchor="page" w:x="9520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2,763.7</w:t>
      </w:r>
    </w:p>
    <w:p>
      <w:pPr>
        <w:pStyle w:val="Normal"/>
        <w:framePr w:w="633" w:hAnchor="page" w:vAnchor="page" w:x="11497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44.6</w:t>
      </w:r>
    </w:p>
    <w:p>
      <w:pPr>
        <w:pStyle w:val="Normal"/>
        <w:framePr w:w="4465" w:hAnchor="page" w:vAnchor="page" w:x="276" w:y="32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adjusted net revenue (million)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21" w:hAnchor="page" w:vAnchor="page" w:x="6858" w:y="325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7795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4,118.4</w:t>
      </w:r>
    </w:p>
    <w:p>
      <w:pPr>
        <w:pStyle w:val="Normal"/>
        <w:framePr w:w="922" w:hAnchor="page" w:vAnchor="page" w:x="9520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4,839.5</w:t>
      </w:r>
    </w:p>
    <w:p>
      <w:pPr>
        <w:pStyle w:val="Normal"/>
        <w:framePr w:w="633" w:hAnchor="page" w:vAnchor="page" w:x="11497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78.2</w:t>
      </w:r>
    </w:p>
    <w:p>
      <w:pPr>
        <w:pStyle w:val="Normal"/>
        <w:framePr w:w="755" w:hAnchor="page" w:vAnchor="page" w:x="276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858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025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10.4 </w:t>
      </w:r>
    </w:p>
    <w:p>
      <w:pPr>
        <w:pStyle w:val="Normal"/>
        <w:framePr w:w="575" w:hAnchor="page" w:vAnchor="page" w:x="9857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9.6 </w:t>
      </w:r>
    </w:p>
    <w:p>
      <w:pPr>
        <w:pStyle w:val="Normal"/>
        <w:framePr w:w="575" w:hAnchor="page" w:vAnchor="page" w:x="11593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1021" w:hAnchor="page" w:vAnchor="page" w:x="276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6858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025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42.1 </w:t>
      </w:r>
    </w:p>
    <w:p>
      <w:pPr>
        <w:pStyle w:val="Normal"/>
        <w:framePr w:w="691" w:hAnchor="page" w:vAnchor="page" w:x="9761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42.7 </w:t>
      </w:r>
    </w:p>
    <w:p>
      <w:pPr>
        <w:pStyle w:val="Normal"/>
        <w:framePr w:w="575" w:hAnchor="page" w:vAnchor="page" w:x="11593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0.7 </w:t>
      </w:r>
    </w:p>
    <w:p>
      <w:pPr>
        <w:pStyle w:val="Normal"/>
        <w:framePr w:w="2008" w:hAnchor="page" w:vAnchor="page" w:x="276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6858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8" w:hAnchor="page" w:vAnchor="page" w:x="7936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118.9 </w:t>
      </w:r>
    </w:p>
    <w:p>
      <w:pPr>
        <w:pStyle w:val="Normal"/>
        <w:framePr w:w="806" w:hAnchor="page" w:vAnchor="page" w:x="9664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156.2 </w:t>
      </w:r>
    </w:p>
    <w:p>
      <w:pPr>
        <w:pStyle w:val="Normal"/>
        <w:framePr w:w="575" w:hAnchor="page" w:vAnchor="page" w:x="11593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2.5 </w:t>
      </w:r>
    </w:p>
    <w:p>
      <w:pPr>
        <w:pStyle w:val="Normal"/>
        <w:framePr w:w="1892" w:hAnchor="page" w:vAnchor="page" w:x="276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6858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025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72.1 </w:t>
      </w:r>
    </w:p>
    <w:p>
      <w:pPr>
        <w:pStyle w:val="Normal"/>
        <w:framePr w:w="691" w:hAnchor="page" w:vAnchor="page" w:x="9761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81.4 </w:t>
      </w:r>
    </w:p>
    <w:p>
      <w:pPr>
        <w:pStyle w:val="Normal"/>
        <w:framePr w:w="575" w:hAnchor="page" w:vAnchor="page" w:x="11593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1.3 </w:t>
      </w:r>
    </w:p>
    <w:p>
      <w:pPr>
        <w:pStyle w:val="Normal"/>
        <w:framePr w:w="1410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6858" w:y="20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33" w:hAnchor="page" w:vAnchor="page" w:x="8025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85.4</w:t>
      </w:r>
    </w:p>
    <w:p>
      <w:pPr>
        <w:pStyle w:val="Normal"/>
        <w:framePr w:w="749" w:hAnchor="page" w:vAnchor="page" w:x="9672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110.6</w:t>
      </w:r>
    </w:p>
    <w:p>
      <w:pPr>
        <w:pStyle w:val="Normal"/>
        <w:framePr w:w="517" w:hAnchor="page" w:vAnchor="page" w:x="11593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1.8</w:t>
      </w:r>
    </w:p>
    <w:p>
      <w:pPr>
        <w:pStyle w:val="Normal"/>
        <w:framePr w:w="948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</w:t>
      </w:r>
    </w:p>
    <w:p>
      <w:pPr>
        <w:pStyle w:val="Normal"/>
        <w:framePr w:w="2560" w:hAnchor="page" w:vAnchor="page" w:x="586" w:y="18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ment volume (billion)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6858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928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328.9 </w:t>
      </w:r>
    </w:p>
    <w:p>
      <w:pPr>
        <w:pStyle w:val="Normal"/>
        <w:framePr w:w="806" w:hAnchor="page" w:vAnchor="page" w:x="9664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400.5 </w:t>
      </w:r>
    </w:p>
    <w:p>
      <w:pPr>
        <w:pStyle w:val="Normal"/>
        <w:framePr w:w="575" w:hAnchor="page" w:vAnchor="page" w:x="11593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6.5 </w:t>
      </w:r>
    </w:p>
    <w:p>
      <w:pPr>
        <w:pStyle w:val="Normal"/>
        <w:framePr w:w="948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</w:t>
      </w:r>
    </w:p>
    <w:p>
      <w:pPr>
        <w:pStyle w:val="Normal"/>
        <w:framePr w:w="3254" w:hAnchor="page" w:vAnchor="page" w:x="58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ment Services Segment key</w:t>
      </w:r>
    </w:p>
    <w:p>
      <w:pPr>
        <w:pStyle w:val="Normal"/>
        <w:framePr w:w="2027" w:hAnchor="page" w:vAnchor="page" w:x="2819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operating metrics</w:t>
      </w:r>
    </w:p>
    <w:p>
      <w:pPr>
        <w:pStyle w:val="Normal"/>
        <w:framePr w:w="344" w:hAnchor="page" w:vAnchor="page" w:x="6858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6858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577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313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0962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6858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71" w:hAnchor="page" w:vAnchor="page" w:x="7119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2018</w:t>
      </w:r>
    </w:p>
    <w:p>
      <w:pPr>
        <w:pStyle w:val="Normal"/>
        <w:framePr w:w="1671" w:hAnchor="page" w:vAnchor="page" w:x="8855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2019</w:t>
      </w:r>
    </w:p>
    <w:p>
      <w:pPr>
        <w:pStyle w:val="Normal"/>
        <w:framePr w:w="1671" w:hAnchor="page" w:vAnchor="page" w:x="10591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2019</w:t>
      </w:r>
    </w:p>
    <w:p>
      <w:pPr>
        <w:pStyle w:val="Normal"/>
        <w:framePr w:w="586" w:hAnchor="page" w:vAnchor="page" w:x="7571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307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11043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273" w:hAnchor="page" w:vAnchor="page" w:x="6858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8396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2426" w:hAnchor="page" w:vAnchor="page" w:x="5262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Operating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7pt;margin-top:1pt;z-index:-1676602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12.8pt;margin-top:1pt;z-index:-1676601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12.8pt;margin-top:2.45pt;z-index:-167660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597.95pt;margin-top:1pt;z-index:-1676600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12.8pt;margin-top:1pt;z-index:-167660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12.8pt;margin-top:78.4pt;z-index:-16766000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341.9pt;margin-top:78.4pt;z-index:-1676599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354.9pt;margin-top:78.4pt;z-index:-167659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359.95pt;margin-top:78.4pt;z-index:-1676598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417.1pt;margin-top:78.4pt;z-index:-167659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429.4pt;margin-top:78.4pt;z-index:-167659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441.7pt;margin-top:78.4pt;z-index:-167659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446.75pt;margin-top:78.4pt;z-index:-1676597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503.9pt;margin-top:78.4pt;z-index:-167659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16.2pt;margin-top:78.4pt;z-index:-167659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28.5pt;margin-top:78.4pt;z-index:-167659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33.55pt;margin-top:78.4pt;z-index:-1676595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90.7pt;margin-top:78.4pt;z-index:-167659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12.8pt;margin-top:103pt;z-index:-16765948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341.9pt;margin-top:103pt;z-index:-1676594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354.9pt;margin-top:103pt;z-index:-167659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359.95pt;margin-top:103pt;z-index:-1676593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17.1pt;margin-top:103pt;z-index:-167659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29.4pt;margin-top:103pt;z-index:-167659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41.7pt;margin-top:103pt;z-index:-167659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46.75pt;margin-top:103pt;z-index:-1676592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503.9pt;margin-top:103pt;z-index:-167659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516.2pt;margin-top:103pt;z-index:-167659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528.5pt;margin-top:103pt;z-index:-167659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33.55pt;margin-top:103pt;z-index:-1676590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590.7pt;margin-top:103pt;z-index:-167659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12.8pt;margin-top:126.15pt;z-index:-16765896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341.9pt;margin-top:126.15pt;z-index:-1676589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354.9pt;margin-top:126.15pt;z-index:-167658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359.95pt;margin-top:126.15pt;z-index:-1676588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417.1pt;margin-top:126.15pt;z-index:-167658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429.4pt;margin-top:126.15pt;z-index:-167658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41.7pt;margin-top:126.15pt;z-index:-167658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446.75pt;margin-top:126.15pt;z-index:-1676586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503.9pt;margin-top:126.15pt;z-index:-167658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516.2pt;margin-top:126.15pt;z-index:-167658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28.5pt;margin-top:126.15pt;z-index:-167658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33.55pt;margin-top:126.15pt;z-index:-1676585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90.7pt;margin-top:126.15pt;z-index:-167658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12.8pt;margin-top:149.3pt;z-index:-16765844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341.9pt;margin-top:149.3pt;z-index:-1676584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354.9pt;margin-top:149.3pt;z-index:-167658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359.95pt;margin-top:149.3pt;z-index:-1676583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417.1pt;margin-top:149.3pt;z-index:-167658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29.4pt;margin-top:149.3pt;z-index:-167658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41.7pt;margin-top:149.3pt;z-index:-167658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46.75pt;margin-top:149.3pt;z-index:-1676581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03.9pt;margin-top:149.3pt;z-index:-167658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16.2pt;margin-top:149.3pt;z-index:-167658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28.5pt;margin-top:149.3pt;z-index:-167658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533.55pt;margin-top:149.3pt;z-index:-1676580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590.7pt;margin-top:149.3pt;z-index:-167657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12.8pt;margin-top:175.3pt;z-index:-16765792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341.9pt;margin-top:175.3pt;z-index:-1676578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354.9pt;margin-top:175.3pt;z-index:-167657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359.95pt;margin-top:175.3pt;z-index:-1676578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17.1pt;margin-top:175.3pt;z-index:-167657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429.4pt;margin-top:175.3pt;z-index:-167657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41.7pt;margin-top:175.3pt;z-index:-167657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46.75pt;margin-top:175.3pt;z-index:-1676576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503.9pt;margin-top:175.3pt;z-index:-167657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516.2pt;margin-top:175.3pt;z-index:-167657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28.5pt;margin-top:175.3pt;z-index:-167657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33.55pt;margin-top:175.3pt;z-index:-1676574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90.7pt;margin-top:175.3pt;z-index:-167657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12.8pt;margin-top:198.45pt;z-index:-16765740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341.9pt;margin-top:198.45pt;z-index:-1676573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54.9pt;margin-top:198.45pt;z-index:-167657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359.95pt;margin-top:198.45pt;z-index:-1676572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417.1pt;margin-top:198.45pt;z-index:-167657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429.4pt;margin-top:198.45pt;z-index:-167657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441.7pt;margin-top:198.45pt;z-index:-167657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46.75pt;margin-top:198.45pt;z-index:-1676571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503.9pt;margin-top:198.45pt;z-index:-167657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16.2pt;margin-top:198.45pt;z-index:-167657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528.5pt;margin-top:198.45pt;z-index:-167657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533.55pt;margin-top:198.45pt;z-index:-1676569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90.7pt;margin-top:198.45pt;z-index:-167656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12.8pt;margin-top:221.6pt;z-index:-16765688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341.9pt;margin-top:221.6pt;z-index:-1676568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354.9pt;margin-top:221.6pt;z-index:-167656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359.95pt;margin-top:221.6pt;z-index:-1676567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417.1pt;margin-top:221.6pt;z-index:-167656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29.4pt;margin-top:221.6pt;z-index:-167656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41.7pt;margin-top:221.6pt;z-index:-167656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446.75pt;margin-top:221.6pt;z-index:-1676566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03.9pt;margin-top:221.6pt;z-index:-167656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16.2pt;margin-top:221.6pt;z-index:-167656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28.5pt;margin-top:221.6pt;z-index:-167656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33.55pt;margin-top:221.6pt;z-index:-1676564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90.7pt;margin-top:221.6pt;z-index:-167656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12.8pt;margin-top:247.65pt;z-index:-16765636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341.9pt;margin-top:247.65pt;z-index:-1676563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354.9pt;margin-top:247.65pt;z-index:-167656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359.95pt;margin-top:247.65pt;z-index:-1676562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417.1pt;margin-top:247.65pt;z-index:-167656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29.4pt;margin-top:247.65pt;z-index:-167656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41.7pt;margin-top:247.65pt;z-index:-1676561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446.75pt;margin-top:247.65pt;z-index:-1676560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503.9pt;margin-top:247.65pt;z-index:-167656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516.2pt;margin-top:247.65pt;z-index:-167656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528.5pt;margin-top:247.65pt;z-index:-167655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533.55pt;margin-top:247.65pt;z-index:-1676559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90.7pt;margin-top:247.65pt;z-index:-167655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12.8pt;margin-top:270.8pt;z-index:-16765584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341.9pt;margin-top:270.8pt;z-index:-1676558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354.9pt;margin-top:270.8pt;z-index:-167655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359.95pt;margin-top:270.8pt;z-index:-1676557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417.1pt;margin-top:270.8pt;z-index:-167655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429.4pt;margin-top:270.8pt;z-index:-167655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41.7pt;margin-top:270.8pt;z-index:-167655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46.75pt;margin-top:270.8pt;z-index:-1676555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03.9pt;margin-top:270.8pt;z-index:-167655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16.2pt;margin-top:270.8pt;z-index:-167655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28.5pt;margin-top:270.8pt;z-index:-167655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33.55pt;margin-top:270.8pt;z-index:-1676554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90.7pt;margin-top:270.8pt;z-index:-167655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12.8pt;margin-top:293.95pt;z-index:-16765532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341.9pt;margin-top:293.95pt;z-index:-1676552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354.9pt;margin-top:293.95pt;z-index:-167655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359.95pt;margin-top:293.95pt;z-index:-1676552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17.1pt;margin-top:293.95pt;z-index:-167655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29.4pt;margin-top:293.95pt;z-index:-167655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41.7pt;margin-top:293.95pt;z-index:-167655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446.75pt;margin-top:293.95pt;z-index:-1676550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03.9pt;margin-top:293.95pt;z-index:-167655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16.2pt;margin-top:293.95pt;z-index:-167654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28.5pt;margin-top:293.95pt;z-index:-167654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33.55pt;margin-top:293.95pt;z-index:-1676548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90.7pt;margin-top:293.95pt;z-index:-167654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12.8pt;margin-top:320pt;z-index:-16765480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341.9pt;margin-top:320pt;z-index:-1676547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354.9pt;margin-top:320pt;z-index:-167654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359.95pt;margin-top:320pt;z-index:-1676546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417.1pt;margin-top:320pt;z-index:-167654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429.4pt;margin-top:320pt;z-index:-167654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441.7pt;margin-top:320pt;z-index:-167654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446.75pt;margin-top:320pt;z-index:-1676545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03.9pt;margin-top:320pt;z-index:-167654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516.2pt;margin-top:320pt;z-index:-167654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528.5pt;margin-top:320pt;z-index:-167654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533.55pt;margin-top:320pt;z-index:-1676543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590.7pt;margin-top:320pt;z-index:-167654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12.8pt;margin-top:346pt;z-index:-16765428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341.9pt;margin-top:346pt;z-index:-1676542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354.9pt;margin-top:346pt;z-index:-167654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359.95pt;margin-top:346pt;z-index:-1676541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417.1pt;margin-top:346pt;z-index:-167654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429.4pt;margin-top:346pt;z-index:-167654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441.7pt;margin-top:346pt;z-index:-167654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46.75pt;margin-top:346pt;z-index:-1676540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503.9pt;margin-top:346pt;z-index:-167653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516.2pt;margin-top:346pt;z-index:-167653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528.5pt;margin-top:346pt;z-index:-167653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33.55pt;margin-top:346pt;z-index:-1676538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90.7pt;margin-top:346pt;z-index:-167653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12.8pt;margin-top:369.15pt;z-index:-16765376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341.9pt;margin-top:369.15pt;z-index:-1676537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354.9pt;margin-top:369.15pt;z-index:-167653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359.95pt;margin-top:369.15pt;z-index:-1676536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17.1pt;margin-top:369.15pt;z-index:-167653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429.4pt;margin-top:369.15pt;z-index:-167653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441.7pt;margin-top:369.15pt;z-index:-167653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446.75pt;margin-top:369.15pt;z-index:-1676534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503.9pt;margin-top:369.15pt;z-index:-167653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16.2pt;margin-top:369.15pt;z-index:-167653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528.5pt;margin-top:369.15pt;z-index:-167653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33.55pt;margin-top:369.15pt;z-index:-1676533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90.7pt;margin-top:369.15pt;z-index:-167653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354.9pt;margin-top:101.55pt;z-index:-167653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359.95pt;margin-top:101.55pt;z-index:-1676532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441.7pt;margin-top:101.55pt;z-index:-167653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446.75pt;margin-top:101.55pt;z-index:-1676531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528.5pt;margin-top:101.55pt;z-index:-167653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533.55pt;margin-top:101.55pt;z-index:-1676530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354.9pt;margin-top:160.85pt;z-index:-1676530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359.95pt;margin-top:160.85pt;z-index:-1676529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441.7pt;margin-top:160.85pt;z-index:-1676529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46.75pt;margin-top:160.85pt;z-index:-1676528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528.5pt;margin-top:160.85pt;z-index:-1676528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33.55pt;margin-top:160.85pt;z-index:-1676528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354.9pt;margin-top:173.85pt;z-index:-1676527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359.95pt;margin-top:173.85pt;z-index:-1676527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441.7pt;margin-top:173.85pt;z-index:-167652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446.75pt;margin-top:173.85pt;z-index:-1676526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528.5pt;margin-top:173.85pt;z-index:-1676526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33.55pt;margin-top:173.85pt;z-index:-1676525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354.9pt;margin-top:233.2pt;z-index:-1676525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359.95pt;margin-top:233.2pt;z-index:-1676524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441.7pt;margin-top:233.2pt;z-index:-1676524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446.75pt;margin-top:233.2pt;z-index:-1676524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28.5pt;margin-top:233.2pt;z-index:-1676523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33.55pt;margin-top:233.2pt;z-index:-1676523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354.9pt;margin-top:246.2pt;z-index:-1676522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359.95pt;margin-top:246.2pt;z-index:-1676522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441.7pt;margin-top:246.2pt;z-index:-167652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446.75pt;margin-top:246.2pt;z-index:-1676521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28.5pt;margin-top:246.2pt;z-index:-1676521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33.55pt;margin-top:246.2pt;z-index:-1676520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354.9pt;margin-top:305.5pt;z-index:-167652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354.9pt;margin-top:306.95pt;z-index:-1676520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359.95pt;margin-top:305.5pt;z-index:-1676519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359.95pt;margin-top:306.95pt;z-index:-1676519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441.7pt;margin-top:305.5pt;z-index:-1676518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441.7pt;margin-top:306.95pt;z-index:-1676518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446.75pt;margin-top:305.5pt;z-index:-1676518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446.75pt;margin-top:306.95pt;z-index:-1676517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28.5pt;margin-top:305.5pt;z-index:-167651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528.5pt;margin-top:306.95pt;z-index:-167651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533.55pt;margin-top:305.5pt;z-index:-1676516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533.55pt;margin-top:306.95pt;z-index:-1676516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54.9pt;margin-top:343.1pt;z-index:-167651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354.9pt;margin-top:344.55pt;z-index:-1676515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359.95pt;margin-top:343.1pt;z-index:-1676514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359.95pt;margin-top:344.55pt;z-index:-1676514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441.7pt;margin-top:343.1pt;z-index:-1676514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441.7pt;margin-top:344.55pt;z-index:-1676513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446.75pt;margin-top:343.1pt;z-index:-1676513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446.75pt;margin-top:344.55pt;z-index:-1676512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28.5pt;margin-top:343.1pt;z-index:-167651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528.5pt;margin-top:344.55pt;z-index:-167651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533.55pt;margin-top:343.1pt;z-index:-1676511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533.55pt;margin-top:344.55pt;z-index:-1676511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354.9pt;margin-top:380.75pt;z-index:-167651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354.9pt;margin-top:382.2pt;z-index:-167651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359.95pt;margin-top:380.75pt;z-index:-1676510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359.95pt;margin-top:382.2pt;z-index:-1676509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41.7pt;margin-top:380.75pt;z-index:-1676509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441.7pt;margin-top:382.2pt;z-index:-1676508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446.75pt;margin-top:380.75pt;z-index:-1676508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446.75pt;margin-top:382.2pt;z-index:-1676508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528.5pt;margin-top:380.75pt;z-index:-1676507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528.5pt;margin-top:382.2pt;z-index:-167650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533.55pt;margin-top:380.75pt;z-index:-1676506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533.55pt;margin-top:382.2pt;z-index:-1676506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528.5pt;margin-top:53.1pt;z-index:-16765060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528.5pt;margin-top:69.7pt;z-index:-16765056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516.2pt;margin-top:53.1pt;z-index:-16765052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503.9pt;margin-top:53.1pt;z-index:-16765048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41.7pt;margin-top:53.1pt;z-index:-1676504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41.7pt;margin-top:69.7pt;z-index:-16765040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429.4pt;margin-top:53.1pt;z-index:-16765036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417.1pt;margin-top:53.1pt;z-index:-16765032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354.9pt;margin-top:69.7pt;z-index:-16765028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354.9pt;margin-top:53.1pt;z-index:-16765024;width:23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12.8pt;margin-top:390.85pt;z-index:-1676502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</w:p>
    <w:p>
      <w:pPr>
        <w:pStyle w:val="Normal"/>
        <w:framePr w:w="1764" w:hAnchor="page" w:vAnchor="page" w:x="739" w:y="12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reimbursements.</w:t>
      </w:r>
    </w:p>
    <w:p>
      <w:pPr>
        <w:pStyle w:val="Normal"/>
        <w:framePr w:w="12823" w:hAnchor="page" w:vAnchor="page" w:x="739" w:y="12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online (including, but not limited to the partner-merchants) or withdrawn through ATMs less the amount returned for corresponding</w:t>
      </w:r>
    </w:p>
    <w:p>
      <w:pPr>
        <w:pStyle w:val="Normal"/>
        <w:framePr w:w="498" w:hAnchor="page" w:vAnchor="page" w:x="276" w:y="12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3717" w:hAnchor="page" w:vAnchor="page" w:x="739" w:y="12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segment payment volume consists of the transaction amounts paid by SOVEST card customers to merchants offline</w:t>
      </w:r>
    </w:p>
    <w:p>
      <w:pPr>
        <w:pStyle w:val="Normal"/>
        <w:framePr w:w="3164" w:hAnchor="page" w:vAnchor="page" w:x="739" w:y="11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from the reporting date.</w:t>
      </w:r>
    </w:p>
    <w:p>
      <w:pPr>
        <w:pStyle w:val="Normal"/>
        <w:framePr w:w="498" w:hAnchor="page" w:vAnchor="page" w:x="276" w:y="11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3444" w:hAnchor="page" w:vAnchor="page" w:x="739" w:y="11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calculated on a yearly basis, i.e. an active account is an account that had at least one transaction within the last 12</w:t>
      </w:r>
    </w:p>
    <w:p>
      <w:pPr>
        <w:pStyle w:val="Normal"/>
        <w:framePr w:w="877" w:hAnchor="page" w:vAnchor="page" w:x="739" w:y="11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period.</w:t>
      </w:r>
    </w:p>
    <w:p>
      <w:pPr>
        <w:pStyle w:val="Normal"/>
        <w:framePr w:w="13257" w:hAnchor="page" w:vAnchor="page" w:x="739" w:y="11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kiosks and terminals are calculated as an average of the number of active kiosks and terminals for the last 30 days of the respective reporting</w:t>
      </w:r>
    </w:p>
    <w:p>
      <w:pPr>
        <w:pStyle w:val="Normal"/>
        <w:framePr w:w="13506" w:hAnchor="page" w:vAnchor="page" w:x="739" w:y="10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at least one payment has been processed during the day, which we refer to as active kiosks and terminals. The period end numbers of our</w:t>
      </w:r>
    </w:p>
    <w:p>
      <w:pPr>
        <w:pStyle w:val="Normal"/>
        <w:framePr w:w="498" w:hAnchor="page" w:vAnchor="page" w:x="276" w:y="106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523" w:hAnchor="page" w:vAnchor="page" w:x="739" w:y="106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measure the numbers of our kiosks and terminals on a daily basis, with only those kiosks and terminals being taken into calculation through</w:t>
      </w:r>
    </w:p>
    <w:p>
      <w:pPr>
        <w:pStyle w:val="Normal"/>
        <w:framePr w:w="980" w:hAnchor="page" w:vAnchor="page" w:x="739" w:y="104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volume.</w:t>
      </w:r>
    </w:p>
    <w:p>
      <w:pPr>
        <w:pStyle w:val="Normal"/>
        <w:framePr w:w="498" w:hAnchor="page" w:vAnchor="page" w:x="276" w:y="102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3363" w:hAnchor="page" w:vAnchor="page" w:x="739" w:y="102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Average Adjusted Net Revenue Yield is defined as PS Payment adjusted net revenue divided by Payment Services payment segment</w:t>
      </w:r>
    </w:p>
    <w:p>
      <w:pPr>
        <w:pStyle w:val="Normal"/>
        <w:framePr w:w="877" w:hAnchor="page" w:vAnchor="page" w:x="739" w:y="9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agents.</w:t>
      </w:r>
    </w:p>
    <w:p>
      <w:pPr>
        <w:pStyle w:val="Normal"/>
        <w:framePr w:w="13800" w:hAnchor="page" w:vAnchor="page" w:x="739" w:y="97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D&amp;A). PS Payment Revenue primarily consists of merchant and consumer fees. Cost of PS Payment Revenue primarily consists of commission to</w:t>
      </w:r>
    </w:p>
    <w:p>
      <w:pPr>
        <w:pStyle w:val="Normal"/>
        <w:framePr w:w="498" w:hAnchor="page" w:vAnchor="page" w:x="276" w:y="9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396" w:hAnchor="page" w:vAnchor="page" w:x="739" w:y="9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is calculated as the difference between PS Payment Revenue and PS Cost of Payment Revenue (excluding</w:t>
      </w:r>
    </w:p>
    <w:p>
      <w:pPr>
        <w:pStyle w:val="Normal"/>
        <w:framePr w:w="4771" w:hAnchor="page" w:vAnchor="page" w:x="739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conformity with the methodology used by QIWI.</w:t>
      </w:r>
    </w:p>
    <w:p>
      <w:pPr>
        <w:pStyle w:val="Normal"/>
        <w:framePr w:w="13206" w:hAnchor="page" w:vAnchor="page" w:x="739" w:y="9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restate the presented volumes, net revenues and net revenue yields data in case the methodology of Contact and Rapida will be brought in</w:t>
      </w:r>
    </w:p>
    <w:p>
      <w:pPr>
        <w:pStyle w:val="Normal"/>
        <w:framePr w:w="13731" w:hAnchor="page" w:vAnchor="page" w:x="739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allocation between different market verticals in Contact and Rapida may differ from the methodology used by QIWI. We therefore retain the right</w:t>
      </w:r>
    </w:p>
    <w:p>
      <w:pPr>
        <w:pStyle w:val="Normal"/>
        <w:framePr w:w="13515" w:hAnchor="page" w:vAnchor="page" w:x="739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merchants or other customers included in each of those market verticals less intra-group eliminations. The methodology of payment volumes</w:t>
      </w:r>
    </w:p>
    <w:p>
      <w:pPr>
        <w:pStyle w:val="Normal"/>
        <w:framePr w:w="498" w:hAnchor="page" w:vAnchor="page" w:x="276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651" w:hAnchor="page" w:vAnchor="page" w:x="739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payment volume by market verticals and consolidated payment volume consist of the amounts paid by our customers</w:t>
      </w:r>
    </w:p>
    <w:p>
      <w:pPr>
        <w:pStyle w:val="Normal"/>
        <w:framePr w:w="5580" w:hAnchor="page" w:vAnchor="page" w:x="739" w:y="81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December 31, 2019.</w:t>
      </w:r>
    </w:p>
    <w:p>
      <w:pPr>
        <w:pStyle w:val="Normal"/>
        <w:framePr w:w="498" w:hAnchor="page" w:vAnchor="page" w:x="276" w:y="78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78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61.9057 to U.S. $1.00, which was the official exchange rate quoted by the Central</w:t>
      </w:r>
    </w:p>
    <w:p>
      <w:pPr>
        <w:pStyle w:val="Normal"/>
        <w:framePr w:w="21" w:hAnchor="page" w:vAnchor="page" w:x="6858" w:y="76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325" w:hAnchor="page" w:vAnchor="page" w:x="276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CFS Segment Net Revenue Yield</w:t>
      </w:r>
    </w:p>
    <w:p>
      <w:pPr>
        <w:pStyle w:val="Normal"/>
        <w:framePr w:w="344" w:hAnchor="page" w:vAnchor="page" w:x="6858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2.42% </w:t>
      </w:r>
    </w:p>
    <w:p>
      <w:pPr>
        <w:pStyle w:val="Normal"/>
        <w:framePr w:w="883" w:hAnchor="page" w:vAnchor="page" w:x="9761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4.82% </w:t>
      </w:r>
    </w:p>
    <w:p>
      <w:pPr>
        <w:pStyle w:val="Normal"/>
        <w:framePr w:w="883" w:hAnchor="page" w:vAnchor="page" w:x="11497" w:y="74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4.82% </w:t>
      </w:r>
    </w:p>
    <w:p>
      <w:pPr>
        <w:pStyle w:val="Normal"/>
        <w:framePr w:w="2817" w:hAnchor="page" w:vAnchor="page" w:x="276" w:y="7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volume (billion)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(7)</w:t>
      </w:r>
    </w:p>
    <w:p>
      <w:pPr>
        <w:pStyle w:val="Normal"/>
        <w:framePr w:w="344" w:hAnchor="page" w:vAnchor="page" w:x="6858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025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15.9 </w:t>
      </w:r>
    </w:p>
    <w:p>
      <w:pPr>
        <w:pStyle w:val="Normal"/>
        <w:framePr w:w="691" w:hAnchor="page" w:vAnchor="page" w:x="9761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27.8 </w:t>
      </w:r>
    </w:p>
    <w:p>
      <w:pPr>
        <w:pStyle w:val="Normal"/>
        <w:framePr w:w="575" w:hAnchor="page" w:vAnchor="page" w:x="11593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 </w:t>
      </w:r>
    </w:p>
    <w:p>
      <w:pPr>
        <w:pStyle w:val="Normal"/>
        <w:framePr w:w="6218" w:hAnchor="page" w:vAnchor="page" w:x="276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keyoperating metrics</w:t>
      </w:r>
    </w:p>
    <w:p>
      <w:pPr>
        <w:pStyle w:val="Normal"/>
        <w:framePr w:w="21" w:hAnchor="page" w:vAnchor="page" w:x="6858" w:y="69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80" w:hAnchor="page" w:vAnchor="page" w:x="276" w:y="66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(million)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6858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025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20.8 </w:t>
      </w:r>
    </w:p>
    <w:p>
      <w:pPr>
        <w:pStyle w:val="Normal"/>
        <w:framePr w:w="691" w:hAnchor="page" w:vAnchor="page" w:x="9761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22.5 </w:t>
      </w:r>
    </w:p>
    <w:p>
      <w:pPr>
        <w:pStyle w:val="Normal"/>
        <w:framePr w:w="691" w:hAnchor="page" w:vAnchor="page" w:x="11497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22.5 </w:t>
      </w:r>
    </w:p>
    <w:p>
      <w:pPr>
        <w:pStyle w:val="Normal"/>
        <w:framePr w:w="3678" w:hAnchor="page" w:vAnchor="page" w:x="276" w:y="6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kiosks and terminals (units)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6858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38" w:hAnchor="page" w:vAnchor="page" w:x="7736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143,690 </w:t>
      </w:r>
    </w:p>
    <w:p>
      <w:pPr>
        <w:pStyle w:val="Normal"/>
        <w:framePr w:w="1038" w:hAnchor="page" w:vAnchor="page" w:x="9472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134,280 </w:t>
      </w:r>
    </w:p>
    <w:p>
      <w:pPr>
        <w:pStyle w:val="Normal"/>
        <w:framePr w:w="1038" w:hAnchor="page" w:vAnchor="page" w:x="11208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134,280 </w:t>
      </w:r>
    </w:p>
    <w:p>
      <w:pPr>
        <w:pStyle w:val="Normal"/>
        <w:framePr w:w="4565" w:hAnchor="page" w:vAnchor="page" w:x="276" w:y="61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Yield</w:t>
      </w:r>
    </w:p>
    <w:p>
      <w:pPr>
        <w:pStyle w:val="Normal"/>
        <w:framePr w:w="21" w:hAnchor="page" w:vAnchor="page" w:x="6858" w:y="61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025" w:y="61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1.45%</w:t>
      </w:r>
    </w:p>
    <w:p>
      <w:pPr>
        <w:pStyle w:val="Normal"/>
        <w:framePr w:w="826" w:hAnchor="page" w:vAnchor="page" w:x="9761" w:y="61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1.41%</w:t>
      </w:r>
    </w:p>
    <w:p>
      <w:pPr>
        <w:pStyle w:val="Normal"/>
        <w:framePr w:w="884" w:hAnchor="page" w:vAnchor="page" w:x="11497" w:y="61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1.41% </w:t>
      </w:r>
    </w:p>
    <w:p>
      <w:pPr>
        <w:pStyle w:val="Normal"/>
        <w:framePr w:w="755" w:hAnchor="page" w:vAnchor="page" w:x="276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858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0.57% </w:t>
      </w:r>
    </w:p>
    <w:p>
      <w:pPr>
        <w:pStyle w:val="Normal"/>
        <w:framePr w:w="883" w:hAnchor="page" w:vAnchor="page" w:x="9761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0.59% </w:t>
      </w:r>
    </w:p>
    <w:p>
      <w:pPr>
        <w:pStyle w:val="Normal"/>
        <w:framePr w:w="883" w:hAnchor="page" w:vAnchor="page" w:x="11497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0.59% </w:t>
      </w:r>
    </w:p>
    <w:p>
      <w:pPr>
        <w:pStyle w:val="Normal"/>
        <w:framePr w:w="1021" w:hAnchor="page" w:vAnchor="page" w:x="27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6858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0.45% </w:t>
      </w:r>
    </w:p>
    <w:p>
      <w:pPr>
        <w:pStyle w:val="Normal"/>
        <w:framePr w:w="883" w:hAnchor="page" w:vAnchor="page" w:x="9761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0.44% </w:t>
      </w:r>
    </w:p>
    <w:p>
      <w:pPr>
        <w:pStyle w:val="Normal"/>
        <w:framePr w:w="883" w:hAnchor="page" w:vAnchor="page" w:x="11497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0.44% </w:t>
      </w:r>
    </w:p>
    <w:p>
      <w:pPr>
        <w:pStyle w:val="Normal"/>
        <w:framePr w:w="2008" w:hAnchor="page" w:vAnchor="page" w:x="27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6858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0.98% </w:t>
      </w:r>
    </w:p>
    <w:p>
      <w:pPr>
        <w:pStyle w:val="Normal"/>
        <w:framePr w:w="883" w:hAnchor="page" w:vAnchor="page" w:x="9761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1.01% </w:t>
      </w:r>
    </w:p>
    <w:p>
      <w:pPr>
        <w:pStyle w:val="Normal"/>
        <w:framePr w:w="883" w:hAnchor="page" w:vAnchor="page" w:x="11497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1.01% </w:t>
      </w:r>
    </w:p>
    <w:p>
      <w:pPr>
        <w:pStyle w:val="Normal"/>
        <w:framePr w:w="1892" w:hAnchor="page" w:vAnchor="page" w:x="27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6858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025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0.45% </w:t>
      </w:r>
    </w:p>
    <w:p>
      <w:pPr>
        <w:pStyle w:val="Normal"/>
        <w:framePr w:w="883" w:hAnchor="page" w:vAnchor="page" w:x="9761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0.37% </w:t>
      </w:r>
    </w:p>
    <w:p>
      <w:pPr>
        <w:pStyle w:val="Normal"/>
        <w:framePr w:w="883" w:hAnchor="page" w:vAnchor="page" w:x="11497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0.37% </w:t>
      </w:r>
    </w:p>
    <w:p>
      <w:pPr>
        <w:pStyle w:val="Normal"/>
        <w:framePr w:w="1410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6858" w:y="496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025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3.13%</w:t>
      </w:r>
    </w:p>
    <w:p>
      <w:pPr>
        <w:pStyle w:val="Normal"/>
        <w:framePr w:w="826" w:hAnchor="page" w:vAnchor="page" w:x="9761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2.54%</w:t>
      </w:r>
    </w:p>
    <w:p>
      <w:pPr>
        <w:pStyle w:val="Normal"/>
        <w:framePr w:w="884" w:hAnchor="page" w:vAnchor="page" w:x="11497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2.54% </w:t>
      </w:r>
    </w:p>
    <w:p>
      <w:pPr>
        <w:pStyle w:val="Normal"/>
        <w:framePr w:w="5210" w:hAnchor="page" w:vAnchor="page" w:x="276" w:y="47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average adjusted net revenue yield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(4)</w:t>
      </w:r>
    </w:p>
    <w:p>
      <w:pPr>
        <w:pStyle w:val="Normal"/>
        <w:framePr w:w="21" w:hAnchor="page" w:vAnchor="page" w:x="6858" w:y="47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025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1.26%</w:t>
      </w:r>
    </w:p>
    <w:p>
      <w:pPr>
        <w:pStyle w:val="Normal"/>
        <w:framePr w:w="864" w:hAnchor="page" w:vAnchor="page" w:x="9761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1.22%</w:t>
      </w:r>
    </w:p>
    <w:p>
      <w:pPr>
        <w:pStyle w:val="Normal"/>
        <w:framePr w:w="922" w:hAnchor="page" w:vAnchor="page" w:x="11497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1.22% </w:t>
      </w:r>
    </w:p>
    <w:p>
      <w:pPr>
        <w:pStyle w:val="Normal"/>
        <w:framePr w:w="755" w:hAnchor="page" w:vAnchor="page" w:x="276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858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928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265.0 </w:t>
      </w:r>
    </w:p>
    <w:p>
      <w:pPr>
        <w:pStyle w:val="Normal"/>
        <w:framePr w:w="806" w:hAnchor="page" w:vAnchor="page" w:x="9664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224.7 </w:t>
      </w:r>
    </w:p>
    <w:p>
      <w:pPr>
        <w:pStyle w:val="Normal"/>
        <w:framePr w:w="575" w:hAnchor="page" w:vAnchor="page" w:x="11593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3.6 </w:t>
      </w:r>
    </w:p>
    <w:p>
      <w:pPr>
        <w:pStyle w:val="Normal"/>
        <w:framePr w:w="1021" w:hAnchor="page" w:vAnchor="page" w:x="276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6858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928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774.6 </w:t>
      </w:r>
    </w:p>
    <w:p>
      <w:pPr>
        <w:pStyle w:val="Normal"/>
        <w:framePr w:w="806" w:hAnchor="page" w:vAnchor="page" w:x="9664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721.9 </w:t>
      </w:r>
    </w:p>
    <w:p>
      <w:pPr>
        <w:pStyle w:val="Normal"/>
        <w:framePr w:w="682" w:hAnchor="page" w:vAnchor="page" w:x="11504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11.7 </w:t>
      </w:r>
    </w:p>
    <w:p>
      <w:pPr>
        <w:pStyle w:val="Normal"/>
        <w:framePr w:w="2008" w:hAnchor="page" w:vAnchor="page" w:x="276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6858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80" w:hAnchor="page" w:vAnchor="page" w:x="7784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3,961.1 </w:t>
      </w:r>
    </w:p>
    <w:p>
      <w:pPr>
        <w:pStyle w:val="Normal"/>
        <w:framePr w:w="980" w:hAnchor="page" w:vAnchor="page" w:x="9520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5,534.2 </w:t>
      </w:r>
    </w:p>
    <w:p>
      <w:pPr>
        <w:pStyle w:val="Normal"/>
        <w:framePr w:w="691" w:hAnchor="page" w:vAnchor="page" w:x="11497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89.4 </w:t>
      </w:r>
    </w:p>
    <w:p>
      <w:pPr>
        <w:pStyle w:val="Normal"/>
        <w:framePr w:w="1892" w:hAnchor="page" w:vAnchor="page" w:x="276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6858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80" w:hAnchor="page" w:vAnchor="page" w:x="7784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1,126.3 </w:t>
      </w:r>
    </w:p>
    <w:p>
      <w:pPr>
        <w:pStyle w:val="Normal"/>
        <w:framePr w:w="980" w:hAnchor="page" w:vAnchor="page" w:x="9520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1,207.3 </w:t>
      </w:r>
    </w:p>
    <w:p>
      <w:pPr>
        <w:pStyle w:val="Normal"/>
        <w:framePr w:w="691" w:hAnchor="page" w:vAnchor="page" w:x="11497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19.5 </w:t>
      </w:r>
    </w:p>
    <w:p>
      <w:pPr>
        <w:pStyle w:val="Normal"/>
        <w:framePr w:w="1410" w:hAnchor="page" w:vAnchor="page" w:x="276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6858" w:y="351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7784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8,243.1</w:t>
      </w:r>
    </w:p>
    <w:p>
      <w:pPr>
        <w:pStyle w:val="Normal"/>
        <w:framePr w:w="1038" w:hAnchor="page" w:vAnchor="page" w:x="9423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10,414.8</w:t>
      </w:r>
    </w:p>
    <w:p>
      <w:pPr>
        <w:pStyle w:val="Normal"/>
        <w:framePr w:w="749" w:hAnchor="page" w:vAnchor="page" w:x="11400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168.2</w:t>
      </w:r>
    </w:p>
    <w:p>
      <w:pPr>
        <w:pStyle w:val="Normal"/>
        <w:framePr w:w="4465" w:hAnchor="page" w:vAnchor="page" w:x="276" w:y="32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adjusted net revenue (million)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21" w:hAnchor="page" w:vAnchor="page" w:x="6858" w:y="325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038" w:hAnchor="page" w:vAnchor="page" w:x="7688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14,370.0</w:t>
      </w:r>
    </w:p>
    <w:p>
      <w:pPr>
        <w:pStyle w:val="Normal"/>
        <w:framePr w:w="1038" w:hAnchor="page" w:vAnchor="page" w:x="9423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18,103.0</w:t>
      </w:r>
    </w:p>
    <w:p>
      <w:pPr>
        <w:pStyle w:val="Normal"/>
        <w:framePr w:w="749" w:hAnchor="page" w:vAnchor="page" w:x="11400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292.4</w:t>
      </w:r>
    </w:p>
    <w:p>
      <w:pPr>
        <w:pStyle w:val="Normal"/>
        <w:framePr w:w="755" w:hAnchor="page" w:vAnchor="page" w:x="276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858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025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46.1 </w:t>
      </w:r>
    </w:p>
    <w:p>
      <w:pPr>
        <w:pStyle w:val="Normal"/>
        <w:framePr w:w="691" w:hAnchor="page" w:vAnchor="page" w:x="9761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38.3 </w:t>
      </w:r>
    </w:p>
    <w:p>
      <w:pPr>
        <w:pStyle w:val="Normal"/>
        <w:framePr w:w="575" w:hAnchor="page" w:vAnchor="page" w:x="11593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 </w:t>
      </w:r>
    </w:p>
    <w:p>
      <w:pPr>
        <w:pStyle w:val="Normal"/>
        <w:framePr w:w="1021" w:hAnchor="page" w:vAnchor="page" w:x="276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6858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928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172.1 </w:t>
      </w:r>
    </w:p>
    <w:p>
      <w:pPr>
        <w:pStyle w:val="Normal"/>
        <w:framePr w:w="806" w:hAnchor="page" w:vAnchor="page" w:x="9664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165.0 </w:t>
      </w:r>
    </w:p>
    <w:p>
      <w:pPr>
        <w:pStyle w:val="Normal"/>
        <w:framePr w:w="575" w:hAnchor="page" w:vAnchor="page" w:x="11593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2.7 </w:t>
      </w:r>
    </w:p>
    <w:p>
      <w:pPr>
        <w:pStyle w:val="Normal"/>
        <w:framePr w:w="2008" w:hAnchor="page" w:vAnchor="page" w:x="276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6858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928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405.9 </w:t>
      </w:r>
    </w:p>
    <w:p>
      <w:pPr>
        <w:pStyle w:val="Normal"/>
        <w:framePr w:w="806" w:hAnchor="page" w:vAnchor="page" w:x="9664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549.1 </w:t>
      </w:r>
    </w:p>
    <w:p>
      <w:pPr>
        <w:pStyle w:val="Normal"/>
        <w:framePr w:w="575" w:hAnchor="page" w:vAnchor="page" w:x="11593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8.9 </w:t>
      </w:r>
    </w:p>
    <w:p>
      <w:pPr>
        <w:pStyle w:val="Normal"/>
        <w:framePr w:w="1892" w:hAnchor="page" w:vAnchor="page" w:x="276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6858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7928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250.6 </w:t>
      </w:r>
    </w:p>
    <w:p>
      <w:pPr>
        <w:pStyle w:val="Normal"/>
        <w:framePr w:w="806" w:hAnchor="page" w:vAnchor="page" w:x="9664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325.6 </w:t>
      </w:r>
    </w:p>
    <w:p>
      <w:pPr>
        <w:pStyle w:val="Normal"/>
        <w:framePr w:w="575" w:hAnchor="page" w:vAnchor="page" w:x="11593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5.3 </w:t>
      </w:r>
    </w:p>
    <w:p>
      <w:pPr>
        <w:pStyle w:val="Normal"/>
        <w:framePr w:w="1410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6858" w:y="20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928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263.4</w:t>
      </w:r>
    </w:p>
    <w:p>
      <w:pPr>
        <w:pStyle w:val="Normal"/>
        <w:framePr w:w="749" w:hAnchor="page" w:vAnchor="page" w:x="9664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410.6</w:t>
      </w:r>
    </w:p>
    <w:p>
      <w:pPr>
        <w:pStyle w:val="Normal"/>
        <w:framePr w:w="517" w:hAnchor="page" w:vAnchor="page" w:x="11593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6.6</w:t>
      </w:r>
    </w:p>
    <w:p>
      <w:pPr>
        <w:pStyle w:val="Normal"/>
        <w:framePr w:w="948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</w:t>
      </w:r>
    </w:p>
    <w:p>
      <w:pPr>
        <w:pStyle w:val="Normal"/>
        <w:framePr w:w="2560" w:hAnchor="page" w:vAnchor="page" w:x="586" w:y="18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ment volume (billion)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6858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80" w:hAnchor="page" w:vAnchor="page" w:x="7784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1,381.1 </w:t>
      </w:r>
    </w:p>
    <w:p>
      <w:pPr>
        <w:pStyle w:val="Normal"/>
        <w:framePr w:w="980" w:hAnchor="page" w:vAnchor="page" w:x="9520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1,488.6 </w:t>
      </w:r>
    </w:p>
    <w:p>
      <w:pPr>
        <w:pStyle w:val="Normal"/>
        <w:framePr w:w="691" w:hAnchor="page" w:vAnchor="page" w:x="11497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24.0 </w:t>
      </w:r>
    </w:p>
    <w:p>
      <w:pPr>
        <w:pStyle w:val="Normal"/>
        <w:framePr w:w="948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</w:t>
      </w:r>
    </w:p>
    <w:p>
      <w:pPr>
        <w:pStyle w:val="Normal"/>
        <w:framePr w:w="3254" w:hAnchor="page" w:vAnchor="page" w:x="58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ment Services Segment key</w:t>
      </w:r>
    </w:p>
    <w:p>
      <w:pPr>
        <w:pStyle w:val="Normal"/>
        <w:framePr w:w="2027" w:hAnchor="page" w:vAnchor="page" w:x="2819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operating metrics</w:t>
      </w:r>
    </w:p>
    <w:p>
      <w:pPr>
        <w:pStyle w:val="Normal"/>
        <w:framePr w:w="344" w:hAnchor="page" w:vAnchor="page" w:x="6858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6858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577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313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0962" w:y="14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6858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71" w:hAnchor="page" w:vAnchor="page" w:x="7119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2018</w:t>
      </w:r>
    </w:p>
    <w:p>
      <w:pPr>
        <w:pStyle w:val="Normal"/>
        <w:framePr w:w="1671" w:hAnchor="page" w:vAnchor="page" w:x="8855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2019</w:t>
      </w:r>
    </w:p>
    <w:p>
      <w:pPr>
        <w:pStyle w:val="Normal"/>
        <w:framePr w:w="1671" w:hAnchor="page" w:vAnchor="page" w:x="10591" w:y="1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2019</w:t>
      </w:r>
    </w:p>
    <w:p>
      <w:pPr>
        <w:pStyle w:val="Normal"/>
        <w:framePr w:w="586" w:hAnchor="page" w:vAnchor="page" w:x="7571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307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11043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273" w:hAnchor="page" w:vAnchor="page" w:x="6858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15" w:hAnchor="page" w:vAnchor="page" w:x="8558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Full y</w:t>
      </w:r>
    </w:p>
    <w:p>
      <w:pPr>
        <w:pStyle w:val="Normal"/>
        <w:framePr w:w="1927" w:hAnchor="page" w:vAnchor="page" w:x="8939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ear ended (unaudited)</w:t>
      </w:r>
    </w:p>
    <w:p>
      <w:pPr>
        <w:pStyle w:val="Normal"/>
        <w:framePr w:w="2426" w:hAnchor="page" w:vAnchor="page" w:x="5262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Operating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7pt;margin-top:1pt;z-index:-16765016;width:598pt;height:649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12.8pt;margin-top:1pt;z-index:-167650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12.8pt;margin-top:2.45pt;z-index:-167650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97.95pt;margin-top:1pt;z-index:-167650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12.8pt;margin-top:1pt;z-index:-167650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12.8pt;margin-top:78.4pt;z-index:-16764996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341.9pt;margin-top:78.4pt;z-index:-1676499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354.9pt;margin-top:78.4pt;z-index:-167649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359.25pt;margin-top:78.4pt;z-index:-167649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417.1pt;margin-top:78.4pt;z-index:-167649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429.4pt;margin-top:78.4pt;z-index:-167649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441.7pt;margin-top:78.4pt;z-index:-167649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446.05pt;margin-top:78.4pt;z-index:-167649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503.9pt;margin-top:78.4pt;z-index:-167649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516.2pt;margin-top:78.4pt;z-index:-167649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528.5pt;margin-top:78.4pt;z-index:-167649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533.55pt;margin-top:78.4pt;z-index:-1676495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590.7pt;margin-top:78.4pt;z-index:-167649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12.8pt;margin-top:103pt;z-index:-16764944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341.9pt;margin-top:103pt;z-index:-1676494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354.9pt;margin-top:103pt;z-index:-167649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359.25pt;margin-top:103pt;z-index:-167649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417.1pt;margin-top:103pt;z-index:-167649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429.4pt;margin-top:103pt;z-index:-167649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441.7pt;margin-top:103pt;z-index:-167649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46.05pt;margin-top:103pt;z-index:-1676491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03.9pt;margin-top:103pt;z-index:-167649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16.2pt;margin-top:103pt;z-index:-167649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528.5pt;margin-top:103pt;z-index:-167649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533.55pt;margin-top:103pt;z-index:-1676490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590.7pt;margin-top:103pt;z-index:-167648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12.8pt;margin-top:126.15pt;z-index:-16764892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341.9pt;margin-top:126.15pt;z-index:-1676488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354.9pt;margin-top:126.15pt;z-index:-167648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359.25pt;margin-top:126.15pt;z-index:-167648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17.1pt;margin-top:126.15pt;z-index:-167648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29.4pt;margin-top:126.15pt;z-index:-167648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41.7pt;margin-top:126.15pt;z-index:-167648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446.05pt;margin-top:126.15pt;z-index:-167648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503.9pt;margin-top:126.15pt;z-index:-167648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16.2pt;margin-top:126.15pt;z-index:-167648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528.5pt;margin-top:126.15pt;z-index:-167648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33.55pt;margin-top:126.15pt;z-index:-1676484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90.7pt;margin-top:126.15pt;z-index:-167648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12.8pt;margin-top:149.3pt;z-index:-16764840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341.9pt;margin-top:149.3pt;z-index:-1676483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54.9pt;margin-top:149.3pt;z-index:-167648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59.25pt;margin-top:149.3pt;z-index:-167648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417.1pt;margin-top:149.3pt;z-index:-167648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429.4pt;margin-top:149.3pt;z-index:-167648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441.7pt;margin-top:149.3pt;z-index:-167648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446.05pt;margin-top:149.3pt;z-index:-167648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503.9pt;margin-top:149.3pt;z-index:-167648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516.2pt;margin-top:149.3pt;z-index:-167648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28.5pt;margin-top:149.3pt;z-index:-167648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33.55pt;margin-top:149.3pt;z-index:-1676479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90.7pt;margin-top:149.3pt;z-index:-167647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12.8pt;margin-top:175.3pt;z-index:-16764788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341.9pt;margin-top:175.3pt;z-index:-1676478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354.9pt;margin-top:175.3pt;z-index:-167647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359.25pt;margin-top:175.3pt;z-index:-1676477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417.1pt;margin-top:175.3pt;z-index:-167647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429.4pt;margin-top:175.3pt;z-index:-167647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441.7pt;margin-top:175.3pt;z-index:-167647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446.05pt;margin-top:175.3pt;z-index:-1676476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03.9pt;margin-top:175.3pt;z-index:-167647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16.2pt;margin-top:175.3pt;z-index:-167647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28.5pt;margin-top:175.3pt;z-index:-167647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533.55pt;margin-top:175.3pt;z-index:-1676474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590.7pt;margin-top:175.3pt;z-index:-167647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12.8pt;margin-top:198.45pt;z-index:-16764736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341.9pt;margin-top:198.45pt;z-index:-1676473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354.9pt;margin-top:198.45pt;z-index:-167647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359.25pt;margin-top:198.45pt;z-index:-1676472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417.1pt;margin-top:198.45pt;z-index:-167647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429.4pt;margin-top:198.45pt;z-index:-167647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441.7pt;margin-top:198.45pt;z-index:-167647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446.05pt;margin-top:198.45pt;z-index:-1676470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503.9pt;margin-top:198.45pt;z-index:-167647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516.2pt;margin-top:198.45pt;z-index:-167647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528.5pt;margin-top:198.45pt;z-index:-167646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533.55pt;margin-top:198.45pt;z-index:-1676469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590.7pt;margin-top:198.45pt;z-index:-167646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12.8pt;margin-top:221.6pt;z-index:-16764684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341.9pt;margin-top:221.6pt;z-index:-1676468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354.9pt;margin-top:221.6pt;z-index:-167646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359.25pt;margin-top:221.6pt;z-index:-1676467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417.1pt;margin-top:221.6pt;z-index:-167646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429.4pt;margin-top:221.6pt;z-index:-167646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441.7pt;margin-top:221.6pt;z-index:-167646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446.05pt;margin-top:221.6pt;z-index:-1676465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503.9pt;margin-top:221.6pt;z-index:-167646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16.2pt;margin-top:221.6pt;z-index:-167646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28.5pt;margin-top:221.6pt;z-index:-167646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33.55pt;margin-top:221.6pt;z-index:-1676464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90.7pt;margin-top:221.6pt;z-index:-167646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12.8pt;margin-top:247.65pt;z-index:-16764632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341.9pt;margin-top:247.65pt;z-index:-1676462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54.9pt;margin-top:247.65pt;z-index:-167646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59.25pt;margin-top:247.65pt;z-index:-1676462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417.1pt;margin-top:247.65pt;z-index:-167646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429.4pt;margin-top:247.65pt;z-index:-167646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441.7pt;margin-top:247.65pt;z-index:-167646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446.05pt;margin-top:247.65pt;z-index:-1676460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03.9pt;margin-top:247.65pt;z-index:-167646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16.2pt;margin-top:247.65pt;z-index:-167645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28.5pt;margin-top:247.65pt;z-index:-167645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533.55pt;margin-top:247.65pt;z-index:-1676458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590.7pt;margin-top:247.65pt;z-index:-167645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12.8pt;margin-top:270.8pt;z-index:-16764580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341.9pt;margin-top:270.8pt;z-index:-16764576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354.9pt;margin-top:270.8pt;z-index:-167645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359.25pt;margin-top:270.8pt;z-index:-167645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417.1pt;margin-top:270.8pt;z-index:-167645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29.4pt;margin-top:270.8pt;z-index:-167645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441.7pt;margin-top:270.8pt;z-index:-167645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446.05pt;margin-top:270.8pt;z-index:-1676455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503.9pt;margin-top:270.8pt;z-index:-167645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516.2pt;margin-top:270.8pt;z-index:-167645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528.5pt;margin-top:270.8pt;z-index:-167645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533.55pt;margin-top:270.8pt;z-index:-1676453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90.7pt;margin-top:270.8pt;z-index:-167645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12.8pt;margin-top:293.95pt;z-index:-16764528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341.9pt;margin-top:293.95pt;z-index:-16764524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354.9pt;margin-top:293.95pt;z-index:-167645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359.25pt;margin-top:293.95pt;z-index:-1676451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417.1pt;margin-top:293.95pt;z-index:-167645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429.4pt;margin-top:293.95pt;z-index:-167645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441.7pt;margin-top:293.95pt;z-index:-167645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446.05pt;margin-top:293.95pt;z-index:-1676450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03.9pt;margin-top:293.95pt;z-index:-167644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16.2pt;margin-top:293.95pt;z-index:-167644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528.5pt;margin-top:293.95pt;z-index:-167644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533.55pt;margin-top:293.95pt;z-index:-1676448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90.7pt;margin-top:293.95pt;z-index:-167644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12.8pt;margin-top:320pt;z-index:-16764476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341.9pt;margin-top:320pt;z-index:-16764472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354.9pt;margin-top:320pt;z-index:-167644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359.25pt;margin-top:320pt;z-index:-167644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417.1pt;margin-top:320pt;z-index:-167644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429.4pt;margin-top:320pt;z-index:-167644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441.7pt;margin-top:320pt;z-index:-167644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446.05pt;margin-top:320pt;z-index:-1676444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03.9pt;margin-top:320pt;z-index:-167644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16.2pt;margin-top:320pt;z-index:-167644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28.5pt;margin-top:320pt;z-index:-167644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33.55pt;margin-top:320pt;z-index:-1676443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90.7pt;margin-top:320pt;z-index:-167644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12.8pt;margin-top:346pt;z-index:-16764424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341.9pt;margin-top:346pt;z-index:-16764420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354.9pt;margin-top:346pt;z-index:-167644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359.25pt;margin-top:346pt;z-index:-167644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17.1pt;margin-top:346pt;z-index:-167644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429.4pt;margin-top:346pt;z-index:-167644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41.7pt;margin-top:346pt;z-index:-167644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446.05pt;margin-top:346pt;z-index:-1676439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503.9pt;margin-top:346pt;z-index:-167643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516.2pt;margin-top:346pt;z-index:-167643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528.5pt;margin-top:346pt;z-index:-167643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533.55pt;margin-top:346pt;z-index:-1676438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590.7pt;margin-top:346pt;z-index:-167643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12.8pt;margin-top:369.15pt;z-index:-16764372;width:331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341.9pt;margin-top:369.15pt;z-index:-16764368;width: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354.9pt;margin-top:369.15pt;z-index:-167643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359.25pt;margin-top:369.15pt;z-index:-1676436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417.1pt;margin-top:369.15pt;z-index:-167643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429.4pt;margin-top:369.15pt;z-index:-167643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441.7pt;margin-top:369.15pt;z-index:-167643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446.05pt;margin-top:369.15pt;z-index:-1676434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03.9pt;margin-top:369.15pt;z-index:-167643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16.2pt;margin-top:369.15pt;z-index:-167643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28.5pt;margin-top:369.15pt;z-index:-167643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33.55pt;margin-top:369.15pt;z-index:-1676432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90.7pt;margin-top:369.15pt;z-index:-167643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354.9pt;margin-top:101.55pt;z-index:-167643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359.25pt;margin-top:101.55pt;z-index:-1676431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441.7pt;margin-top:101.55pt;z-index:-167643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446.05pt;margin-top:101.55pt;z-index:-1676430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528.5pt;margin-top:101.55pt;z-index:-167643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33.55pt;margin-top:101.55pt;z-index:-1676430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354.9pt;margin-top:160.85pt;z-index:-167642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359.25pt;margin-top:160.85pt;z-index:-1676429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41.7pt;margin-top:160.85pt;z-index:-167642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446.05pt;margin-top:160.85pt;z-index:-1676428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528.5pt;margin-top:160.85pt;z-index:-1676428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33.55pt;margin-top:160.85pt;z-index:-1676427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354.9pt;margin-top:173.85pt;z-index:-167642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359.25pt;margin-top:173.85pt;z-index:-1676426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441.7pt;margin-top:173.85pt;z-index:-167642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446.05pt;margin-top:173.85pt;z-index:-1676426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528.5pt;margin-top:173.85pt;z-index:-167642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533.55pt;margin-top:173.85pt;z-index:-1676425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354.9pt;margin-top:233.2pt;z-index:-167642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359.25pt;margin-top:233.2pt;z-index:-1676424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441.7pt;margin-top:233.2pt;z-index:-167642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446.05pt;margin-top:233.2pt;z-index:-1676423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528.5pt;margin-top:233.2pt;z-index:-167642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33.55pt;margin-top:233.2pt;z-index:-1676422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354.9pt;margin-top:246.2pt;z-index:-167642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359.25pt;margin-top:246.2pt;z-index:-1676422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441.7pt;margin-top:246.2pt;z-index:-167642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446.05pt;margin-top:246.2pt;z-index:-1676421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528.5pt;margin-top:246.2pt;z-index:-167642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533.55pt;margin-top:246.2pt;z-index:-1676420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354.9pt;margin-top:305.5pt;z-index:-167642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354.9pt;margin-top:306.95pt;z-index:-167641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359.25pt;margin-top:305.5pt;z-index:-1676419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359.25pt;margin-top:306.95pt;z-index:-1676418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441.7pt;margin-top:305.5pt;z-index:-167641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441.7pt;margin-top:306.95pt;z-index:-167641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446.05pt;margin-top:305.5pt;z-index:-1676417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446.05pt;margin-top:306.95pt;z-index:-1676417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528.5pt;margin-top:305.5pt;z-index:-167641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528.5pt;margin-top:306.95pt;z-index:-167641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533.55pt;margin-top:305.5pt;z-index:-1676416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33.55pt;margin-top:306.95pt;z-index:-1676415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354.9pt;margin-top:343.1pt;z-index:-167641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354.9pt;margin-top:344.55pt;z-index:-167641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359.25pt;margin-top:343.1pt;z-index:-1676414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359.25pt;margin-top:344.55pt;z-index:-167641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441.7pt;margin-top:343.1pt;z-index:-167641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441.7pt;margin-top:344.55pt;z-index:-167641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446.05pt;margin-top:343.1pt;z-index:-1676412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446.05pt;margin-top:344.55pt;z-index:-1676412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528.5pt;margin-top:343.1pt;z-index:-167641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528.5pt;margin-top:344.55pt;z-index:-167641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533.55pt;margin-top:343.1pt;z-index:-1676411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533.55pt;margin-top:344.55pt;z-index:-1676410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354.9pt;margin-top:380.75pt;z-index:-167641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354.9pt;margin-top:382.2pt;z-index:-167641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359.25pt;margin-top:380.75pt;z-index:-1676409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359.25pt;margin-top:382.2pt;z-index:-1676409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441.7pt;margin-top:380.75pt;z-index:-167640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441.7pt;margin-top:382.2pt;z-index:-167640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446.05pt;margin-top:380.75pt;z-index:-1676408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46.05pt;margin-top:382.2pt;z-index:-1676407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528.5pt;margin-top:380.75pt;z-index:-167640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528.5pt;margin-top:382.2pt;z-index:-167640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533.55pt;margin-top:380.75pt;z-index:-1676406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33.55pt;margin-top:382.2pt;z-index:-1676406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28.5pt;margin-top:53.1pt;z-index:-16764056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28.5pt;margin-top:69.7pt;z-index:-16764052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516.2pt;margin-top:53.1pt;z-index:-16764048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03.9pt;margin-top:53.1pt;z-index:-16764044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441.7pt;margin-top:53.1pt;z-index:-16764040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441.7pt;margin-top:69.7pt;z-index:-16764036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429.4pt;margin-top:53.1pt;z-index:-16764032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417.1pt;margin-top:53.1pt;z-index:-16764028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354.9pt;margin-top:69.7pt;z-index:-1676402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354.9pt;margin-top:53.1pt;z-index:-16764020;width:23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12.8pt;margin-top:390.85pt;z-index:-16764016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</w:p>
    <w:sectPr>
      <w:pgSz w:w="12240" w:h="20160"/>
      <w:pgMar w:top="400" w:right="400" w:bottom="400" w:left="400" w:header="720" w:footer="720"/>
      <w:pgNumType w:start="24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520054c-0000-0000-0000-000000000000}"/>
  </w:font>
  <w:font w:name="TimesNewRomanPS-BoldItalicMT">
    <w:panose-1>"02020703060505090304"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0dfc9f5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jpe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styles.xml" Type="http://schemas.openxmlformats.org/officeDocument/2006/relationships/styles"/><Relationship Id="rId3302" Target="fontTable.xml" Type="http://schemas.openxmlformats.org/officeDocument/2006/relationships/fontTable"/><Relationship Id="rId3303" Target="settings.xml" Type="http://schemas.openxmlformats.org/officeDocument/2006/relationships/settings"/><Relationship Id="rId3304" Target="webSettings.xml" Type="http://schemas.openxmlformats.org/officeDocument/2006/relationships/webSettings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24</Pages>
  <Words>10075</Words>
  <Characters>53741</Characters>
  <Application>e-iceblue</Application>
  <DocSecurity>0</DocSecurity>
  <Lines>2311</Lines>
  <Paragraphs>2311</Paragraphs>
  <ScaleCrop>false</ScaleCrop>
  <Company>e-iceblue</Company>
  <LinksUpToDate>false</LinksUpToDate>
  <CharactersWithSpaces>63754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2021-11-30T21:13:14Z</dcterms:created>
  <dc:creator>root</dc:creator>
  <cp:lastModifiedBy>root</cp:lastModifiedBy>
  <dcterms:modified xsi:type="dcterms:W3CDTF">2021-11-30T21:13:14Z</dcterms:modified>
  <cp:revision>1</cp:revision>
</cp:coreProperties>
</file>