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0643" w:hAnchor="page" w:vAnchor="page" w:x="276" w:y="92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‘‘Yes’’ is marked, indicate below the file number assigned to the registrant in connection with Rule 12g3-2(b):</w:t>
      </w:r>
    </w:p>
    <w:p>
      <w:pPr>
        <w:pStyle w:val="Normal"/>
        <w:framePr w:w="2420" w:hAnchor="page" w:vAnchor="page" w:x="5264" w:y="87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☒</w:t>
      </w:r>
    </w:p>
    <w:p>
      <w:pPr>
        <w:pStyle w:val="Normal"/>
        <w:framePr w:w="8054" w:hAnchor="page" w:vAnchor="page" w:x="276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Commission pursuant to Rule 12g3-2(b) under the Securities Exchange Act of 1934.</w:t>
      </w:r>
    </w:p>
    <w:p>
      <w:pPr>
        <w:pStyle w:val="Normal"/>
        <w:framePr w:w="13875" w:hAnchor="page" w:vAnchor="page" w:x="276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Indicate by check mark whether the registrant by furnishing the information contained in this Form is also thereby furnishing the information to the</w:t>
      </w:r>
    </w:p>
    <w:p>
      <w:pPr>
        <w:pStyle w:val="Normal"/>
        <w:framePr w:w="3850" w:hAnchor="page" w:vAnchor="page" w:x="4668" w:y="760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Form 20-F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☒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         Form 40-F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1138" w:hAnchor="page" w:vAnchor="page" w:x="276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Indicate by check mark whether the registrant files or will file annual reports under cover of Form 20-F or Form 40-F.</w:t>
      </w:r>
    </w:p>
    <w:p>
      <w:pPr>
        <w:pStyle w:val="Normal"/>
        <w:framePr w:w="3239" w:hAnchor="page" w:vAnchor="page" w:x="4903" w:y="635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(Address of principal executive offices)</w:t>
      </w:r>
    </w:p>
    <w:p>
      <w:pPr>
        <w:pStyle w:val="Normal"/>
        <w:framePr w:w="2606" w:hAnchor="page" w:vAnchor="page" w:x="5332" w:y="61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1087 Nicosia Cyprus</w:t>
      </w:r>
    </w:p>
    <w:p>
      <w:pPr>
        <w:pStyle w:val="Normal"/>
        <w:framePr w:w="1462" w:hAnchor="page" w:vAnchor="page" w:x="4212" w:y="59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Kennedy</w:t>
      </w:r>
    </w:p>
    <w:p>
      <w:pPr>
        <w:pStyle w:val="Normal"/>
        <w:framePr w:w="4058" w:hAnchor="page" w:vAnchor="page" w:x="4952" w:y="59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 Business Centre, 2nd Floor, Office 203</w:t>
      </w:r>
    </w:p>
    <w:p>
      <w:pPr>
        <w:pStyle w:val="Normal"/>
        <w:framePr w:w="2544" w:hAnchor="page" w:vAnchor="page" w:x="5358" w:y="56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12-14 Kennedy Ave.</w:t>
      </w:r>
    </w:p>
    <w:p>
      <w:pPr>
        <w:pStyle w:val="Normal"/>
        <w:framePr w:w="2586" w:hAnchor="page" w:vAnchor="page" w:x="5233" w:y="4503"/>
        <w:widowControl w:val="off"/>
        <w:autoSpaceDE w:val="off"/>
        <w:autoSpaceDN w:val="off"/>
        <w:spacing w:before="0" w:after="0" w:line="5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6"/>
          <w:szCs w:val="4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6"/>
          <w:szCs w:val="46"/>
        </w:rPr>
        <w:t>QIWI plc</w:t>
      </w:r>
    </w:p>
    <w:p>
      <w:pPr>
        <w:pStyle w:val="Normal"/>
        <w:framePr w:w="1417" w:hAnchor="page" w:vAnchor="page" w:x="5466" w:y="36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For July</w:t>
      </w:r>
    </w:p>
    <w:p>
      <w:pPr>
        <w:pStyle w:val="Normal"/>
        <w:framePr w:w="1096" w:hAnchor="page" w:vAnchor="page" w:x="6167" w:y="36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 15, 2020</w:t>
      </w:r>
    </w:p>
    <w:p>
      <w:pPr>
        <w:pStyle w:val="Normal"/>
        <w:framePr w:w="5940" w:hAnchor="page" w:vAnchor="page" w:x="3593" w:y="314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OF THE SECURITIES EXCHANGE ACT OF 1934</w:t>
      </w:r>
    </w:p>
    <w:p>
      <w:pPr>
        <w:pStyle w:val="Normal"/>
        <w:framePr w:w="4965" w:hAnchor="page" w:vAnchor="page" w:x="4036" w:y="288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PURSUANT TO RULE 13A-16 OR 15D-16</w:t>
      </w:r>
    </w:p>
    <w:p>
      <w:pPr>
        <w:pStyle w:val="Normal"/>
        <w:framePr w:w="4191" w:hAnchor="page" w:vAnchor="page" w:x="4381" w:y="262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REPORT OF A FOREIGN ISSUER</w:t>
      </w:r>
    </w:p>
    <w:p>
      <w:pPr>
        <w:pStyle w:val="Normal"/>
        <w:framePr w:w="2262" w:hAnchor="page" w:vAnchor="page" w:x="5325" w:y="1611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FORM 6-K</w:t>
      </w:r>
    </w:p>
    <w:p>
      <w:pPr>
        <w:pStyle w:val="Normal"/>
        <w:framePr w:w="2877" w:hAnchor="page" w:vAnchor="page" w:x="4985" w:y="71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Washington, D.C. 20549</w:t>
      </w:r>
    </w:p>
    <w:p>
      <w:pPr>
        <w:pStyle w:val="Normal"/>
        <w:framePr w:w="8608" w:hAnchor="page" w:vAnchor="page" w:x="2440" w:y="324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2.8pt;margin-top:7.5pt;z-index:-16777208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2.8pt;margin-top:11.15pt;z-index:-16777204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5.7pt;margin-top:67.55pt;z-index:-16777200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5.7pt;margin-top:118.15pt;z-index:-16777196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5.7pt;margin-top:211.5pt;z-index:-16777192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5.7pt;margin-top:270.05pt;z-index:-16777188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5.7pt;margin-top:343.85pt;z-index:-16777184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2.8pt;margin-top:503.7pt;z-index:-16777180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2.8pt;margin-top:507.3pt;z-index:-16777176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778" w:hAnchor="page" w:vAnchor="page" w:x="276" w:y="6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99.1  </w:t>
      </w:r>
    </w:p>
    <w:p>
      <w:pPr>
        <w:pStyle w:val="Normal"/>
        <w:framePr w:w="8093" w:hAnchor="page" w:vAnchor="page" w:x="985" w:y="6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“QIWI Completes the Sale of its SOVEST Project” press release dated July 15, 2020</w:t>
      </w:r>
    </w:p>
    <w:p>
      <w:pPr>
        <w:pStyle w:val="Normal"/>
        <w:framePr w:w="1051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2.8pt;margin-top:1pt;z-index:-1677716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2.8pt;margin-top:2.45pt;z-index:-1677716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95pt;margin-top:1pt;z-index:-1677716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2.8pt;margin-top:1pt;z-index:-1677715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2.8pt;margin-top:18.35pt;z-index:-16777152;width:36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3121" w:hAnchor="page" w:vAnchor="page" w:x="6771" w:y="22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Interim Chief Financial Officer</w:t>
      </w:r>
    </w:p>
    <w:p>
      <w:pPr>
        <w:pStyle w:val="Normal"/>
        <w:framePr w:w="1815" w:hAnchor="page" w:vAnchor="page" w:x="6771" w:y="19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Varvara Kiseleva</w:t>
      </w:r>
    </w:p>
    <w:p>
      <w:pPr>
        <w:pStyle w:val="Normal"/>
        <w:framePr w:w="2040" w:hAnchor="page" w:vAnchor="page" w:x="276" w:y="17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Date: July 15, 2020</w:t>
      </w:r>
    </w:p>
    <w:p>
      <w:pPr>
        <w:pStyle w:val="Normal"/>
        <w:framePr w:w="2647" w:hAnchor="page" w:vAnchor="page" w:x="6308" w:y="17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By:   /s/ Varvara Kiseleva</w:t>
      </w:r>
    </w:p>
    <w:p>
      <w:pPr>
        <w:pStyle w:val="Normal"/>
        <w:framePr w:w="2413" w:hAnchor="page" w:vAnchor="page" w:x="6308" w:y="12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QIWI PLC (Registrant)</w:t>
      </w:r>
    </w:p>
    <w:p>
      <w:pPr>
        <w:pStyle w:val="Normal"/>
        <w:framePr w:w="3910" w:hAnchor="page" w:vAnchor="page" w:x="276" w:y="7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undersigned, thereunto duly authorized.</w:t>
      </w:r>
    </w:p>
    <w:p>
      <w:pPr>
        <w:pStyle w:val="Normal"/>
        <w:framePr w:w="13438" w:hAnchor="page" w:vAnchor="page" w:x="748" w:y="5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Pursuant to the requirements of the Securities Exchange Act of 1934, the registrant has duly caused this report to be signed on its behalf by the</w:t>
      </w:r>
    </w:p>
    <w:p>
      <w:pPr>
        <w:pStyle w:val="Normal"/>
        <w:framePr w:w="1715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2.8pt;margin-top:1pt;z-index:-1677714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2.8pt;margin-top:2.45pt;z-index:-1677714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597.95pt;margin-top:1pt;z-index:-1677713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2.8pt;margin-top:1pt;z-index:-1677713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37.55pt;margin-top:97.2pt;z-index:-16777128;width:26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331.75pt;margin-top:97.2pt;z-index:-16777124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</w:p>
    <w:p>
      <w:pPr>
        <w:pStyle w:val="Normal"/>
        <w:framePr w:w="9278" w:hAnchor="page" w:vAnchor="page" w:x="276" w:y="71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goods and services or transfer money across virtual or physical environments interchangeably.</w:t>
      </w:r>
    </w:p>
    <w:p>
      <w:pPr>
        <w:pStyle w:val="Normal"/>
        <w:framePr w:w="14196" w:hAnchor="page" w:vAnchor="page" w:x="276" w:y="69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consumers using its network at least once a month. QIWI’s consumers can use cash, stored value and other electronic payment methods in order to pay</w:t>
      </w:r>
    </w:p>
    <w:p>
      <w:pPr>
        <w:pStyle w:val="Normal"/>
        <w:framePr w:w="13618" w:hAnchor="page" w:vAnchor="page" w:x="276" w:y="66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enabled merchants and customers to accept and transfer over RUB 123 billion cash and electronic payments monthly connecting over 39 million</w:t>
      </w:r>
    </w:p>
    <w:p>
      <w:pPr>
        <w:pStyle w:val="Normal"/>
        <w:framePr w:w="14255" w:hAnchor="page" w:vAnchor="page" w:x="276" w:y="64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services across online, mobile and physical channels. It has deployed over 21.8 million virtual wallets, over 127,000 kiosks and terminals, and</w:t>
      </w:r>
    </w:p>
    <w:p>
      <w:pPr>
        <w:pStyle w:val="Normal"/>
        <w:framePr w:w="14382" w:hAnchor="page" w:vAnchor="page" w:x="276" w:y="62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QIWI is a leading provider of next generation payment and financial services in Russia and the CIS. It has an integrated proprietary network that enables</w:t>
      </w:r>
    </w:p>
    <w:p>
      <w:pPr>
        <w:pStyle w:val="Normal"/>
        <w:framePr w:w="1906" w:hAnchor="page" w:vAnchor="page" w:x="276" w:y="58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About QIWI plc.</w:t>
      </w:r>
    </w:p>
    <w:p>
      <w:pPr>
        <w:pStyle w:val="Normal"/>
        <w:framePr w:w="6917" w:hAnchor="page" w:vAnchor="page" w:x="276" w:y="53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lower participation in the restructuring program by SOVEST customers.</w:t>
      </w:r>
    </w:p>
    <w:p>
      <w:pPr>
        <w:pStyle w:val="Normal"/>
        <w:framePr w:w="14002" w:hAnchor="page" w:vAnchor="page" w:x="276" w:y="50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 better than expected portfolio performance that resulted from lower negative macroeconomic impact on collection and portfolio quality as well as</w:t>
      </w:r>
    </w:p>
    <w:p>
      <w:pPr>
        <w:pStyle w:val="Normal"/>
        <w:framePr w:w="14343" w:hAnchor="page" w:vAnchor="page" w:x="276" w:y="48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carrying amount of the portfolio as of the date of the valuation event declined as compared to the announcement date. Such decline was driven primarily</w:t>
      </w:r>
    </w:p>
    <w:p>
      <w:pPr>
        <w:pStyle w:val="Normal"/>
        <w:framePr w:w="13637" w:hAnchor="page" w:vAnchor="page" w:x="276" w:y="46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resulting loss on disposal of the SOVEST project as well as the cash consideration received are below our initial estimates because the gross</w:t>
      </w:r>
    </w:p>
    <w:p>
      <w:pPr>
        <w:pStyle w:val="Normal"/>
        <w:framePr w:w="6340" w:hAnchor="page" w:vAnchor="page" w:x="276" w:y="41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affect the overall deal value as well as associated loss on disposal.</w:t>
      </w:r>
    </w:p>
    <w:p>
      <w:pPr>
        <w:pStyle w:val="Normal"/>
        <w:framePr w:w="13904" w:hAnchor="page" w:vAnchor="page" w:x="276" w:y="39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Under the terms of sale certain other adjustments may occur until the end of 2020, however, we do not believe that such adjustments will materially</w:t>
      </w:r>
    </w:p>
    <w:p>
      <w:pPr>
        <w:pStyle w:val="Normal"/>
        <w:framePr w:w="13968" w:hAnchor="page" w:vAnchor="page" w:x="276" w:y="36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amount of approximately RUB 0.8 billion, which is better than our initial expectation. Such loss is not expected to affect Group Adjusted Net Profit.</w:t>
      </w:r>
    </w:p>
    <w:p>
      <w:pPr>
        <w:pStyle w:val="Normal"/>
        <w:framePr w:w="13940" w:hAnchor="page" w:vAnchor="page" w:x="276" w:y="34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such claims and assets including a partial reimbursement of related redundancy costs. We will incur a loss on disposal of the SOVEST project in the</w:t>
      </w:r>
    </w:p>
    <w:p>
      <w:pPr>
        <w:pStyle w:val="Normal"/>
        <w:framePr w:w="14165" w:hAnchor="page" w:vAnchor="page" w:x="276" w:y="32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net amount of approximately RUB 6.9 billion as well as certain other assets related to SOVEST project for a cash consideration of RUB 5.8 billion for</w:t>
      </w:r>
    </w:p>
    <w:p>
      <w:pPr>
        <w:pStyle w:val="Normal"/>
        <w:framePr w:w="14287" w:hAnchor="page" w:vAnchor="page" w:x="276" w:y="29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against SOVEST customers (the portfolio of instalment card loans) to Sovcombank with a gross carrying amount of approximately RUB 8.2 billion and</w:t>
      </w:r>
    </w:p>
    <w:p>
      <w:pPr>
        <w:pStyle w:val="Normal"/>
        <w:framePr w:w="14050" w:hAnchor="page" w:vAnchor="page" w:x="276" w:y="27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completed the sale of its SOVEST consumer lending business to Sovcombank. In connection with this transaction the Company assigned claims held</w:t>
      </w:r>
    </w:p>
    <w:p>
      <w:pPr>
        <w:pStyle w:val="Normal"/>
        <w:framePr w:w="13471" w:hAnchor="page" w:vAnchor="page" w:x="276" w:y="25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NICOSIA, CYPRUS – July 15, 2020 – QIWI plc (NASDAQ: QIWI) (MOEX: QIWI) (“QIWI” or the “Company”) today announced that it has</w:t>
      </w:r>
    </w:p>
    <w:p>
      <w:pPr>
        <w:pStyle w:val="Normal"/>
        <w:framePr w:w="5037" w:hAnchor="page" w:vAnchor="page" w:x="4174" w:y="20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QIWI Completes the Sale of its SOVEST Project</w:t>
      </w:r>
    </w:p>
    <w:p>
      <w:pPr>
        <w:pStyle w:val="Normal"/>
        <w:framePr w:w="1424" w:hAnchor="page" w:vAnchor="page" w:x="11084" w:y="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7pt;margin-top:1pt;z-index:-1677712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231.5pt;margin-top:13.55pt;z-index:-16777116;width:154.8pt;height:89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</w:p>
    <w:p>
      <w:pPr>
        <w:pStyle w:val="Normal"/>
        <w:framePr w:w="1450" w:hAnchor="page" w:vAnchor="page" w:x="276" w:y="51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ir@qiwi.com</w:t>
      </w:r>
    </w:p>
    <w:p>
      <w:pPr>
        <w:pStyle w:val="Normal"/>
        <w:framePr w:w="1689" w:hAnchor="page" w:vAnchor="page" w:x="276" w:y="49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+357.25028091</w:t>
      </w:r>
    </w:p>
    <w:p>
      <w:pPr>
        <w:pStyle w:val="Normal"/>
        <w:framePr w:w="1918" w:hAnchor="page" w:vAnchor="page" w:x="276" w:y="47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Investor Relations</w:t>
      </w:r>
    </w:p>
    <w:p>
      <w:pPr>
        <w:pStyle w:val="Normal"/>
        <w:framePr w:w="1815" w:hAnchor="page" w:vAnchor="page" w:x="276" w:y="44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Varvara Kiseleva</w:t>
      </w:r>
    </w:p>
    <w:p>
      <w:pPr>
        <w:pStyle w:val="Normal"/>
        <w:framePr w:w="1012" w:hAnchor="page" w:vAnchor="page" w:x="276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Contact</w:t>
      </w:r>
    </w:p>
    <w:p>
      <w:pPr>
        <w:pStyle w:val="Normal"/>
        <w:framePr w:w="2513" w:hAnchor="page" w:vAnchor="page" w:x="276" w:y="35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required to do so by law.</w:t>
      </w:r>
    </w:p>
    <w:p>
      <w:pPr>
        <w:pStyle w:val="Normal"/>
        <w:framePr w:w="13639" w:hAnchor="page" w:vAnchor="page" w:x="276" w:y="33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 obligation to revise any forward-looking statements or to report future events that may affect such forward-looking statements unless QIWI is</w:t>
      </w:r>
    </w:p>
    <w:p>
      <w:pPr>
        <w:pStyle w:val="Normal"/>
        <w:framePr w:w="14242" w:hAnchor="page" w:vAnchor="page" w:x="276" w:y="30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Factors” in QIWI’s Annual Report on Form 20-F and in other reports QIWI files with the U.S. Securities and Exchange Commission. QIWI undertakes</w:t>
      </w:r>
    </w:p>
    <w:p>
      <w:pPr>
        <w:pStyle w:val="Normal"/>
        <w:framePr w:w="14290" w:hAnchor="page" w:vAnchor="page" w:x="276" w:y="28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expand geographically, the risk that new projects will not perform in accordance with its expectations and other risks identified under the Caption “Risk</w:t>
      </w:r>
    </w:p>
    <w:p>
      <w:pPr>
        <w:pStyle w:val="Normal"/>
        <w:framePr w:w="14036" w:hAnchor="page" w:vAnchor="page" w:x="276" w:y="26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ability to grow physical and virtual distribution channels, cyberattacks and security vulnerabilities in QIWI’s products and services, QIWI’s ability to</w:t>
      </w:r>
    </w:p>
    <w:p>
      <w:pPr>
        <w:pStyle w:val="Normal"/>
        <w:framePr w:w="14067" w:hAnchor="page" w:vAnchor="page" w:x="276" w:y="24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consumers, QIWI’s ability to estimate the market risk and capital risk associated with new projects, a decline in net revenue yield, regulation, QIWI’s</w:t>
      </w:r>
    </w:p>
    <w:p>
      <w:pPr>
        <w:pStyle w:val="Normal"/>
        <w:framePr w:w="13295" w:hAnchor="page" w:vAnchor="page" w:x="276" w:y="21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which we operate, growth in each of our market verticals, competition, the introduction of new products and services and their acceptance by</w:t>
      </w:r>
    </w:p>
    <w:p>
      <w:pPr>
        <w:pStyle w:val="Normal"/>
        <w:framePr w:w="14257" w:hAnchor="page" w:vAnchor="page" w:x="276" w:y="19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transaction and the risk that completion may not occur, macroeconomic conditions of the Russian Federation and in each of the international markets in</w:t>
      </w:r>
    </w:p>
    <w:p>
      <w:pPr>
        <w:pStyle w:val="Normal"/>
        <w:framePr w:w="13477" w:hAnchor="page" w:vAnchor="page" w:x="276" w:y="17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include, but are not limited to, the impact of the sale of on QIWI’s financial condition and results of operations, the timing of completion of the</w:t>
      </w:r>
    </w:p>
    <w:p>
      <w:pPr>
        <w:pStyle w:val="Normal"/>
        <w:framePr w:w="13658" w:hAnchor="page" w:vAnchor="page" w:x="276" w:y="14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statements. Various factors that could cause actual future results and other future events to differ materially from those estimated by management</w:t>
      </w:r>
    </w:p>
    <w:p>
      <w:pPr>
        <w:pStyle w:val="Normal"/>
        <w:framePr w:w="14056" w:hAnchor="page" w:vAnchor="page" w:x="276" w:y="12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achievements of QIWI plc. to be materially different from future results, performance or achievements expressed or implied by such forward-looking</w:t>
      </w:r>
    </w:p>
    <w:p>
      <w:pPr>
        <w:pStyle w:val="Normal"/>
        <w:framePr w:w="14093" w:hAnchor="page" w:vAnchor="page" w:x="276" w:y="10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Such forward-looking statements involve known and unknown risks, uncertainties, and other factors that may cause the actual results, performance or</w:t>
      </w:r>
    </w:p>
    <w:p>
      <w:pPr>
        <w:pStyle w:val="Normal"/>
        <w:framePr w:w="14152" w:hAnchor="page" w:vAnchor="page" w:x="276" w:y="7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Reform Act of 1995, including, without limitation, statements regarding the overall deal value and associated loss on disposal of the SOVEST project.</w:t>
      </w:r>
    </w:p>
    <w:p>
      <w:pPr>
        <w:pStyle w:val="Normal"/>
        <w:framePr w:w="13650" w:hAnchor="page" w:vAnchor="page" w:x="276" w:y="5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press release includes “forward-looking statements” within the meaning of, and subject to the protection of, the Private Securities Litigation</w:t>
      </w:r>
    </w:p>
    <w:p>
      <w:pPr>
        <w:pStyle w:val="Normal"/>
        <w:framePr w:w="3152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Forward-Looking Statements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7pt;margin-top:1pt;z-index:-16777112;width:598pt;height:281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2.8pt;margin-top:1pt;z-index:-1677710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2.8pt;margin-top:2.45pt;z-index:-1677710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597.95pt;margin-top:1pt;z-index:-1677710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8pt;margin-top:1pt;z-index:-1677709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</w:p>
    <w:sectPr>
      <w:pgSz w:w="12240" w:h="20160"/>
      <w:pgMar w:top="400" w:right="400" w:bottom="400" w:left="400" w:header="720" w:footer="720"/>
      <w:pgNumType w:start="5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be00ae22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jpe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styles.xml" Type="http://schemas.openxmlformats.org/officeDocument/2006/relationships/styles"/><Relationship Id="rId32" Target="fontTable.xml" Type="http://schemas.openxmlformats.org/officeDocument/2006/relationships/fontTable"/><Relationship Id="rId33" Target="settings.xml" Type="http://schemas.openxmlformats.org/officeDocument/2006/relationships/settings"/><Relationship Id="rId34" Target="webSettings.xml" Type="http://schemas.openxmlformats.org/officeDocument/2006/relationships/webSettings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5</Pages>
  <Words>873</Words>
  <Characters>4770</Characters>
  <Application>e-iceblue</Application>
  <DocSecurity>0</DocSecurity>
  <Lines>71</Lines>
  <Paragraphs>71</Paragraphs>
  <ScaleCrop>false</ScaleCrop>
  <Company>e-iceblue</Company>
  <LinksUpToDate>false</LinksUpToDate>
  <CharactersWithSpaces>5613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2021-11-30T21:12:08Z</dcterms:created>
  <dc:creator>root</dc:creator>
  <cp:lastModifiedBy>root</cp:lastModifiedBy>
  <dcterms:modified xsi:type="dcterms:W3CDTF">2021-11-30T21:12:08Z</dcterms:modified>
  <cp:revision>1</cp:revision>
</cp:coreProperties>
</file>