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0978" w:hAnchor="page" w:vAnchor="page" w:x="280" w:y="95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“Yes” is marked, indicate below the file number assigned to the registrant in connection with Rule 12g3-2(b):</w:t>
      </w:r>
    </w:p>
    <w:p>
      <w:pPr>
        <w:pStyle w:val="Normal"/>
        <w:framePr w:w="2275" w:hAnchor="page" w:vAnchor="page" w:x="5272" w:y="9087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Yes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No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☒</w:t>
      </w:r>
    </w:p>
    <w:p>
      <w:pPr>
        <w:pStyle w:val="Normal"/>
        <w:framePr w:w="8715" w:hAnchor="page" w:vAnchor="page" w:x="280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Commission pursuant to Rule 12g3-2(b) under the Securities Exchange Act of 1934.</w:t>
      </w:r>
    </w:p>
    <w:p>
      <w:pPr>
        <w:pStyle w:val="Normal"/>
        <w:framePr w:w="14049" w:hAnchor="page" w:vAnchor="page" w:x="280" w:y="83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by furnishing the information contained in this Form is also thereby furnishing the information to</w:t>
      </w:r>
    </w:p>
    <w:p>
      <w:pPr>
        <w:pStyle w:val="Normal"/>
        <w:framePr w:w="3699" w:hAnchor="page" w:vAnchor="page" w:x="4678" w:y="7886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20-F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☒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Form 40-F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11562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files or will file annual reports under cover of Form 20-F or Form 40-F.</w:t>
      </w:r>
    </w:p>
    <w:p>
      <w:pPr>
        <w:pStyle w:val="Normal"/>
        <w:framePr w:w="3366" w:hAnchor="page" w:vAnchor="page" w:x="4797" w:y="65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(Address of principal executive offices)</w:t>
      </w:r>
    </w:p>
    <w:p>
      <w:pPr>
        <w:pStyle w:val="Normal"/>
        <w:framePr w:w="2348" w:hAnchor="page" w:vAnchor="page" w:x="5242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1087 Nicosia Cyprus</w:t>
      </w:r>
    </w:p>
    <w:p>
      <w:pPr>
        <w:pStyle w:val="Normal"/>
        <w:framePr w:w="5136" w:hAnchor="page" w:vAnchor="page" w:x="4080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 Business Centre, 2nd Floor, Office 203</w:t>
      </w:r>
    </w:p>
    <w:p>
      <w:pPr>
        <w:pStyle w:val="Normal"/>
        <w:framePr w:w="2283" w:hAnchor="page" w:vAnchor="page" w:x="5269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12-14 Kennedy Ave.</w:t>
      </w:r>
    </w:p>
    <w:p>
      <w:pPr>
        <w:pStyle w:val="Normal"/>
        <w:framePr w:w="2686" w:hAnchor="page" w:vAnchor="page" w:x="5139" w:y="467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2428" w:hAnchor="page" w:vAnchor="page" w:x="5208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 January 29, 2018</w:t>
      </w:r>
    </w:p>
    <w:p>
      <w:pPr>
        <w:pStyle w:val="Normal"/>
        <w:framePr w:w="6166" w:hAnchor="page" w:vAnchor="page" w:x="3437" w:y="326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OF THE SECURITIES EXCHANGE ACT OF 1934</w:t>
      </w:r>
    </w:p>
    <w:p>
      <w:pPr>
        <w:pStyle w:val="Normal"/>
        <w:framePr w:w="5155" w:hAnchor="page" w:vAnchor="page" w:x="3897" w:y="299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PURSUANT TO RULE 13A-16 OR 15D-16</w:t>
      </w:r>
    </w:p>
    <w:p>
      <w:pPr>
        <w:pStyle w:val="Normal"/>
        <w:framePr w:w="4351" w:hAnchor="page" w:vAnchor="page" w:x="4256" w:y="272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REPORT OF A FOREIGN ISSUER</w:t>
      </w:r>
    </w:p>
    <w:p>
      <w:pPr>
        <w:pStyle w:val="Normal"/>
        <w:framePr w:w="2344" w:hAnchor="page" w:vAnchor="page" w:x="5234" w:y="1671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FORM 6-K</w:t>
      </w:r>
    </w:p>
    <w:p>
      <w:pPr>
        <w:pStyle w:val="Normal"/>
        <w:framePr w:w="2987" w:hAnchor="page" w:vAnchor="page" w:x="4882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8930" w:hAnchor="page" w:vAnchor="page" w:x="2241" w:y="334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.75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11.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3.45pt;margin-top:70.05pt;z-index:-1677720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3.45pt;margin-top:122.6pt;z-index:-1677719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3.45pt;margin-top:219.45pt;z-index:-1677719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3.45pt;margin-top:280.25pt;z-index:-16777188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3.45pt;margin-top:356.8pt;z-index:-16777184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502.4pt;z-index:-16777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506.15pt;z-index:-16777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660" w:hAnchor="page" w:vAnchor="page" w:x="280" w:y="13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99.3</w:t>
      </w:r>
    </w:p>
    <w:p>
      <w:pPr>
        <w:pStyle w:val="Normal"/>
        <w:framePr w:w="5594" w:hAnchor="page" w:vAnchor="page" w:x="1451" w:y="13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Report of the Board of Directors as of January 22, 2018</w:t>
      </w:r>
    </w:p>
    <w:p>
      <w:pPr>
        <w:pStyle w:val="Normal"/>
        <w:framePr w:w="660" w:hAnchor="page" w:vAnchor="page" w:x="280" w:y="9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99.2</w:t>
      </w:r>
    </w:p>
    <w:p>
      <w:pPr>
        <w:pStyle w:val="Normal"/>
        <w:framePr w:w="8174" w:hAnchor="page" w:vAnchor="page" w:x="1451" w:y="9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Extraordinary General Meeting of Shareholders 2018 – Notice for the convocation</w:t>
      </w:r>
    </w:p>
    <w:p>
      <w:pPr>
        <w:pStyle w:val="Normal"/>
        <w:framePr w:w="660" w:hAnchor="page" w:vAnchor="page" w:x="280" w:y="5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99.1</w:t>
      </w:r>
    </w:p>
    <w:p>
      <w:pPr>
        <w:pStyle w:val="Normal"/>
        <w:framePr w:w="10367" w:hAnchor="page" w:vAnchor="page" w:x="1451" w:y="5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“QIWI Announces Extraordinary General Meeting of Shareholders” press release dated January 29, 2018</w:t>
      </w:r>
    </w:p>
    <w:p>
      <w:pPr>
        <w:pStyle w:val="Normal"/>
        <w:framePr w:w="1094" w:hAnchor="page" w:vAnchor="page" w:x="285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1pt;z-index:-167771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2.5pt;z-index:-167771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75pt;margin-top:1pt;z-index:-167771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1pt;z-index:-167771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3pt;margin-top:20.5pt;z-index:-16777152;width:3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</w:p>
    <w:p>
      <w:pPr>
        <w:pStyle w:val="Normal"/>
        <w:framePr w:w="2476" w:hAnchor="page" w:vAnchor="page" w:x="6705" w:y="23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Financial Officer</w:t>
      </w:r>
    </w:p>
    <w:p>
      <w:pPr>
        <w:pStyle w:val="Normal"/>
        <w:framePr w:w="2220" w:hAnchor="page" w:vAnchor="page" w:x="6705" w:y="20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Alexander Karavaev</w:t>
      </w:r>
    </w:p>
    <w:p>
      <w:pPr>
        <w:pStyle w:val="Normal"/>
        <w:framePr w:w="2467" w:hAnchor="page" w:vAnchor="page" w:x="280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 January 29, 2018</w:t>
      </w:r>
    </w:p>
    <w:p>
      <w:pPr>
        <w:pStyle w:val="Normal"/>
        <w:framePr w:w="587" w:hAnchor="page" w:vAnchor="page" w:x="6300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2507" w:hAnchor="page" w:vAnchor="page" w:x="6705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Alexander Karavaev</w:t>
      </w:r>
    </w:p>
    <w:p>
      <w:pPr>
        <w:pStyle w:val="Normal"/>
        <w:framePr w:w="2507" w:hAnchor="page" w:vAnchor="page" w:x="6300" w:y="13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(Registrant)</w:t>
      </w:r>
    </w:p>
    <w:p>
      <w:pPr>
        <w:pStyle w:val="Normal"/>
        <w:framePr w:w="4414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undersigned, thereunto duly authorized.</w:t>
      </w:r>
    </w:p>
    <w:p>
      <w:pPr>
        <w:pStyle w:val="Normal"/>
        <w:framePr w:w="13596" w:hAnchor="page" w:vAnchor="page" w:x="747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 behalf by</w:t>
      </w:r>
    </w:p>
    <w:p>
      <w:pPr>
        <w:pStyle w:val="Normal"/>
        <w:framePr w:w="1783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7pt;margin-top:1pt;z-index:-167771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pt;margin-top:1pt;z-index:-167771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pt;margin-top:2.5pt;z-index:-167771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597.75pt;margin-top:1pt;z-index:-167771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pt;margin-top:1pt;z-index:-167771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34.25pt;margin-top:100.85pt;z-index:-16777128;width:264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</w:p>
    <w:p>
      <w:pPr>
        <w:pStyle w:val="Normal"/>
        <w:framePr w:w="1508" w:hAnchor="page" w:vAnchor="page" w:x="280" w:y="107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ir@qiwi.com</w:t>
      </w:r>
    </w:p>
    <w:p>
      <w:pPr>
        <w:pStyle w:val="Normal"/>
        <w:framePr w:w="1756" w:hAnchor="page" w:vAnchor="page" w:x="280" w:y="104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+357.25028091</w:t>
      </w:r>
    </w:p>
    <w:p>
      <w:pPr>
        <w:pStyle w:val="Normal"/>
        <w:framePr w:w="1994" w:hAnchor="page" w:vAnchor="page" w:x="280" w:y="102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Investor Relations</w:t>
      </w:r>
    </w:p>
    <w:p>
      <w:pPr>
        <w:pStyle w:val="Normal"/>
        <w:framePr w:w="1887" w:hAnchor="page" w:vAnchor="page" w:x="280" w:y="99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Varvara Kiseleva</w:t>
      </w:r>
    </w:p>
    <w:p>
      <w:pPr>
        <w:pStyle w:val="Normal"/>
        <w:framePr w:w="1054" w:hAnchor="page" w:vAnchor="page" w:x="280" w:y="97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Contact</w:t>
      </w:r>
    </w:p>
    <w:p>
      <w:pPr>
        <w:pStyle w:val="Normal"/>
        <w:framePr w:w="6865" w:hAnchor="page" w:vAnchor="page" w:x="280" w:y="92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services across physical or online environments interchangeably.</w:t>
      </w:r>
    </w:p>
    <w:p>
      <w:pPr>
        <w:pStyle w:val="Normal"/>
        <w:framePr w:w="13915" w:hAnchor="page" w:vAnchor="page" w:x="280" w:y="90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network at least once a month. QIWI’s consumers can use cash, stored value and other electronic payment methods to order and pay for goods</w:t>
      </w:r>
    </w:p>
    <w:p>
      <w:pPr>
        <w:pStyle w:val="Normal"/>
        <w:framePr w:w="14163" w:hAnchor="page" w:vAnchor="page" w:x="280" w:y="87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terminals, and enabled merchants to accept over RUB 78 billion cash and electronic payments monthly from over 51 million consumers using its</w:t>
      </w:r>
    </w:p>
    <w:p>
      <w:pPr>
        <w:pStyle w:val="Normal"/>
        <w:framePr w:w="13376" w:hAnchor="page" w:vAnchor="page" w:x="280" w:y="85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services across physical, online and mobile channels. It has deployed over 19.0 million virtual wallets, over 152,000 kiosks and</w:t>
      </w:r>
    </w:p>
    <w:p>
      <w:pPr>
        <w:pStyle w:val="Normal"/>
        <w:framePr w:w="13622" w:hAnchor="page" w:vAnchor="page" w:x="280" w:y="83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is a leading provider of next generation payment services in Russia and the CIS. It has an integrated proprietary network that enables</w:t>
      </w:r>
    </w:p>
    <w:p>
      <w:pPr>
        <w:pStyle w:val="Normal"/>
        <w:framePr w:w="1981" w:hAnchor="page" w:vAnchor="page" w:x="280" w:y="79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About QIWI plc.</w:t>
      </w:r>
    </w:p>
    <w:p>
      <w:pPr>
        <w:pStyle w:val="Normal"/>
        <w:framePr w:w="5228" w:hAnchor="page" w:vAnchor="page" w:x="280" w:y="73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available on our website at http://investor.qiwi.com.</w:t>
      </w:r>
    </w:p>
    <w:p>
      <w:pPr>
        <w:pStyle w:val="Normal"/>
        <w:framePr w:w="13535" w:hAnchor="page" w:vAnchor="page" w:x="280" w:y="71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Copies of certain materials related to the EGM, including Notice for the convocation of the EGM and Report of the Board of Directors are</w:t>
      </w:r>
    </w:p>
    <w:p>
      <w:pPr>
        <w:pStyle w:val="Normal"/>
        <w:framePr w:w="7325" w:hAnchor="page" w:vAnchor="page" w:x="280" w:y="66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the Company’s ADS holders through The Bank of New York Mellon.</w:t>
      </w:r>
    </w:p>
    <w:p>
      <w:pPr>
        <w:pStyle w:val="Normal"/>
        <w:framePr w:w="14095" w:hAnchor="page" w:vAnchor="page" w:x="280" w:y="63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Further details on the agenda and procedural matters related to the EGM will be made available to the Company’s shareholders by the Company</w:t>
      </w:r>
    </w:p>
    <w:p>
      <w:pPr>
        <w:pStyle w:val="Normal"/>
        <w:framePr w:w="7988" w:hAnchor="page" w:vAnchor="page" w:x="1211" w:y="59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issuance and allotment of new shares under the employee incentive programs.</w:t>
      </w:r>
    </w:p>
    <w:p>
      <w:pPr>
        <w:pStyle w:val="Normal"/>
        <w:framePr w:w="420" w:hAnchor="page" w:vAnchor="page" w:x="745" w:y="56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1.</w:t>
      </w:r>
    </w:p>
    <w:p>
      <w:pPr>
        <w:pStyle w:val="Normal"/>
        <w:framePr w:w="13082" w:hAnchor="page" w:vAnchor="page" w:x="1211" w:y="56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approve the disapplication of shareholders pre-emption rights in relation to a maximum of 8,500,000 class B shares for the purpose</w:t>
      </w:r>
    </w:p>
    <w:p>
      <w:pPr>
        <w:pStyle w:val="Normal"/>
        <w:framePr w:w="7708" w:hAnchor="page" w:vAnchor="page" w:x="280" w:y="52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At the EGM, the following item will be submitted for shareholders’ approval:</w:t>
      </w:r>
    </w:p>
    <w:p>
      <w:pPr>
        <w:pStyle w:val="Normal"/>
        <w:framePr w:w="2807" w:hAnchor="page" w:vAnchor="page" w:x="280" w:y="48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invited to attend the EGM.</w:t>
      </w:r>
    </w:p>
    <w:p>
      <w:pPr>
        <w:pStyle w:val="Normal"/>
        <w:framePr w:w="13966" w:hAnchor="page" w:vAnchor="page" w:x="280" w:y="45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underlying shares must act through the depositary of the Company’s ADS program, The Bank of New York Mellon. Shareholders are cordially</w:t>
      </w:r>
    </w:p>
    <w:p>
      <w:pPr>
        <w:pStyle w:val="Normal"/>
        <w:framePr w:w="13709" w:hAnchor="page" w:vAnchor="page" w:x="280" w:y="43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adjourned meeting thereof. Holders of the Company’s American Depositary Shares (“ADS”) who wish to exercise their voting rights for the</w:t>
      </w:r>
    </w:p>
    <w:p>
      <w:pPr>
        <w:pStyle w:val="Normal"/>
        <w:framePr w:w="13568" w:hAnchor="page" w:vAnchor="page" w:x="280" w:y="40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Only shareholders of record at the close of business on January 29, 2018 are entitled to receive notice, attend and vote at the EGM and any</w:t>
      </w:r>
    </w:p>
    <w:p>
      <w:pPr>
        <w:pStyle w:val="Normal"/>
        <w:framePr w:w="9108" w:hAnchor="page" w:vAnchor="page" w:x="280" w:y="36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located at 12 Kennedy Avenue, Kennedy Business Centre, 2nd floor, 1087, Nicosia, Cyprus.</w:t>
      </w:r>
    </w:p>
    <w:p>
      <w:pPr>
        <w:pStyle w:val="Normal"/>
        <w:framePr w:w="13867" w:hAnchor="page" w:vAnchor="page" w:x="280" w:y="33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hold an extraordinary general meeting of shareholders (the “EGM”) on Tuesday March 6, 2018, at 10:00 a.m. (Cyprus Time) at QIWI’s office</w:t>
      </w:r>
    </w:p>
    <w:p>
      <w:pPr>
        <w:pStyle w:val="Normal"/>
        <w:framePr w:w="14163" w:hAnchor="page" w:vAnchor="page" w:x="280" w:y="31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NICOSIA, CYPRUS – January 29, 2018 – QIWI plc (Nasdaq: QIWI), (MOEX: QIWI) (“QIWI” or the “Company”) today announced that it will</w:t>
      </w:r>
    </w:p>
    <w:p>
      <w:pPr>
        <w:pStyle w:val="Normal"/>
        <w:framePr w:w="7065" w:hAnchor="page" w:vAnchor="page" w:x="3276" w:y="26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Announces Extraordinary General Meeting of Shareholders</w:t>
      </w:r>
    </w:p>
    <w:p>
      <w:pPr>
        <w:pStyle w:val="Normal"/>
        <w:framePr w:w="1481" w:hAnchor="page" w:vAnchor="page" w:x="10926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99.1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7pt;margin-top:1pt;z-index:-1677712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25.7pt;margin-top:27.5pt;z-index:-16777120;width:160.65pt;height:93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</w:p>
    <w:p>
      <w:pPr>
        <w:pStyle w:val="Normal"/>
        <w:framePr w:w="4447" w:hAnchor="page" w:vAnchor="page" w:x="280" w:y="117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vote and take decision on proposed matters.</w:t>
      </w:r>
    </w:p>
    <w:p>
      <w:pPr>
        <w:pStyle w:val="Normal"/>
        <w:framePr w:w="14086" w:hAnchor="page" w:vAnchor="page" w:x="280" w:y="114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resolutions, and in case of their positive decision determined in accordance with section 59A(1)(b) of the Law, finally the General Meeting shall</w:t>
      </w:r>
    </w:p>
    <w:p>
      <w:pPr>
        <w:pStyle w:val="Normal"/>
        <w:framePr w:w="13850" w:hAnchor="page" w:vAnchor="page" w:x="280" w:y="112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which are affected by the change. Therefore, first, class A shareholders and class B shareholders shall vote separately and decide on proposed</w:t>
      </w:r>
    </w:p>
    <w:p>
      <w:pPr>
        <w:pStyle w:val="Normal"/>
        <w:framePr w:w="13711" w:hAnchor="page" w:vAnchor="page" w:x="280" w:y="110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out in section 59A of the Law. Subject to section 59A(1)(a) of the Law, separate voting shall take place for each class of shares, the rights of</w:t>
      </w:r>
    </w:p>
    <w:p>
      <w:pPr>
        <w:pStyle w:val="Normal"/>
        <w:framePr w:w="14195" w:hAnchor="page" w:vAnchor="page" w:x="280" w:y="107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from the articles, unless by way of a resolution of the general meeting and the general meeting shall decide in accordance with the regulations set</w:t>
      </w:r>
    </w:p>
    <w:p>
      <w:pPr>
        <w:pStyle w:val="Normal"/>
        <w:framePr w:w="13977" w:hAnchor="page" w:vAnchor="page" w:x="280" w:y="105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According to section 60(b)(5) of the Companies Law, Cap. 113, as amended, (the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Law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) the pre-emption right may not be restricted or excluded</w:t>
      </w:r>
    </w:p>
    <w:p>
      <w:pPr>
        <w:pStyle w:val="Normal"/>
        <w:framePr w:w="306" w:hAnchor="page" w:vAnchor="page" w:x="280" w:y="10172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1</w:t>
      </w:r>
    </w:p>
    <w:p>
      <w:pPr>
        <w:pStyle w:val="Normal"/>
        <w:framePr w:w="2528" w:hAnchor="page" w:vAnchor="page" w:x="745" w:y="101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IMPORTANT NOTE:</w:t>
      </w:r>
    </w:p>
    <w:p>
      <w:pPr>
        <w:pStyle w:val="Normal"/>
        <w:framePr w:w="11635" w:hAnchor="page" w:vAnchor="page" w:x="745" w:y="97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time to any person or persons and at any price provided that such price shall not be below the par value of such shares;</w:t>
      </w:r>
    </w:p>
    <w:p>
      <w:pPr>
        <w:pStyle w:val="Normal"/>
        <w:framePr w:w="520" w:hAnchor="page" w:vAnchor="page" w:x="280" w:y="94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13686" w:hAnchor="page" w:vAnchor="page" w:x="745" w:y="94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shares to be allotted thereunder shall be allotted at the discretion of the Board of Directors of the Company, at any time and from time to</w:t>
      </w:r>
    </w:p>
    <w:p>
      <w:pPr>
        <w:pStyle w:val="Normal"/>
        <w:framePr w:w="11529" w:hAnchor="page" w:vAnchor="page" w:x="745" w:y="91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form of ADS, solely for the purpose of issuance and allotment of new shares under the employee incentive programs;</w:t>
      </w:r>
    </w:p>
    <w:p>
      <w:pPr>
        <w:pStyle w:val="Normal"/>
        <w:framePr w:w="506" w:hAnchor="page" w:vAnchor="page" w:x="280" w:y="88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13416" w:hAnchor="page" w:vAnchor="page" w:x="745" w:y="88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Disapplication shall relate to a maximum of 8,500,000 class B shares, including to the extent relevant any class B shares issued in the</w:t>
      </w:r>
    </w:p>
    <w:p>
      <w:pPr>
        <w:pStyle w:val="Normal"/>
        <w:framePr w:w="13419" w:hAnchor="page" w:vAnchor="page" w:x="280" w:y="84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Company’s articles of association and sections 59A and 60B(5) of the Companies Law, Cap. 113, as amended, (the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“Disapplication”</w:t>
      </w:r>
    </w:p>
    <w:p>
      <w:pPr>
        <w:pStyle w:val="Normal"/>
        <w:framePr w:w="1427" w:hAnchor="page" w:vAnchor="page" w:x="10962" w:y="84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) as follows:</w:t>
      </w:r>
    </w:p>
    <w:p>
      <w:pPr>
        <w:pStyle w:val="Normal"/>
        <w:framePr w:w="13460" w:hAnchor="page" w:vAnchor="page" w:x="280" w:y="82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right to the purchase of shares in the Company or which are convertible into shares of the Company, as provided in Regulation 8(a) of the</w:t>
      </w:r>
    </w:p>
    <w:p>
      <w:pPr>
        <w:pStyle w:val="Normal"/>
        <w:framePr w:w="13831" w:hAnchor="page" w:vAnchor="page" w:x="280" w:y="80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THAT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the shareholders resolve to waive and hereby waive their pre-emption rights in relation to all new shares and/or other securities giving</w:t>
      </w:r>
    </w:p>
    <w:p>
      <w:pPr>
        <w:pStyle w:val="Normal"/>
        <w:framePr w:w="7522" w:hAnchor="page" w:vAnchor="page" w:x="280" w:y="76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THE FOLLOWING ORDINARY RESOLUTIONS ARE PROPOSED:</w:t>
      </w:r>
    </w:p>
    <w:p>
      <w:pPr>
        <w:pStyle w:val="Normal"/>
        <w:framePr w:w="8721" w:hAnchor="page" w:vAnchor="page" w:x="280" w:y="70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 approved by both the holders of the relevant class of shares and the General Meeting.</w:t>
      </w:r>
    </w:p>
    <w:p>
      <w:pPr>
        <w:pStyle w:val="Normal"/>
        <w:framePr w:w="14219" w:hAnchor="page" w:vAnchor="page" w:x="280" w:y="68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AND WHEREAS,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according to the section 59A(1)(a) and 60B(5) of the Companies Law, Cap 113, the disapplication of pre-emption right has to</w:t>
      </w:r>
    </w:p>
    <w:p>
      <w:pPr>
        <w:pStyle w:val="Normal"/>
        <w:framePr w:w="4546" w:hAnchor="page" w:vAnchor="page" w:x="280" w:y="63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allotments of class B shares in the Company.</w:t>
      </w:r>
    </w:p>
    <w:p>
      <w:pPr>
        <w:pStyle w:val="Normal"/>
        <w:framePr w:w="13268" w:hAnchor="page" w:vAnchor="page" w:x="280" w:y="60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issuance and allotment of new shares under the employee incentive programs for a period of five (5) years with respect to certain future</w:t>
      </w:r>
    </w:p>
    <w:p>
      <w:pPr>
        <w:pStyle w:val="Normal"/>
        <w:framePr w:w="13583" w:hAnchor="page" w:vAnchor="page" w:x="280" w:y="58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respect of 8,500,000 class B shares, including to the extent relevant any class B shares issued in the form of ADS, solely for the purpose of</w:t>
      </w:r>
    </w:p>
    <w:p>
      <w:pPr>
        <w:pStyle w:val="Normal"/>
        <w:framePr w:w="13716" w:hAnchor="page" w:vAnchor="page" w:x="280" w:y="56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January 22, 2018, as attached in Annex A hereto, which recommends to approve the disapplication of the shareholders’ preemption rights in</w:t>
      </w:r>
    </w:p>
    <w:p>
      <w:pPr>
        <w:pStyle w:val="Normal"/>
        <w:framePr w:w="13189" w:hAnchor="page" w:vAnchor="page" w:x="280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WHEREAS,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the shareholders have been provided with and have considered the report of the Board of Directors of the Company as of</w:t>
      </w:r>
    </w:p>
    <w:p>
      <w:pPr>
        <w:pStyle w:val="Normal"/>
        <w:framePr w:w="9276" w:hAnchor="page" w:vAnchor="page" w:x="280" w:y="50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APPROVAL OF DISAPPLICATION OF SHAREHOLDERS PRE-EMPTION RIGHTS</w:t>
      </w:r>
    </w:p>
    <w:p>
      <w:pPr>
        <w:pStyle w:val="Normal"/>
        <w:framePr w:w="1171" w:hAnchor="page" w:vAnchor="page" w:x="280" w:y="4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PART A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1</w:t>
      </w:r>
    </w:p>
    <w:p>
      <w:pPr>
        <w:pStyle w:val="Normal"/>
        <w:framePr w:w="10796" w:hAnchor="page" w:vAnchor="page" w:x="280" w:y="41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taking into consideration the following matter and if thought proper approving the resolutions listed below:</w:t>
      </w:r>
    </w:p>
    <w:p>
      <w:pPr>
        <w:pStyle w:val="Normal"/>
        <w:framePr w:w="14197" w:hAnchor="page" w:vAnchor="page" w:x="280" w:y="3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10.00 a.m. (Cyprus time) at QIWI’s office, 12 Kennedy Avenue, Kennedy Business Centre, 2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nd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floor, P.C. 1087, Nicosia, Cyprus, for the purpose</w:t>
      </w:r>
    </w:p>
    <w:p>
      <w:pPr>
        <w:pStyle w:val="Normal"/>
        <w:framePr w:w="13903" w:hAnchor="page" w:vAnchor="page" w:x="280" w:y="36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EXTRAORDINARY GENERAL MEETING of shareholders of the Company (the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Meeting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) will be convened and held on March 06, 2018, at</w:t>
      </w:r>
    </w:p>
    <w:p>
      <w:pPr>
        <w:pStyle w:val="Normal"/>
        <w:framePr w:w="13623" w:hAnchor="page" w:vAnchor="page" w:x="280" w:y="34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NOTICE IS GIVEN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in accordance with the Regulations 54(a) and 55 of the Articles of Association of the Company (the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Articles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), that an</w:t>
      </w:r>
    </w:p>
    <w:p>
      <w:pPr>
        <w:pStyle w:val="Normal"/>
        <w:framePr w:w="1994" w:hAnchor="page" w:vAnchor="page" w:x="280" w:y="3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January 29, 2018</w:t>
      </w:r>
    </w:p>
    <w:p>
      <w:pPr>
        <w:pStyle w:val="Normal"/>
        <w:framePr w:w="3706" w:hAnchor="page" w:vAnchor="page" w:x="280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TO: All shareholders of QIWI plc</w:t>
      </w:r>
    </w:p>
    <w:p>
      <w:pPr>
        <w:pStyle w:val="Normal"/>
        <w:framePr w:w="1700" w:hAnchor="page" w:vAnchor="page" w:x="5512" w:y="22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(the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Company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)</w:t>
      </w:r>
    </w:p>
    <w:p>
      <w:pPr>
        <w:pStyle w:val="Normal"/>
        <w:framePr w:w="1787" w:hAnchor="page" w:vAnchor="page" w:x="5475" w:y="2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OF QIWI PLC</w:t>
      </w:r>
    </w:p>
    <w:p>
      <w:pPr>
        <w:pStyle w:val="Normal"/>
        <w:framePr w:w="8116" w:hAnchor="page" w:vAnchor="page" w:x="2838" w:y="17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OF AN EXTRAORDINARY GENERAL MEETING OF SHAREHOLDERS</w:t>
      </w:r>
    </w:p>
    <w:p>
      <w:pPr>
        <w:pStyle w:val="Normal"/>
        <w:framePr w:w="4213" w:hAnchor="page" w:vAnchor="page" w:x="4465" w:y="15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NOTICE FOR THE CONVOCATION</w:t>
      </w:r>
    </w:p>
    <w:p>
      <w:pPr>
        <w:pStyle w:val="Normal"/>
        <w:framePr w:w="360" w:hAnchor="page" w:vAnchor="page" w:x="1931" w:y="10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9281" w:hAnchor="page" w:vAnchor="page" w:x="2397" w:y="10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Tel.: +357 22-65-33-90, Fax: +357 22-76-09-18, E-mail: office@qiwi.com.cy, www.qiwi.com</w:t>
      </w:r>
    </w:p>
    <w:p>
      <w:pPr>
        <w:pStyle w:val="Normal"/>
        <w:framePr w:w="8027" w:hAnchor="page" w:vAnchor="page" w:x="2397" w:y="7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12 Kennedy Avenue, Kennedy Business Centre, 2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nd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Floor, 1087-Nicosia, Cyprus</w:t>
      </w:r>
    </w:p>
    <w:p>
      <w:pPr>
        <w:pStyle w:val="Normal"/>
        <w:framePr w:w="1394" w:hAnchor="page" w:vAnchor="page" w:x="2397" w:y="5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</w:t>
      </w:r>
    </w:p>
    <w:p>
      <w:pPr>
        <w:pStyle w:val="Normal"/>
        <w:framePr w:w="1481" w:hAnchor="page" w:vAnchor="page" w:x="10926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99.2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7pt;margin-top:1pt;z-index:-1677711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pt;margin-top:504.65pt;z-index:-16777112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4pt;margin-top:27.5pt;z-index:-16777108;width:78.05pt;height:36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13pt;margin-top:247.2pt;z-index:-16777104;width:3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48.3pt;margin-top:245.7pt;z-index:-16777100;width:6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3pt;margin-top:259.2pt;z-index:-16777096;width:265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276.95pt;margin-top:259.2pt;z-index:-16777092;width:73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348.1pt;margin-top:259.2pt;z-index:-16777088;width:43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3pt;margin-top:391.35pt;z-index:-16777084;width:305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36.25pt;margin-top:517.45pt;z-index:-16777080;width:97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</w:p>
    <w:p>
      <w:pPr>
        <w:pStyle w:val="Normal"/>
        <w:framePr w:w="3120" w:hAnchor="page" w:vAnchor="page" w:x="280" w:y="133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and on behalf of QIWI plc</w:t>
      </w:r>
    </w:p>
    <w:p>
      <w:pPr>
        <w:pStyle w:val="Normal"/>
        <w:framePr w:w="4094" w:hAnchor="page" w:vAnchor="page" w:x="280" w:y="130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Chairman of the Board of Directors</w:t>
      </w:r>
    </w:p>
    <w:p>
      <w:pPr>
        <w:pStyle w:val="Normal"/>
        <w:framePr w:w="1247" w:hAnchor="page" w:vAnchor="page" w:x="280" w:y="128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Boris Kim</w:t>
      </w:r>
    </w:p>
    <w:p>
      <w:pPr>
        <w:pStyle w:val="Normal"/>
        <w:framePr w:w="1801" w:hAnchor="page" w:vAnchor="page" w:x="280" w:y="122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Yours faithfully,</w:t>
      </w:r>
    </w:p>
    <w:p>
      <w:pPr>
        <w:pStyle w:val="Normal"/>
        <w:framePr w:w="420" w:hAnchor="page" w:vAnchor="page" w:x="745" w:y="117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3.</w:t>
      </w:r>
    </w:p>
    <w:p>
      <w:pPr>
        <w:pStyle w:val="Normal"/>
        <w:framePr w:w="5522" w:hAnchor="page" w:vAnchor="page" w:x="1211" w:y="117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Annex C – Sample of Proxy to vote under instructions.</w:t>
      </w:r>
    </w:p>
    <w:p>
      <w:pPr>
        <w:pStyle w:val="Normal"/>
        <w:framePr w:w="420" w:hAnchor="page" w:vAnchor="page" w:x="745" w:y="113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2.</w:t>
      </w:r>
    </w:p>
    <w:p>
      <w:pPr>
        <w:pStyle w:val="Normal"/>
        <w:framePr w:w="5115" w:hAnchor="page" w:vAnchor="page" w:x="1211" w:y="113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Annex B – Sample of Proxy to exercise discretion.</w:t>
      </w:r>
    </w:p>
    <w:p>
      <w:pPr>
        <w:pStyle w:val="Normal"/>
        <w:framePr w:w="420" w:hAnchor="page" w:vAnchor="page" w:x="745" w:y="109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1.</w:t>
      </w:r>
    </w:p>
    <w:p>
      <w:pPr>
        <w:pStyle w:val="Normal"/>
        <w:framePr w:w="6768" w:hAnchor="page" w:vAnchor="page" w:x="1211" w:y="109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Annex A – Report of the Board of Directors as of January 22, 2018.</w:t>
      </w:r>
    </w:p>
    <w:p>
      <w:pPr>
        <w:pStyle w:val="Normal"/>
        <w:framePr w:w="1187" w:hAnchor="page" w:vAnchor="page" w:x="280" w:y="106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Enclosed:</w:t>
      </w:r>
    </w:p>
    <w:p>
      <w:pPr>
        <w:pStyle w:val="Normal"/>
        <w:framePr w:w="7329" w:hAnchor="page" w:vAnchor="page" w:x="280" w:y="102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Proxies deposited after the Cut Off Time shall not be treated as valid.</w:t>
      </w:r>
    </w:p>
    <w:p>
      <w:pPr>
        <w:pStyle w:val="Normal"/>
        <w:framePr w:w="12275" w:hAnchor="page" w:vAnchor="page" w:x="280" w:y="98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BEFORE the time for holding the Meeting, i.e. by March 05, 2018, 10.00 a.m. (Cyprus time) (the “Cut Off Time”).</w:t>
      </w:r>
    </w:p>
    <w:p>
      <w:pPr>
        <w:pStyle w:val="Normal"/>
        <w:framePr w:w="520" w:hAnchor="page" w:vAnchor="page" w:x="1211" w:y="9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3543" w:hAnchor="page" w:vAnchor="page" w:x="1781" w:y="9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 facsimile, to +357 22 76 09 18,</w:t>
      </w:r>
    </w:p>
    <w:p>
      <w:pPr>
        <w:pStyle w:val="Normal"/>
        <w:framePr w:w="506" w:hAnchor="page" w:vAnchor="page" w:x="1211" w:y="89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5475" w:hAnchor="page" w:vAnchor="page" w:x="1781" w:y="89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 electronic mail, to corporatelawyer@qiwi.com, OR</w:t>
      </w:r>
    </w:p>
    <w:p>
      <w:pPr>
        <w:pStyle w:val="Normal"/>
        <w:framePr w:w="7422" w:hAnchor="page" w:vAnchor="page" w:x="280" w:y="85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a copy of such instrument of proxy shall be delivered to the Company:</w:t>
      </w:r>
    </w:p>
    <w:p>
      <w:pPr>
        <w:pStyle w:val="Normal"/>
        <w:framePr w:w="506" w:hAnchor="page" w:vAnchor="page" w:x="1211" w:y="80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8073" w:hAnchor="page" w:vAnchor="page" w:x="1781" w:y="80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12 Kennedy Avenue, Kennedy Business Centre, 2</w:t>
      </w: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nd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floor, 1087, Nicosia, Cyprus,</w:t>
      </w:r>
    </w:p>
    <w:p>
      <w:pPr>
        <w:pStyle w:val="Normal"/>
        <w:framePr w:w="6287" w:hAnchor="page" w:vAnchor="page" w:x="280" w:y="76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Chairman of the Board of Directors/Secretary of QIWI plc:</w:t>
      </w:r>
    </w:p>
    <w:p>
      <w:pPr>
        <w:pStyle w:val="Normal"/>
        <w:framePr w:w="14162" w:hAnchor="page" w:vAnchor="page" w:x="280" w:y="74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Original of any instrument of proxy or its’ notarially certified copy shall be deposited at the registered office of the Company, for the attention of</w:t>
      </w:r>
    </w:p>
    <w:p>
      <w:pPr>
        <w:pStyle w:val="Normal"/>
        <w:framePr w:w="7404" w:hAnchor="page" w:vAnchor="page" w:x="280" w:y="6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shareholder’s behalf unless the proxy includes specific voting instructions.</w:t>
      </w:r>
    </w:p>
    <w:p>
      <w:pPr>
        <w:pStyle w:val="Normal"/>
        <w:framePr w:w="13314" w:hAnchor="page" w:vAnchor="page" w:x="280" w:y="67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behalf as you will specifically instruct on the instrument of proxy. The Deputy CEO of the Company will not vote for any matter on any</w:t>
      </w:r>
    </w:p>
    <w:p>
      <w:pPr>
        <w:pStyle w:val="Normal"/>
        <w:framePr w:w="14095" w:hAnchor="page" w:vAnchor="page" w:x="280" w:y="64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will attend the Meeting. Accordingly, should you wish you may sign and deposit the instrument of proxy to attend the Meeting and vote on your</w:t>
      </w:r>
    </w:p>
    <w:p>
      <w:pPr>
        <w:pStyle w:val="Normal"/>
        <w:framePr w:w="14041" w:hAnchor="page" w:vAnchor="page" w:x="280" w:y="62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NOTE: In the sample instrument of proxy the name of the Deputy CEO of the Company is inserted as proxy. The Deputy CEO of the Company</w:t>
      </w:r>
    </w:p>
    <w:p>
      <w:pPr>
        <w:pStyle w:val="Normal"/>
        <w:framePr w:w="2956" w:hAnchor="page" w:vAnchor="page" w:x="280" w:y="5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under the hand of an officer.</w:t>
      </w:r>
    </w:p>
    <w:p>
      <w:pPr>
        <w:pStyle w:val="Normal"/>
        <w:framePr w:w="13799" w:hAnchor="page" w:vAnchor="page" w:x="280" w:y="55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instrument appointing a proxy shall be in writing under the hand of the appointer or, if the appointer is a corporation, either under seal or</w:t>
      </w:r>
    </w:p>
    <w:p>
      <w:pPr>
        <w:pStyle w:val="Normal"/>
        <w:framePr w:w="4661" w:hAnchor="page" w:vAnchor="page" w:x="280" w:y="50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instructions is enclosed herewith as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Annex C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.</w:t>
      </w:r>
    </w:p>
    <w:p>
      <w:pPr>
        <w:pStyle w:val="Normal"/>
        <w:framePr w:w="13936" w:hAnchor="page" w:vAnchor="page" w:x="280" w:y="48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sample of the instrument appointing a proxy and authorizing such proxy to attend the Meeting and to vote on your behalf under your special</w:t>
      </w:r>
    </w:p>
    <w:p>
      <w:pPr>
        <w:pStyle w:val="Normal"/>
        <w:framePr w:w="1187" w:hAnchor="page" w:vAnchor="page" w:x="280" w:y="43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Annex B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.</w:t>
      </w:r>
    </w:p>
    <w:p>
      <w:pPr>
        <w:pStyle w:val="Normal"/>
        <w:framePr w:w="13896" w:hAnchor="page" w:vAnchor="page" w:x="280" w:y="40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sample of the instrument appointing a proxy authorizing such proxy to attend the Meeting and to exercise discretion is enclosed herewith as</w:t>
      </w:r>
    </w:p>
    <w:p>
      <w:pPr>
        <w:pStyle w:val="Normal"/>
        <w:framePr w:w="3210" w:hAnchor="page" w:vAnchor="page" w:x="280" w:y="37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shareholder of the Company.</w:t>
      </w:r>
    </w:p>
    <w:p>
      <w:pPr>
        <w:pStyle w:val="Normal"/>
        <w:framePr w:w="14193" w:hAnchor="page" w:vAnchor="page" w:x="280" w:y="34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 shareholder entitled to attend and vote at the Meeting is entitled to appoint a proxy to vote on his behalf, and such proxy need not be a</w:t>
      </w:r>
    </w:p>
    <w:p>
      <w:pPr>
        <w:pStyle w:val="Normal"/>
        <w:framePr w:w="1152" w:hAnchor="page" w:vAnchor="page" w:x="280" w:y="3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PROXY:</w:t>
      </w:r>
    </w:p>
    <w:p>
      <w:pPr>
        <w:pStyle w:val="Normal"/>
        <w:framePr w:w="11045" w:hAnchor="page" w:vAnchor="page" w:x="1618" w:y="26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******************************************************************************************</w:t>
      </w:r>
    </w:p>
    <w:p>
      <w:pPr>
        <w:pStyle w:val="Normal"/>
        <w:framePr w:w="4234" w:hAnchor="page" w:vAnchor="page" w:x="745" w:y="21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shares issued for in kind consideration.</w:t>
      </w:r>
    </w:p>
    <w:p>
      <w:pPr>
        <w:pStyle w:val="Normal"/>
        <w:framePr w:w="520" w:hAnchor="page" w:vAnchor="page" w:x="280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13515" w:hAnchor="page" w:vAnchor="page" w:x="745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Disapplication only relates to shares issued for cash consideration noting that the shareholders have no pre-emption rights with respect</w:t>
      </w:r>
    </w:p>
    <w:p>
      <w:pPr>
        <w:pStyle w:val="Normal"/>
        <w:framePr w:w="506" w:hAnchor="page" w:vAnchor="page" w:x="280" w:y="15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8788" w:hAnchor="page" w:vAnchor="page" w:x="745" w:y="15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Board’s authority shall be valid for a period of five (5) years from May 08, 2018; and</w:t>
      </w:r>
    </w:p>
    <w:p>
      <w:pPr>
        <w:pStyle w:val="Normal"/>
        <w:framePr w:w="13536" w:hAnchor="page" w:vAnchor="page" w:x="280" w:y="11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THAT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the shareholders hereby, pursuant to the Disapplication, grant authority to the Board to allot the shares of the Company noting that:</w:t>
      </w:r>
    </w:p>
    <w:p>
      <w:pPr>
        <w:pStyle w:val="Normal"/>
        <w:framePr w:w="1594" w:hAnchor="page" w:vAnchor="page" w:x="745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consideration.</w:t>
      </w:r>
    </w:p>
    <w:p>
      <w:pPr>
        <w:pStyle w:val="Normal"/>
        <w:framePr w:w="12382" w:hAnchor="page" w:vAnchor="page" w:x="745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 consideration and further noting that the shareholders have no pre-emption rights with respect to shares issued for in kind</w:t>
      </w:r>
    </w:p>
    <w:p>
      <w:pPr>
        <w:pStyle w:val="Normal"/>
        <w:framePr w:w="506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(c)</w:t>
      </w:r>
    </w:p>
    <w:p>
      <w:pPr>
        <w:pStyle w:val="Normal"/>
        <w:framePr w:w="13249" w:hAnchor="page" w:vAnchor="page" w:x="745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Disapplication shall be valid for a period of five (5) years starting from May 08, 2018, noting that it only relates to shares issued for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7pt;margin-top:1pt;z-index:-1677707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3pt;margin-top:1pt;z-index:-1677707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pt;margin-top:2.5pt;z-index:-167770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597.75pt;margin-top:1pt;z-index:-1677706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3pt;margin-top:1pt;z-index:-167770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13pt;margin-top:638.3pt;z-index:-16777056;width:235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75.6pt;margin-top:454.4pt;z-index:-16777052;width:113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3pt;margin-top:503.15pt;z-index:-16777048;width:485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211.6pt;margin-top:521.2pt;z-index:-16777044;width:9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13pt;margin-top:539.2pt;z-index:-16777040;width:41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</w:p>
    <w:p>
      <w:pPr>
        <w:pStyle w:val="Normal"/>
        <w:framePr w:w="720" w:hAnchor="page" w:vAnchor="page" w:x="5920" w:y="42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2018</w:t>
      </w:r>
    </w:p>
    <w:p>
      <w:pPr>
        <w:pStyle w:val="Normal"/>
        <w:framePr w:w="1868" w:hAnchor="page" w:vAnchor="page" w:x="5442" w:y="39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Nicosia, Cyprus</w:t>
      </w:r>
    </w:p>
    <w:p>
      <w:pPr>
        <w:pStyle w:val="Normal"/>
        <w:framePr w:w="3166" w:hAnchor="page" w:vAnchor="page" w:x="4901" w:y="3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DATED JANUARY 22, 2018</w:t>
      </w:r>
    </w:p>
    <w:p>
      <w:pPr>
        <w:pStyle w:val="Normal"/>
        <w:framePr w:w="6604" w:hAnchor="page" w:vAnchor="page" w:x="3468" w:y="26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REPORT OF THE BOARD OF DIRECTORS OF QIWI PLC</w:t>
      </w:r>
    </w:p>
    <w:p>
      <w:pPr>
        <w:pStyle w:val="Normal"/>
        <w:framePr w:w="1394" w:hAnchor="page" w:vAnchor="page" w:x="5639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</w:t>
      </w:r>
    </w:p>
    <w:p>
      <w:pPr>
        <w:pStyle w:val="Normal"/>
        <w:framePr w:w="3605" w:hAnchor="page" w:vAnchor="page" w:x="4718" w:y="12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 THE SHAREHOLDERS OF</w:t>
      </w:r>
    </w:p>
    <w:p>
      <w:pPr>
        <w:pStyle w:val="Normal"/>
        <w:framePr w:w="8414" w:hAnchor="page" w:vAnchor="page" w:x="2710" w:y="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THE REPORT OF THE BOARD OF DIRECTORS AS OF JANUARY 22, 2018</w:t>
      </w:r>
    </w:p>
    <w:p>
      <w:pPr>
        <w:pStyle w:val="Normal"/>
        <w:framePr w:w="1314" w:hAnchor="page" w:vAnchor="page" w:x="5672" w:y="5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ANNEX B</w:t>
      </w:r>
    </w:p>
    <w:p>
      <w:pPr>
        <w:pStyle w:val="Normal"/>
        <w:framePr w:w="1481" w:hAnchor="page" w:vAnchor="page" w:x="10926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99.3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7pt;margin-top:1pt;z-index:-1677703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243.45pt;margin-top:116.6pt;z-index:-1677703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243.45pt;margin-top:185.65pt;z-index:-16777028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</w:p>
    <w:p>
      <w:pPr>
        <w:pStyle w:val="Normal"/>
        <w:framePr w:w="420" w:hAnchor="page" w:vAnchor="page" w:x="280" w:y="98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6.</w:t>
      </w:r>
    </w:p>
    <w:p>
      <w:pPr>
        <w:pStyle w:val="Normal"/>
        <w:framePr w:w="8808" w:hAnchor="page" w:vAnchor="page" w:x="745" w:y="98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Board therefore recommends to extend the Disapplication for a new term as follows:</w:t>
      </w:r>
    </w:p>
    <w:p>
      <w:pPr>
        <w:pStyle w:val="Normal"/>
        <w:framePr w:w="11765" w:hAnchor="page" w:vAnchor="page" w:x="1211" w:y="94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investors, the Company would wish to avoid a rights offering given the negative perception it may give to US investors.</w:t>
      </w:r>
    </w:p>
    <w:p>
      <w:pPr>
        <w:pStyle w:val="Normal"/>
        <w:framePr w:w="520" w:hAnchor="page" w:vAnchor="page" w:x="745" w:y="9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12969" w:hAnchor="page" w:vAnchor="page" w:x="1211" w:y="9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Noting that the Company’s shares are listed on the NASDAQ Global Select Market and are traded among others by and between US</w:t>
      </w:r>
    </w:p>
    <w:p>
      <w:pPr>
        <w:pStyle w:val="Normal"/>
        <w:framePr w:w="506" w:hAnchor="page" w:vAnchor="page" w:x="745" w:y="88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11666" w:hAnchor="page" w:vAnchor="page" w:x="1211" w:y="88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allow maximum flexibility to the Company to issue and allot class B shares under the employee incentive programs</w:t>
      </w:r>
    </w:p>
    <w:p>
      <w:pPr>
        <w:pStyle w:val="Normal"/>
        <w:framePr w:w="420" w:hAnchor="page" w:vAnchor="page" w:x="280" w:y="84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5.</w:t>
      </w:r>
    </w:p>
    <w:p>
      <w:pPr>
        <w:pStyle w:val="Normal"/>
        <w:framePr w:w="11841" w:hAnchor="page" w:vAnchor="page" w:x="745" w:y="84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Board notes that it is recommended herein that the pre-emption rights be dis-applied for the following main reasons:</w:t>
      </w:r>
    </w:p>
    <w:p>
      <w:pPr>
        <w:pStyle w:val="Normal"/>
        <w:framePr w:w="3277" w:hAnchor="page" w:vAnchor="page" w:x="280" w:y="8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The Board’s recommendations</w:t>
      </w:r>
    </w:p>
    <w:p>
      <w:pPr>
        <w:pStyle w:val="Normal"/>
        <w:framePr w:w="420" w:hAnchor="page" w:vAnchor="page" w:x="280" w:y="75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4.</w:t>
      </w:r>
    </w:p>
    <w:p>
      <w:pPr>
        <w:pStyle w:val="Normal"/>
        <w:framePr w:w="13398" w:hAnchor="page" w:vAnchor="page" w:x="745" w:y="75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Rights offerings in the US are generally associated with distressed companies and are therefore not perceived positively by US investors.</w:t>
      </w:r>
    </w:p>
    <w:p>
      <w:pPr>
        <w:pStyle w:val="Normal"/>
        <w:framePr w:w="6834" w:hAnchor="page" w:vAnchor="page" w:x="745" w:y="71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opportunity to provide capital before it can access new investors.</w:t>
      </w:r>
    </w:p>
    <w:p>
      <w:pPr>
        <w:pStyle w:val="Normal"/>
        <w:framePr w:w="420" w:hAnchor="page" w:vAnchor="page" w:x="280" w:y="69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3.</w:t>
      </w:r>
    </w:p>
    <w:p>
      <w:pPr>
        <w:pStyle w:val="Normal"/>
        <w:framePr w:w="13695" w:hAnchor="page" w:vAnchor="page" w:x="745" w:y="69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Without a waiver of pre-emption rights, the Company would be required to conduct rights offering in order to give the existing shareholders</w:t>
      </w:r>
    </w:p>
    <w:p>
      <w:pPr>
        <w:pStyle w:val="Normal"/>
        <w:framePr w:w="8076" w:hAnchor="page" w:vAnchor="page" w:x="745" w:y="65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Restricted Stock Units Plan 2015 and the Employee Stock Option Plan 2017).</w:t>
      </w:r>
    </w:p>
    <w:p>
      <w:pPr>
        <w:pStyle w:val="Normal"/>
        <w:framePr w:w="13564" w:hAnchor="page" w:vAnchor="page" w:x="745" w:y="62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restrict the Company’s flexibility in issuing new class B shares under employee incentive programs (the Employee Stok Option Plan 2012,</w:t>
      </w:r>
    </w:p>
    <w:p>
      <w:pPr>
        <w:pStyle w:val="Normal"/>
        <w:framePr w:w="420" w:hAnchor="page" w:vAnchor="page" w:x="280" w:y="60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2.</w:t>
      </w:r>
    </w:p>
    <w:p>
      <w:pPr>
        <w:pStyle w:val="Normal"/>
        <w:framePr w:w="13268" w:hAnchor="page" w:vAnchor="page" w:x="745" w:y="60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Disapplication will no longer be effective and shall expire on the last day of the Validity Term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Expiration Date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”), which will</w:t>
      </w:r>
    </w:p>
    <w:p>
      <w:pPr>
        <w:pStyle w:val="Normal"/>
        <w:framePr w:w="1594" w:hAnchor="page" w:vAnchor="page" w:x="1211" w:y="56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consideration.</w:t>
      </w:r>
    </w:p>
    <w:p>
      <w:pPr>
        <w:pStyle w:val="Normal"/>
        <w:framePr w:w="11895" w:hAnchor="page" w:vAnchor="page" w:x="1211" w:y="54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consideration and further noting that the shareholders have no pre-emption rights with respect to shares issued for in kind</w:t>
      </w:r>
    </w:p>
    <w:p>
      <w:pPr>
        <w:pStyle w:val="Normal"/>
        <w:framePr w:w="12271" w:hAnchor="page" w:vAnchor="page" w:x="1211" w:y="51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Market occurred on May 08, 2013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Validity Term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”), noting that the Disapplication only relates to shares issued for cash</w:t>
      </w:r>
    </w:p>
    <w:p>
      <w:pPr>
        <w:pStyle w:val="Normal"/>
        <w:framePr w:w="12399" w:hAnchor="page" w:vAnchor="page" w:x="1211" w:y="49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five (5) years as from the date of closing of the Company’s initial public offering with a listing on the NASDAQ Global Select</w:t>
      </w:r>
    </w:p>
    <w:p>
      <w:pPr>
        <w:pStyle w:val="Normal"/>
        <w:framePr w:w="506" w:hAnchor="page" w:vAnchor="page" w:x="745" w:y="47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(c)</w:t>
      </w:r>
    </w:p>
    <w:p>
      <w:pPr>
        <w:pStyle w:val="Normal"/>
        <w:framePr w:w="12916" w:hAnchor="page" w:vAnchor="page" w:x="1211" w:y="47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Disapplication should be valid and the Board had been granted with authority to allot the shares of the Company for a period of</w:t>
      </w:r>
    </w:p>
    <w:p>
      <w:pPr>
        <w:pStyle w:val="Normal"/>
        <w:framePr w:w="9981" w:hAnchor="page" w:vAnchor="page" w:x="1211" w:y="43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or persons and at any price provided that such price should not be below the par value of such shares;</w:t>
      </w:r>
    </w:p>
    <w:p>
      <w:pPr>
        <w:pStyle w:val="Normal"/>
        <w:framePr w:w="520" w:hAnchor="page" w:vAnchor="page" w:x="745" w:y="40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12989" w:hAnchor="page" w:vAnchor="page" w:x="1211" w:y="40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shares to be allotted thereunder should be allotted at the discretion of the Board, at any time and from time to time to any person</w:t>
      </w:r>
    </w:p>
    <w:p>
      <w:pPr>
        <w:pStyle w:val="Normal"/>
        <w:framePr w:w="506" w:hAnchor="page" w:vAnchor="page" w:x="745" w:y="37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7162" w:hAnchor="page" w:vAnchor="page" w:x="1211" w:y="37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Disapplication related to a maximum of 52,000,000 Class B shares;</w:t>
      </w:r>
    </w:p>
    <w:p>
      <w:pPr>
        <w:pStyle w:val="Normal"/>
        <w:framePr w:w="6715" w:hAnchor="page" w:vAnchor="page" w:x="745" w:y="33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and sections 59A and 60B(5) of the Law (the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“Disapplication”</w:t>
      </w:r>
    </w:p>
    <w:p>
      <w:pPr>
        <w:pStyle w:val="Normal"/>
        <w:framePr w:w="1427" w:hAnchor="page" w:vAnchor="page" w:x="5841" w:y="33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) as follows:</w:t>
      </w:r>
    </w:p>
    <w:p>
      <w:pPr>
        <w:pStyle w:val="Normal"/>
        <w:framePr w:w="13540" w:hAnchor="page" w:vAnchor="page" w:x="745" w:y="31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which are convertible into shares of the Company, as provided in Regulation 8(a) of the Company’s articles of association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Articles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</w:t>
      </w:r>
    </w:p>
    <w:p>
      <w:pPr>
        <w:pStyle w:val="Normal"/>
        <w:framePr w:w="13649" w:hAnchor="page" w:vAnchor="page" w:x="745" w:y="28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waived their pre-emption rights in relation to all new shares and/or other securities giving right to the purchase of shares in the Company or</w:t>
      </w:r>
    </w:p>
    <w:p>
      <w:pPr>
        <w:pStyle w:val="Normal"/>
        <w:framePr w:w="13296" w:hAnchor="page" w:vAnchor="page" w:x="745" w:y="26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Depositary Shares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ADS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 on the NASDAQ Global Select Market, the shareholders of the Company by way of ordinary resolution</w:t>
      </w:r>
    </w:p>
    <w:p>
      <w:pPr>
        <w:pStyle w:val="Normal"/>
        <w:framePr w:w="420" w:hAnchor="page" w:vAnchor="page" w:x="280" w:y="23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1.</w:t>
      </w:r>
    </w:p>
    <w:p>
      <w:pPr>
        <w:pStyle w:val="Normal"/>
        <w:framePr w:w="13550" w:hAnchor="page" w:vAnchor="page" w:x="745" w:y="23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Prior the Company’s Class B shares became listed on the NASDAQ Global Select Market and traded publicly in the form of the American</w:t>
      </w:r>
    </w:p>
    <w:p>
      <w:pPr>
        <w:pStyle w:val="Normal"/>
        <w:framePr w:w="3435" w:hAnchor="page" w:vAnchor="page" w:x="280" w:y="2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Legal and financial background</w:t>
      </w:r>
    </w:p>
    <w:p>
      <w:pPr>
        <w:pStyle w:val="Normal"/>
        <w:framePr w:w="7547" w:hAnchor="page" w:vAnchor="page" w:x="280" w:y="14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sections 59A and 60B of the Cyprus Companies Act, Cap. 113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Law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”).</w:t>
      </w:r>
    </w:p>
    <w:p>
      <w:pPr>
        <w:pStyle w:val="Normal"/>
        <w:framePr w:w="13888" w:hAnchor="page" w:vAnchor="page" w:x="280" w:y="11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shareholders of the Company their reasoning for the proposed disapplication of the shareholders’ pre-emption rights as in accordance with</w:t>
      </w:r>
    </w:p>
    <w:p>
      <w:pPr>
        <w:pStyle w:val="Normal"/>
        <w:framePr w:w="14149" w:hAnchor="page" w:vAnchor="page" w:x="280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present document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Board Report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 is drawn by the board of directors of the Company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Board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 with the purpose of setting out to</w:t>
      </w:r>
    </w:p>
    <w:p>
      <w:pPr>
        <w:pStyle w:val="Normal"/>
        <w:framePr w:w="1967" w:hAnchor="page" w:vAnchor="page" w:x="5401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Company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</w:t>
      </w:r>
    </w:p>
    <w:p>
      <w:pPr>
        <w:pStyle w:val="Normal"/>
        <w:framePr w:w="1221" w:hAnchor="page" w:vAnchor="page" w:x="5711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7pt;margin-top:1pt;z-index:-1677702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3pt;margin-top:1pt;z-index:-1677702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13pt;margin-top:2.5pt;z-index:-1677701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597.75pt;margin-top:1pt;z-index:-1677701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3pt;margin-top:1pt;z-index:-1677700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</w:p>
    <w:p>
      <w:pPr>
        <w:pStyle w:val="Normal"/>
        <w:framePr w:w="1225" w:hAnchor="page" w:vAnchor="page" w:x="700" w:y="56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QIWI plc</w:t>
      </w:r>
    </w:p>
    <w:p>
      <w:pPr>
        <w:pStyle w:val="Normal"/>
        <w:framePr w:w="4166" w:hAnchor="page" w:vAnchor="page" w:x="700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The Chairman of the Board of Directors</w:t>
      </w:r>
    </w:p>
    <w:p>
      <w:pPr>
        <w:pStyle w:val="Normal"/>
        <w:framePr w:w="1247" w:hAnchor="page" w:vAnchor="page" w:x="761" w:y="51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Boris Kim</w:t>
      </w:r>
    </w:p>
    <w:p>
      <w:pPr>
        <w:pStyle w:val="Normal"/>
        <w:framePr w:w="2986" w:hAnchor="page" w:vAnchor="page" w:x="700" w:y="45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Signed on January 22, 2018</w:t>
      </w:r>
    </w:p>
    <w:p>
      <w:pPr>
        <w:pStyle w:val="Normal"/>
        <w:framePr w:w="5040" w:hAnchor="page" w:vAnchor="page" w:x="745" w:y="40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pre-emption rights as stated in paragraph 6 above.</w:t>
      </w:r>
    </w:p>
    <w:p>
      <w:pPr>
        <w:pStyle w:val="Normal"/>
        <w:framePr w:w="420" w:hAnchor="page" w:vAnchor="page" w:x="280" w:y="37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8.</w:t>
      </w:r>
    </w:p>
    <w:p>
      <w:pPr>
        <w:pStyle w:val="Normal"/>
        <w:framePr w:w="13689" w:hAnchor="page" w:vAnchor="page" w:x="745" w:y="37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Bearing all the above in mind, the Board recommends to the shareholders of the Company that they proceed with the Disapplication of their</w:t>
      </w:r>
    </w:p>
    <w:p>
      <w:pPr>
        <w:pStyle w:val="Normal"/>
        <w:framePr w:w="1207" w:hAnchor="page" w:vAnchor="page" w:x="745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programs.</w:t>
      </w:r>
    </w:p>
    <w:p>
      <w:pPr>
        <w:pStyle w:val="Normal"/>
        <w:framePr w:w="13510" w:hAnchor="page" w:vAnchor="page" w:x="745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Board from time to time, in order to allow maximum flexibility to the Company to issue and allot shares under the employee incentive</w:t>
      </w:r>
    </w:p>
    <w:p>
      <w:pPr>
        <w:pStyle w:val="Normal"/>
        <w:framePr w:w="13561" w:hAnchor="page" w:vAnchor="page" w:x="745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Disapplication as stated in paragraph 6 (b) above should be at par value or at any price in excess of the par value, as may be determined by</w:t>
      </w:r>
    </w:p>
    <w:p>
      <w:pPr>
        <w:pStyle w:val="Normal"/>
        <w:framePr w:w="420" w:hAnchor="page" w:vAnchor="page" w:x="280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7.</w:t>
      </w:r>
    </w:p>
    <w:p>
      <w:pPr>
        <w:pStyle w:val="Normal"/>
        <w:framePr w:w="12462" w:hAnchor="page" w:vAnchor="page" w:x="745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Having carefully considered the above, the Board considers it justified that the issue price of any shares allotted pursuant to the</w:t>
      </w:r>
    </w:p>
    <w:p>
      <w:pPr>
        <w:pStyle w:val="Normal"/>
        <w:framePr w:w="9785" w:hAnchor="page" w:vAnchor="page" w:x="1211" w:y="22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a period of five (5) years as from the Expiration Date in accordance with Section 62 of the Law.</w:t>
      </w:r>
    </w:p>
    <w:p>
      <w:pPr>
        <w:pStyle w:val="Normal"/>
        <w:framePr w:w="520" w:hAnchor="page" w:vAnchor="page" w:x="745" w:y="20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(d)</w:t>
      </w:r>
    </w:p>
    <w:p>
      <w:pPr>
        <w:pStyle w:val="Normal"/>
        <w:framePr w:w="12872" w:hAnchor="page" w:vAnchor="page" w:x="1211" w:y="20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recommend to the General Meeting that the authority to allot the shares pursuant to the Disapplication be conferred to the Board</w:t>
      </w:r>
    </w:p>
    <w:p>
      <w:pPr>
        <w:pStyle w:val="Normal"/>
        <w:framePr w:w="12196" w:hAnchor="page" w:vAnchor="page" w:x="1211" w:y="16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consideration noting that the shareholders have no pre-emption rights with respect to shares issued for in kind consideration;</w:t>
      </w:r>
    </w:p>
    <w:p>
      <w:pPr>
        <w:pStyle w:val="Normal"/>
        <w:framePr w:w="506" w:hAnchor="page" w:vAnchor="page" w:x="745" w:y="14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(c)</w:t>
      </w:r>
    </w:p>
    <w:p>
      <w:pPr>
        <w:pStyle w:val="Normal"/>
        <w:framePr w:w="13088" w:hAnchor="page" w:vAnchor="page" w:x="1211" w:y="14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Disapplication shall be valid for a period of five (5) years as from the Expiration Date and it only relates to shares issued for cash</w:t>
      </w:r>
    </w:p>
    <w:p>
      <w:pPr>
        <w:pStyle w:val="Normal"/>
        <w:framePr w:w="2480" w:hAnchor="page" w:vAnchor="page" w:x="1211" w:y="10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 below the par value;</w:t>
      </w:r>
    </w:p>
    <w:p>
      <w:pPr>
        <w:pStyle w:val="Normal"/>
        <w:framePr w:w="520" w:hAnchor="page" w:vAnchor="page" w:x="745" w:y="8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12888" w:hAnchor="page" w:vAnchor="page" w:x="1211" w:y="8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shares to be allotted thereunder shall be allotted at any price at the discretion of the Board, provided that such price shall be not</w:t>
      </w:r>
    </w:p>
    <w:p>
      <w:pPr>
        <w:pStyle w:val="Normal"/>
        <w:framePr w:w="11996" w:hAnchor="page" w:vAnchor="page" w:x="1211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the form of ADS, solely for the purpose of issuing and allotment of new shares under the employee incentive programs;</w:t>
      </w:r>
    </w:p>
    <w:p>
      <w:pPr>
        <w:pStyle w:val="Normal"/>
        <w:framePr w:w="506" w:hAnchor="page" w:vAnchor="page" w:x="745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12896" w:hAnchor="page" w:vAnchor="page" w:x="1211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Disapplication shall relate to a maximum of 8,500,000 class B shares, including to the extent relevant any class B shares issued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7pt;margin-top:1pt;z-index:-16777004;width:598pt;height:30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13pt;margin-top:1pt;z-index:-1677700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13pt;margin-top:2.5pt;z-index:-1677699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7.75pt;margin-top:1pt;z-index:-1677699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13pt;margin-top:1pt;z-index:-1677698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37.05pt;margin-top:251.7pt;z-index:-16776984;width:211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</w:p>
    <w:sectPr>
      <w:pgSz w:w="12240" w:h="20160"/>
      <w:pgMar w:top="400" w:right="400" w:bottom="400" w:left="400" w:header="720" w:footer="720"/>
      <w:pgNumType w:start="9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be00ae22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  <w:font w:name="TimesNewRomanPS-BoldItalicMT">
    <w:panose-1>"02020703060505090304"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dfc9f5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jpe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jpe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styles.xml" Type="http://schemas.openxmlformats.org/officeDocument/2006/relationships/styles"/><Relationship Id="rId6" Target="media/image6.png" Type="http://schemas.openxmlformats.org/officeDocument/2006/relationships/image"/><Relationship Id="rId60" Target="fontTable.xml" Type="http://schemas.openxmlformats.org/officeDocument/2006/relationships/fontTable"/><Relationship Id="rId61" Target="settings.xml" Type="http://schemas.openxmlformats.org/officeDocument/2006/relationships/settings"/><Relationship Id="rId62" Target="webSettings.xml" Type="http://schemas.openxmlformats.org/officeDocument/2006/relationships/webSettings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9</Pages>
  <Words>2521</Words>
  <Characters>12636</Characters>
  <Application>e-iceblue</Application>
  <DocSecurity>0</DocSecurity>
  <Lines>227</Lines>
  <Paragraphs>227</Paragraphs>
  <ScaleCrop>false</ScaleCrop>
  <Company>e-iceblue</Company>
  <LinksUpToDate>false</LinksUpToDate>
  <CharactersWithSpaces>14936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2021-11-30T21:03:38Z</dcterms:created>
  <dc:creator>root</dc:creator>
  <cp:lastModifiedBy>root</cp:lastModifiedBy>
  <dcterms:modified xsi:type="dcterms:W3CDTF">2021-11-30T21:03:38Z</dcterms:modified>
  <cp:revision>1</cp:revision>
</cp:coreProperties>
</file>