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0643" w:hAnchor="page" w:vAnchor="page" w:x="276" w:y="92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‘‘Yes’’ is marked, indicate below the file number assigned to the registrant in connection with Rule 12g3-2(b):</w:t>
      </w:r>
    </w:p>
    <w:p>
      <w:pPr>
        <w:pStyle w:val="Normal"/>
        <w:framePr w:w="2189" w:hAnchor="page" w:vAnchor="page" w:x="5361" w:y="875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☒</w:t>
      </w:r>
    </w:p>
    <w:p>
      <w:pPr>
        <w:pStyle w:val="Normal"/>
        <w:framePr w:w="8054" w:hAnchor="page" w:vAnchor="page" w:x="276" w:y="83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Commission pursuant to Rule 12g3-2(b) under the Securities Exchange Act of 1934.</w:t>
      </w:r>
    </w:p>
    <w:p>
      <w:pPr>
        <w:pStyle w:val="Normal"/>
        <w:framePr w:w="13875" w:hAnchor="page" w:vAnchor="page" w:x="276" w:y="80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Indicate by check mark whether the registrant by furnishing the information contained in this Form is also thereby furnishing the information to the</w:t>
      </w:r>
    </w:p>
    <w:p>
      <w:pPr>
        <w:pStyle w:val="Normal"/>
        <w:framePr w:w="3561" w:hAnchor="page" w:vAnchor="page" w:x="4789" w:y="760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Form 20-F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☒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      Form 40-F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11138" w:hAnchor="page" w:vAnchor="page" w:x="276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Indicate by check mark whether the registrant files or will file annual reports under cover of Form 20-F or Form 40-F.</w:t>
      </w:r>
    </w:p>
    <w:p>
      <w:pPr>
        <w:pStyle w:val="Normal"/>
        <w:framePr w:w="3239" w:hAnchor="page" w:vAnchor="page" w:x="4903" w:y="635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(Address of principal executive offices)</w:t>
      </w:r>
    </w:p>
    <w:p>
      <w:pPr>
        <w:pStyle w:val="Normal"/>
        <w:framePr w:w="3183" w:hAnchor="page" w:vAnchor="page" w:x="5092" w:y="61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P.C. 1087, Nicosia, Cyprus</w:t>
      </w:r>
    </w:p>
    <w:p>
      <w:pPr>
        <w:pStyle w:val="Normal"/>
        <w:framePr w:w="1462" w:hAnchor="page" w:vAnchor="page" w:x="4657" w:y="59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Kennedy</w:t>
      </w:r>
    </w:p>
    <w:p>
      <w:pPr>
        <w:pStyle w:val="Normal"/>
        <w:framePr w:w="2992" w:hAnchor="page" w:vAnchor="page" w:x="5396" w:y="59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 Business Centre, 2nd Floor,</w:t>
      </w:r>
    </w:p>
    <w:p>
      <w:pPr>
        <w:pStyle w:val="Normal"/>
        <w:framePr w:w="1809" w:hAnchor="page" w:vAnchor="page" w:x="5664" w:y="56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Kennedy 12,</w:t>
      </w:r>
    </w:p>
    <w:p>
      <w:pPr>
        <w:pStyle w:val="Normal"/>
        <w:framePr w:w="2586" w:hAnchor="page" w:vAnchor="page" w:x="5233" w:y="4503"/>
        <w:widowControl w:val="off"/>
        <w:autoSpaceDE w:val="off"/>
        <w:autoSpaceDN w:val="off"/>
        <w:spacing w:before="0" w:after="0" w:line="5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6"/>
          <w:szCs w:val="4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6"/>
          <w:szCs w:val="46"/>
        </w:rPr>
        <w:t>QIWI plc</w:t>
      </w:r>
    </w:p>
    <w:p>
      <w:pPr>
        <w:pStyle w:val="Normal"/>
        <w:framePr w:w="2105" w:hAnchor="page" w:vAnchor="page" w:x="5396" w:y="36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For August 3, 2018</w:t>
      </w:r>
    </w:p>
    <w:p>
      <w:pPr>
        <w:pStyle w:val="Normal"/>
        <w:framePr w:w="5940" w:hAnchor="page" w:vAnchor="page" w:x="3593" w:y="3146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OF THE SECURITIES EXCHANGE ACT OF 1934</w:t>
      </w:r>
    </w:p>
    <w:p>
      <w:pPr>
        <w:pStyle w:val="Normal"/>
        <w:framePr w:w="4965" w:hAnchor="page" w:vAnchor="page" w:x="4036" w:y="2886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PURSUANT TO RULE 13A-16 OR 15D-16</w:t>
      </w:r>
    </w:p>
    <w:p>
      <w:pPr>
        <w:pStyle w:val="Normal"/>
        <w:framePr w:w="4191" w:hAnchor="page" w:vAnchor="page" w:x="4381" w:y="2626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REPORT OF A FOREIGN ISSUER</w:t>
      </w:r>
    </w:p>
    <w:p>
      <w:pPr>
        <w:pStyle w:val="Normal"/>
        <w:framePr w:w="2262" w:hAnchor="page" w:vAnchor="page" w:x="5325" w:y="1611"/>
        <w:widowControl w:val="off"/>
        <w:autoSpaceDE w:val="off"/>
        <w:autoSpaceDN w:val="off"/>
        <w:spacing w:before="0" w:after="0" w:line="38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  <w:t>FORM 6-K</w:t>
      </w:r>
    </w:p>
    <w:p>
      <w:pPr>
        <w:pStyle w:val="Normal"/>
        <w:framePr w:w="2877" w:hAnchor="page" w:vAnchor="page" w:x="4985" w:y="716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Washington, D.C. 20549</w:t>
      </w:r>
    </w:p>
    <w:p>
      <w:pPr>
        <w:pStyle w:val="Normal"/>
        <w:framePr w:w="8608" w:hAnchor="page" w:vAnchor="page" w:x="2440" w:y="324"/>
        <w:widowControl w:val="off"/>
        <w:autoSpaceDE w:val="off"/>
        <w:autoSpaceDN w:val="off"/>
        <w:spacing w:before="0" w:after="0" w:line="38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2.8pt;margin-top:7.5pt;z-index:-16777208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2.8pt;margin-top:11.15pt;z-index:-16777204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5.7pt;margin-top:67.55pt;z-index:-16777200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5.7pt;margin-top:118.15pt;z-index:-16777196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5.7pt;margin-top:211.5pt;z-index:-16777192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5.7pt;margin-top:270.05pt;z-index:-16777188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5.7pt;margin-top:343.85pt;z-index:-16777184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2.8pt;margin-top:484.15pt;z-index:-16777180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2.8pt;margin-top:487.8pt;z-index:-16777176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</w:p>
    <w:p>
      <w:pPr>
        <w:pStyle w:val="Normal"/>
        <w:framePr w:w="633" w:hAnchor="page" w:vAnchor="page" w:x="276" w:y="5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99.1</w:t>
      </w:r>
    </w:p>
    <w:p>
      <w:pPr>
        <w:pStyle w:val="Normal"/>
        <w:framePr w:w="11042" w:hAnchor="page" w:vAnchor="page" w:x="854" w:y="5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“QIWI to Announce Second Quarter 2018 Financial Results on August 16, 2018” press release dated August 3, 2018</w:t>
      </w:r>
    </w:p>
    <w:p>
      <w:pPr>
        <w:pStyle w:val="Normal"/>
        <w:framePr w:w="1051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Exhibits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7pt;margin-top:1pt;z-index:-1677717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2.8pt;margin-top:1pt;z-index:-1677716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2.8pt;margin-top:2.45pt;z-index:-1677716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597.95pt;margin-top:1pt;z-index:-1677716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2.8pt;margin-top:1pt;z-index:-1677715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2.8pt;margin-top:18.35pt;z-index:-16777152;width:36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</w:p>
    <w:p>
      <w:pPr>
        <w:pStyle w:val="Normal"/>
        <w:framePr w:w="2382" w:hAnchor="page" w:vAnchor="page" w:x="6771" w:y="23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Chief Financial Officer</w:t>
      </w:r>
    </w:p>
    <w:p>
      <w:pPr>
        <w:pStyle w:val="Normal"/>
        <w:framePr w:w="2136" w:hAnchor="page" w:vAnchor="page" w:x="6771" w:y="21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Alexander Karavaev</w:t>
      </w:r>
    </w:p>
    <w:p>
      <w:pPr>
        <w:pStyle w:val="Normal"/>
        <w:framePr w:w="2207" w:hAnchor="page" w:vAnchor="page" w:x="276" w:y="18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Date: August 3, 2018</w:t>
      </w:r>
    </w:p>
    <w:p>
      <w:pPr>
        <w:pStyle w:val="Normal"/>
        <w:framePr w:w="2898" w:hAnchor="page" w:vAnchor="page" w:x="6366" w:y="18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By:  /s/ Alexander Karavaev</w:t>
      </w:r>
    </w:p>
    <w:p>
      <w:pPr>
        <w:pStyle w:val="Normal"/>
        <w:framePr w:w="2413" w:hAnchor="page" w:vAnchor="page" w:x="6366" w:y="13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QIWI PLC (Registrant)</w:t>
      </w:r>
    </w:p>
    <w:p>
      <w:pPr>
        <w:pStyle w:val="Normal"/>
        <w:framePr w:w="3910" w:hAnchor="page" w:vAnchor="page" w:x="27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undersigned, thereunto duly authorized.</w:t>
      </w:r>
    </w:p>
    <w:p>
      <w:pPr>
        <w:pStyle w:val="Normal"/>
        <w:framePr w:w="13438" w:hAnchor="page" w:vAnchor="page" w:x="748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Pursuant to the requirements of the Securities Exchange Act of 1934, the registrant has duly caused this report to be signed on its behalf by the</w:t>
      </w:r>
    </w:p>
    <w:p>
      <w:pPr>
        <w:pStyle w:val="Normal"/>
        <w:framePr w:w="1715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7pt;margin-top:1pt;z-index:-16777148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2.8pt;margin-top:1pt;z-index:-1677714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2.8pt;margin-top:2.45pt;z-index:-1677714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597.95pt;margin-top:1pt;z-index:-1677713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2.8pt;margin-top:1pt;z-index:-1677713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37.55pt;margin-top:103pt;z-index:-16777128;width:26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</w:p>
    <w:p>
      <w:pPr>
        <w:pStyle w:val="Normal"/>
        <w:framePr w:w="1450" w:hAnchor="page" w:vAnchor="page" w:x="276" w:y="76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ir@qiwi.com</w:t>
      </w:r>
    </w:p>
    <w:p>
      <w:pPr>
        <w:pStyle w:val="Normal"/>
        <w:framePr w:w="1689" w:hAnchor="page" w:vAnchor="page" w:x="276" w:y="73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+357.25028091</w:t>
      </w:r>
    </w:p>
    <w:p>
      <w:pPr>
        <w:pStyle w:val="Normal"/>
        <w:framePr w:w="1918" w:hAnchor="page" w:vAnchor="page" w:x="276" w:y="69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Investor Relations</w:t>
      </w:r>
    </w:p>
    <w:p>
      <w:pPr>
        <w:pStyle w:val="Normal"/>
        <w:framePr w:w="1815" w:hAnchor="page" w:vAnchor="page" w:x="276" w:y="669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Varvara Kiseleva</w:t>
      </w:r>
    </w:p>
    <w:p>
      <w:pPr>
        <w:pStyle w:val="Normal"/>
        <w:framePr w:w="1012" w:hAnchor="page" w:vAnchor="page" w:x="276" w:y="63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Contact</w:t>
      </w:r>
    </w:p>
    <w:p>
      <w:pPr>
        <w:pStyle w:val="Normal"/>
        <w:framePr w:w="9278" w:hAnchor="page" w:vAnchor="page" w:x="276" w:y="57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goods and services or transfer money across virtual or physical environments interchangeably.</w:t>
      </w:r>
    </w:p>
    <w:p>
      <w:pPr>
        <w:pStyle w:val="Normal"/>
        <w:framePr w:w="14196" w:hAnchor="page" w:vAnchor="page" w:x="276" w:y="55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consumers using its network at least once a month. QIWI’s consumers can use cash, stored value and other electronic payment methods in order to pay</w:t>
      </w:r>
    </w:p>
    <w:p>
      <w:pPr>
        <w:pStyle w:val="Normal"/>
        <w:framePr w:w="13502" w:hAnchor="page" w:vAnchor="page" w:x="276" w:y="53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enabled merchants and customers to accept and transfer over RUB 79 billion cash and electronic payments monthly connecting over 47 million</w:t>
      </w:r>
    </w:p>
    <w:p>
      <w:pPr>
        <w:pStyle w:val="Normal"/>
        <w:framePr w:w="14254" w:hAnchor="page" w:vAnchor="page" w:x="276" w:y="50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services across online, mobile and physical channels. It has deployed over 20.3 million virtual wallets, over 149,000 kiosks and terminals, and</w:t>
      </w:r>
    </w:p>
    <w:p>
      <w:pPr>
        <w:pStyle w:val="Normal"/>
        <w:framePr w:w="14382" w:hAnchor="page" w:vAnchor="page" w:x="276" w:y="48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QIWI is a leading provider of next generation payment and financial services in Russia and the CIS. It has an integrated proprietary network that enables</w:t>
      </w:r>
    </w:p>
    <w:p>
      <w:pPr>
        <w:pStyle w:val="Normal"/>
        <w:framePr w:w="1494" w:hAnchor="page" w:vAnchor="page" w:x="276" w:y="44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About QIWI</w:t>
      </w:r>
    </w:p>
    <w:p>
      <w:pPr>
        <w:pStyle w:val="Normal"/>
        <w:framePr w:w="10282" w:hAnchor="page" w:vAnchor="page" w:x="276" w:y="39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https://www.qiwi.com under the Corporate Investor Relations section or directly at http://investor.qiwi.com/.</w:t>
      </w:r>
    </w:p>
    <w:p>
      <w:pPr>
        <w:pStyle w:val="Normal"/>
        <w:framePr w:w="12620" w:hAnchor="page" w:vAnchor="page" w:x="276" w:y="36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13681979. The replay will be available until Thursday, August 23, 2018. The call will be webcast live from the Company’s website at</w:t>
      </w:r>
    </w:p>
    <w:p>
      <w:pPr>
        <w:pStyle w:val="Normal"/>
        <w:framePr w:w="14075" w:hAnchor="page" w:vAnchor="page" w:x="276" w:y="34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will be available at 11:30 a.m. ET and can be accessed by dialing +1 (844) 512-2921 or +1 (412) 317-6671 for international callers; the pin number is</w:t>
      </w:r>
    </w:p>
    <w:p>
      <w:pPr>
        <w:pStyle w:val="Normal"/>
        <w:framePr w:w="14391" w:hAnchor="page" w:vAnchor="page" w:x="276" w:y="32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conference call can be accessed live over the phone by dialing +1 (877) 407-3982 or for international callers by dialing +1 (201) 493-6780. A replay</w:t>
      </w:r>
    </w:p>
    <w:p>
      <w:pPr>
        <w:pStyle w:val="Normal"/>
        <w:framePr w:w="9461" w:hAnchor="page" w:vAnchor="page" w:x="276" w:y="27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quarter 2018 financial results will be issued before the market opens on Thursday, August 16, 2018.</w:t>
      </w:r>
    </w:p>
    <w:p>
      <w:pPr>
        <w:pStyle w:val="Normal"/>
        <w:framePr w:w="14251" w:hAnchor="page" w:vAnchor="page" w:x="276" w:y="25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conference call and webcast on Thursday, August 16, 2018 at 8:30 a.m. ET to review second quarter 2018 financial results. A press release with second</w:t>
      </w:r>
    </w:p>
    <w:p>
      <w:pPr>
        <w:pStyle w:val="Normal"/>
        <w:framePr w:w="14294" w:hAnchor="page" w:vAnchor="page" w:x="276" w:y="22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NICOSIA, CYPRUS – August 3, 2018 – QIWI plc, (NASDAQ: QIWI) (MOEX:QIWI) (“QIWI” or the “Company”) today announced that it will host a</w:t>
      </w:r>
    </w:p>
    <w:p>
      <w:pPr>
        <w:pStyle w:val="Normal"/>
        <w:framePr w:w="7979" w:hAnchor="page" w:vAnchor="page" w:x="2948" w:y="18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QIWI to Announce Second Quarter 2018 Financial Results on August 16, 2018</w:t>
      </w:r>
    </w:p>
    <w:p>
      <w:pPr>
        <w:pStyle w:val="Normal"/>
        <w:framePr w:w="1424" w:hAnchor="page" w:vAnchor="page" w:x="11084" w:y="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Exhibit 99.1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7pt;margin-top:1pt;z-index:-16777124;width:598pt;height:398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50.3pt;margin-top:26.6pt;z-index:-16777120;width:117.15pt;height:5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2.8pt;margin-top:389.4pt;z-index:-16777116;width:52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</w:p>
    <w:sectPr>
      <w:pgSz w:w="12240" w:h="20160"/>
      <w:pgMar w:top="400" w:right="400" w:bottom="400" w:left="400" w:header="720" w:footer="720"/>
      <w:pgNumType w:start="4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be00ae22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jpeg" Type="http://schemas.openxmlformats.org/officeDocument/2006/relationships/image"/><Relationship Id="rId25" Target="media/image25.png" Type="http://schemas.openxmlformats.org/officeDocument/2006/relationships/image"/><Relationship Id="rId26" Target="styles.xml" Type="http://schemas.openxmlformats.org/officeDocument/2006/relationships/styles"/><Relationship Id="rId27" Target="fontTable.xml" Type="http://schemas.openxmlformats.org/officeDocument/2006/relationships/fontTable"/><Relationship Id="rId28" Target="settings.xml" Type="http://schemas.openxmlformats.org/officeDocument/2006/relationships/settings"/><Relationship Id="rId29" Target="webSettings.xml" Type="http://schemas.openxmlformats.org/officeDocument/2006/relationships/webSettings"/><Relationship Id="rId3" Target="media/image3.png" Type="http://schemas.openxmlformats.org/officeDocument/2006/relationships/image"/><Relationship Id="rId4" Target="media/image4.png" Type="http://schemas.openxmlformats.org/officeDocument/2006/relationships/image"/><Relationship Id="rId5" Target="media/image5.png" Type="http://schemas.openxmlformats.org/officeDocument/2006/relationships/image"/><Relationship Id="rId6" Target="media/image6.png" Type="http://schemas.openxmlformats.org/officeDocument/2006/relationships/image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4</Pages>
  <Words>479</Words>
  <Characters>2554</Characters>
  <Application>e-iceblue</Application>
  <DocSecurity>0</DocSecurity>
  <Lines>50</Lines>
  <Paragraphs>50</Paragraphs>
  <ScaleCrop>false</ScaleCrop>
  <Company>e-iceblue</Company>
  <LinksUpToDate>false</LinksUpToDate>
  <CharactersWithSpaces>3011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2021-11-30T21:10:49Z</dcterms:created>
  <dc:creator>root</dc:creator>
  <cp:lastModifiedBy>root</cp:lastModifiedBy>
  <dcterms:modified xsi:type="dcterms:W3CDTF">2021-11-30T21:10:49Z</dcterms:modified>
  <cp:revision>1</cp:revision>
</cp:coreProperties>
</file>