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173" w:hAnchor="page" w:vAnchor="page" w:x="1721" w:y="1307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which is disclosed pursuant to</w:t>
      </w:r>
    </w:p>
    <w:p>
      <w:pPr>
        <w:pStyle w:val="Normal"/>
        <w:framePr w:w="10888" w:hAnchor="page" w:vAnchor="page" w:x="1721" w:y="1281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1011(c) of Regulation M-A as material disclosure in support of your decision to remain neutral as to the offer,</w:t>
      </w:r>
    </w:p>
    <w:p>
      <w:pPr>
        <w:pStyle w:val="Normal"/>
        <w:framePr w:w="11412" w:hAnchor="page" w:vAnchor="page" w:x="1721" w:y="1256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remain neutral as to the offer. Thus, the disclosure is required under both Item 1009(a) of Regulation M-A and Item</w:t>
      </w:r>
    </w:p>
    <w:p>
      <w:pPr>
        <w:pStyle w:val="Normal"/>
        <w:framePr w:w="11015" w:hAnchor="page" w:vAnchor="page" w:x="1721" w:y="1230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your financial advisor(s) in connection with making a recommendation to your security holders, in this case, to</w:t>
      </w:r>
    </w:p>
    <w:p>
      <w:pPr>
        <w:pStyle w:val="Normal"/>
        <w:framePr w:w="11059" w:hAnchor="page" w:vAnchor="page" w:x="1721" w:y="120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recommendations in connection with the transaction. Your disclosure indicates that you discussed the offer with</w:t>
      </w:r>
    </w:p>
    <w:p>
      <w:pPr>
        <w:pStyle w:val="Normal"/>
        <w:framePr w:w="10459" w:hAnchor="page" w:vAnchor="page" w:x="1721" w:y="1179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identity of persons directly or indirectly employed, retained or to be compensated to make solicitations or</w:t>
      </w:r>
    </w:p>
    <w:p>
      <w:pPr>
        <w:pStyle w:val="Normal"/>
        <w:framePr w:w="1432" w:hAnchor="page" w:vAnchor="page" w:x="280" w:y="115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Comment 1:</w:t>
      </w:r>
    </w:p>
    <w:p>
      <w:pPr>
        <w:pStyle w:val="Normal"/>
        <w:framePr w:w="11273" w:hAnchor="page" w:vAnchor="page" w:x="1721" w:y="115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We reissue our prior comment. As your response noted, Item 1009(a) of Regulation M-A requires disclosure of the</w:t>
      </w:r>
    </w:p>
    <w:p>
      <w:pPr>
        <w:pStyle w:val="Normal"/>
        <w:framePr w:w="3824" w:hAnchor="page" w:vAnchor="page" w:x="280" w:y="1104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such terms in the Schedule 14D-9.</w:t>
      </w:r>
    </w:p>
    <w:p>
      <w:pPr>
        <w:pStyle w:val="Normal"/>
        <w:framePr w:w="12921" w:hAnchor="page" w:vAnchor="page" w:x="280" w:y="1078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following the text of the comment in the Staff’s letter. Capitalized terms used but not defined in this letter have the meanings given</w:t>
      </w:r>
    </w:p>
    <w:p>
      <w:pPr>
        <w:pStyle w:val="Normal"/>
        <w:framePr w:w="11363" w:hAnchor="page" w:vAnchor="page" w:x="1001" w:y="1053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Set forth below are the responses to the Staff’s comment, which for the convenience of the Staff has been provided</w:t>
      </w:r>
    </w:p>
    <w:p>
      <w:pPr>
        <w:pStyle w:val="Normal"/>
        <w:framePr w:w="1109" w:hAnchor="page" w:vAnchor="page" w:x="280" w:y="100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14D-9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”).</w:t>
      </w:r>
    </w:p>
    <w:p>
      <w:pPr>
        <w:pStyle w:val="Normal"/>
        <w:framePr w:w="12900" w:hAnchor="page" w:vAnchor="page" w:x="280" w:y="97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dated July 14, 2017, with respect to the Company’s Solicitation or Recommendation Statement on Schedule 14D-9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Schedule</w:t>
      </w:r>
    </w:p>
    <w:p>
      <w:pPr>
        <w:pStyle w:val="Normal"/>
        <w:framePr w:w="5351" w:hAnchor="page" w:vAnchor="page" w:x="280" w:y="95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the Division of Corporation Finance (the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“Staff”</w:t>
      </w:r>
    </w:p>
    <w:p>
      <w:pPr>
        <w:pStyle w:val="Normal"/>
        <w:framePr w:w="8226" w:hAnchor="page" w:vAnchor="page" w:x="4594" w:y="95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) of the U.S. Securities and Exchange Commission by letter to Mr. Pranav Trivedi,</w:t>
      </w:r>
    </w:p>
    <w:p>
      <w:pPr>
        <w:pStyle w:val="Normal"/>
        <w:framePr w:w="3959" w:hAnchor="page" w:vAnchor="page" w:x="1001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On behalf of QIWI PLC (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“QIWI”</w:t>
      </w:r>
    </w:p>
    <w:p>
      <w:pPr>
        <w:pStyle w:val="Normal"/>
        <w:framePr w:w="2535" w:hAnchor="page" w:vAnchor="page" w:x="4050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or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“Company”</w:t>
      </w:r>
    </w:p>
    <w:p>
      <w:pPr>
        <w:pStyle w:val="Normal"/>
        <w:framePr w:w="6999" w:hAnchor="page" w:vAnchor="page" w:x="5804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), we are writing to respond to the comment received from the staff of</w:t>
      </w:r>
    </w:p>
    <w:p>
      <w:pPr>
        <w:pStyle w:val="Normal"/>
        <w:framePr w:w="2252" w:hAnchor="page" w:vAnchor="page" w:x="280" w:y="877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Dear Mr. Duchovny:</w:t>
      </w:r>
    </w:p>
    <w:p>
      <w:pPr>
        <w:pStyle w:val="Normal"/>
        <w:framePr w:w="3980" w:hAnchor="page" w:vAnchor="page" w:x="2442" w:y="829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SEC File No. 005-87446                      </w:t>
      </w:r>
    </w:p>
    <w:p>
      <w:pPr>
        <w:pStyle w:val="Normal"/>
        <w:framePr w:w="3724" w:hAnchor="page" w:vAnchor="page" w:x="2442" w:y="80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Schedule 14D-9 filed June 30, 2017</w:t>
      </w:r>
    </w:p>
    <w:p>
      <w:pPr>
        <w:pStyle w:val="Normal"/>
        <w:framePr w:w="619" w:hAnchor="page" w:vAnchor="page" w:x="1721" w:y="7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RE:</w:t>
      </w:r>
    </w:p>
    <w:p>
      <w:pPr>
        <w:pStyle w:val="Normal"/>
        <w:framePr w:w="1163" w:hAnchor="page" w:vAnchor="page" w:x="2442" w:y="7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QIWI plc</w:t>
      </w:r>
    </w:p>
    <w:p>
      <w:pPr>
        <w:pStyle w:val="Normal"/>
        <w:framePr w:w="4906" w:hAnchor="page" w:vAnchor="page" w:x="280" w:y="72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Attention: Daniel F. Duchovny, Special Counsel</w:t>
      </w:r>
    </w:p>
    <w:p>
      <w:pPr>
        <w:pStyle w:val="Normal"/>
        <w:framePr w:w="908" w:hAnchor="page" w:vAnchor="page" w:x="280" w:y="679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U.S.A.</w:t>
      </w:r>
    </w:p>
    <w:p>
      <w:pPr>
        <w:pStyle w:val="Normal"/>
        <w:framePr w:w="2636" w:hAnchor="page" w:vAnchor="page" w:x="280" w:y="65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Washington, D.C. 20549</w:t>
      </w:r>
    </w:p>
    <w:p>
      <w:pPr>
        <w:pStyle w:val="Normal"/>
        <w:framePr w:w="1869" w:hAnchor="page" w:vAnchor="page" w:x="280" w:y="62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100 F Street, NE</w:t>
      </w:r>
    </w:p>
    <w:p>
      <w:pPr>
        <w:pStyle w:val="Normal"/>
        <w:framePr w:w="3395" w:hAnchor="page" w:vAnchor="page" w:x="280" w:y="60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Division of Corporation Finance</w:t>
      </w:r>
    </w:p>
    <w:p>
      <w:pPr>
        <w:pStyle w:val="Normal"/>
        <w:framePr w:w="4396" w:hAnchor="page" w:vAnchor="page" w:x="280" w:y="57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U.S. Securities and Exchange Commission</w:t>
      </w:r>
    </w:p>
    <w:p>
      <w:pPr>
        <w:pStyle w:val="Normal"/>
        <w:framePr w:w="1414" w:hAnchor="page" w:vAnchor="page" w:x="280" w:y="527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Via EDGAR</w:t>
      </w:r>
    </w:p>
    <w:p>
      <w:pPr>
        <w:pStyle w:val="Normal"/>
        <w:framePr w:w="930" w:hAnchor="page" w:vAnchor="page" w:x="10429" w:y="489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TORONTO</w:t>
      </w:r>
    </w:p>
    <w:p>
      <w:pPr>
        <w:pStyle w:val="Normal"/>
        <w:framePr w:w="699" w:hAnchor="page" w:vAnchor="page" w:x="10525" w:y="474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TOKYO</w:t>
      </w:r>
    </w:p>
    <w:p>
      <w:pPr>
        <w:pStyle w:val="Normal"/>
        <w:framePr w:w="797" w:hAnchor="page" w:vAnchor="page" w:x="10484" w:y="459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SYDNEY</w:t>
      </w:r>
    </w:p>
    <w:p>
      <w:pPr>
        <w:pStyle w:val="Normal"/>
        <w:framePr w:w="1083" w:hAnchor="page" w:vAnchor="page" w:x="10365" w:y="444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SINGAPORE</w:t>
      </w:r>
    </w:p>
    <w:p>
      <w:pPr>
        <w:pStyle w:val="Normal"/>
        <w:framePr w:w="971" w:hAnchor="page" w:vAnchor="page" w:x="10412" w:y="429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SHANGHAI</w:t>
      </w:r>
    </w:p>
    <w:p>
      <w:pPr>
        <w:pStyle w:val="Normal"/>
        <w:framePr w:w="685" w:hAnchor="page" w:vAnchor="page" w:x="10531" w:y="414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SEOUL</w:t>
      </w:r>
    </w:p>
    <w:p>
      <w:pPr>
        <w:pStyle w:val="Normal"/>
        <w:framePr w:w="1046" w:hAnchor="page" w:vAnchor="page" w:x="10381" w:y="399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SÃO PAULO</w:t>
      </w:r>
    </w:p>
    <w:p>
      <w:pPr>
        <w:pStyle w:val="Normal"/>
        <w:framePr w:w="612" w:hAnchor="page" w:vAnchor="page" w:x="10561" w:y="384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PARIS</w:t>
      </w:r>
    </w:p>
    <w:p>
      <w:pPr>
        <w:pStyle w:val="Normal"/>
        <w:framePr w:w="1695" w:hAnchor="page" w:vAnchor="page" w:x="6122" w:y="36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July 24, 2017</w:t>
      </w:r>
    </w:p>
    <w:p>
      <w:pPr>
        <w:pStyle w:val="Normal"/>
        <w:framePr w:w="780" w:hAnchor="page" w:vAnchor="page" w:x="10491" w:y="369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MUNICH</w:t>
      </w:r>
    </w:p>
    <w:p>
      <w:pPr>
        <w:pStyle w:val="Normal"/>
        <w:framePr w:w="892" w:hAnchor="page" w:vAnchor="page" w:x="10445" w:y="354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MOSCOW</w:t>
      </w:r>
    </w:p>
    <w:p>
      <w:pPr>
        <w:pStyle w:val="Normal"/>
        <w:framePr w:w="1126" w:hAnchor="page" w:vAnchor="page" w:x="10347" w:y="339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HONG KONG</w:t>
      </w:r>
    </w:p>
    <w:p>
      <w:pPr>
        <w:pStyle w:val="Normal"/>
        <w:framePr w:w="1097" w:hAnchor="page" w:vAnchor="page" w:x="10359" w:y="324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FRANKFURT</w:t>
      </w:r>
    </w:p>
    <w:p>
      <w:pPr>
        <w:pStyle w:val="Normal"/>
        <w:framePr w:w="988" w:hAnchor="page" w:vAnchor="page" w:x="10405" w:y="309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BRUSSELS</w:t>
      </w:r>
    </w:p>
    <w:p>
      <w:pPr>
        <w:pStyle w:val="Normal"/>
        <w:framePr w:w="763" w:hAnchor="page" w:vAnchor="page" w:x="10499" w:y="2940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BEIJING</w:t>
      </w:r>
    </w:p>
    <w:p>
      <w:pPr>
        <w:pStyle w:val="Normal"/>
        <w:framePr w:w="1905" w:hAnchor="page" w:vAnchor="page" w:x="5344" w:y="2753"/>
        <w:widowControl w:val="off"/>
        <w:autoSpaceDE w:val="off"/>
        <w:autoSpaceDN w:val="off"/>
        <w:spacing w:before="0" w:after="0" w:line="19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7"/>
          <w:szCs w:val="17"/>
        </w:rPr>
      </w:pPr>
      <w:r>
        <w:rPr>
          <w:rFonts w:ascii="ArialMT" w:hAnsi="ArialMT" w:fareast="ArialMT" w:cs="ArialMT"/>
          <w:color w:val="000000"/>
          <w:w w:val="100"/>
          <w:sz w:val="17"/>
          <w:szCs w:val="17"/>
        </w:rPr>
        <w:t>www.skadden.com</w:t>
      </w:r>
    </w:p>
    <w:p>
      <w:pPr>
        <w:pStyle w:val="Normal"/>
        <w:framePr w:w="784" w:hAnchor="page" w:vAnchor="page" w:x="10495" w:y="278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-----------</w:t>
      </w:r>
    </w:p>
    <w:p>
      <w:pPr>
        <w:pStyle w:val="Normal"/>
        <w:framePr w:w="1257" w:hAnchor="page" w:vAnchor="page" w:x="10297" w:y="263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WILMINGTON</w:t>
      </w:r>
    </w:p>
    <w:p>
      <w:pPr>
        <w:pStyle w:val="Normal"/>
        <w:framePr w:w="2343" w:hAnchor="page" w:vAnchor="page" w:x="5166" w:y="254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FAX: (020) 7519-7070</w:t>
      </w:r>
    </w:p>
    <w:p>
      <w:pPr>
        <w:pStyle w:val="Normal"/>
        <w:framePr w:w="1746" w:hAnchor="page" w:vAnchor="page" w:x="10094" w:y="248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</w:t>
      </w:r>
    </w:p>
    <w:p>
      <w:pPr>
        <w:pStyle w:val="Normal"/>
        <w:framePr w:w="2331" w:hAnchor="page" w:vAnchor="page" w:x="5171" w:y="233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TEL: (020) 7519-7000</w:t>
      </w:r>
    </w:p>
    <w:p>
      <w:pPr>
        <w:pStyle w:val="Normal"/>
        <w:framePr w:w="1074" w:hAnchor="page" w:vAnchor="page" w:x="10374" w:y="233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PALO ALTO</w:t>
      </w:r>
    </w:p>
    <w:p>
      <w:pPr>
        <w:pStyle w:val="Normal"/>
        <w:framePr w:w="1083" w:hAnchor="page" w:vAnchor="page" w:x="10370" w:y="218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NEW YORK</w:t>
      </w:r>
    </w:p>
    <w:p>
      <w:pPr>
        <w:pStyle w:val="Normal"/>
        <w:framePr w:w="523" w:hAnchor="page" w:vAnchor="page" w:x="5874" w:y="2009"/>
        <w:widowControl w:val="off"/>
        <w:autoSpaceDE w:val="off"/>
        <w:autoSpaceDN w:val="off"/>
        <w:spacing w:before="0" w:after="0" w:line="8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8"/>
          <w:szCs w:val="8"/>
        </w:rPr>
        <w:t>________</w:t>
      </w:r>
    </w:p>
    <w:p>
      <w:pPr>
        <w:pStyle w:val="Normal"/>
        <w:framePr w:w="1345" w:hAnchor="page" w:vAnchor="page" w:x="10261" w:y="203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LOS ANGELES</w:t>
      </w:r>
    </w:p>
    <w:p>
      <w:pPr>
        <w:pStyle w:val="Normal"/>
        <w:framePr w:w="1005" w:hAnchor="page" w:vAnchor="page" w:x="10403" w:y="188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HOUSTON</w:t>
      </w:r>
    </w:p>
    <w:p>
      <w:pPr>
        <w:pStyle w:val="Normal"/>
        <w:framePr w:w="2313" w:hAnchor="page" w:vAnchor="page" w:x="5111" w:y="1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LONDON E14 5DS</w:t>
      </w:r>
    </w:p>
    <w:p>
      <w:pPr>
        <w:pStyle w:val="Normal"/>
        <w:framePr w:w="952" w:hAnchor="page" w:vAnchor="page" w:x="10425" w:y="173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CHICAGO</w:t>
      </w:r>
    </w:p>
    <w:p>
      <w:pPr>
        <w:pStyle w:val="Normal"/>
        <w:framePr w:w="2201" w:hAnchor="page" w:vAnchor="page" w:x="5162" w:y="15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CANARY WHARF</w:t>
      </w:r>
    </w:p>
    <w:p>
      <w:pPr>
        <w:pStyle w:val="Normal"/>
        <w:framePr w:w="875" w:hAnchor="page" w:vAnchor="page" w:x="10457" w:y="158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BOSTON</w:t>
      </w:r>
    </w:p>
    <w:p>
      <w:pPr>
        <w:pStyle w:val="Normal"/>
        <w:framePr w:w="784" w:hAnchor="page" w:vAnchor="page" w:x="10495" w:y="142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-----------</w:t>
      </w:r>
    </w:p>
    <w:p>
      <w:pPr>
        <w:pStyle w:val="Normal"/>
        <w:framePr w:w="2260" w:hAnchor="page" w:vAnchor="page" w:x="5135" w:y="128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40 BANK STREET</w:t>
      </w:r>
    </w:p>
    <w:p>
      <w:pPr>
        <w:pStyle w:val="Normal"/>
        <w:framePr w:w="1762" w:hAnchor="page" w:vAnchor="page" w:x="10087" w:y="127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AFFILIATE OFFICES</w:t>
      </w:r>
    </w:p>
    <w:p>
      <w:pPr>
        <w:pStyle w:val="Normal"/>
        <w:framePr w:w="8101" w:hAnchor="page" w:vAnchor="page" w:x="2610" w:y="648"/>
        <w:widowControl w:val="off"/>
        <w:autoSpaceDE w:val="off"/>
        <w:autoSpaceDN w:val="off"/>
        <w:spacing w:before="0" w:after="0" w:line="38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4"/>
          <w:szCs w:val="34"/>
        </w:rPr>
      </w:pPr>
      <w:r>
        <w:rPr>
          <w:rFonts w:ascii="ArialMT" w:hAnsi="ArialMT" w:fareast="ArialMT" w:cs="ArialMT"/>
          <w:color w:val="000000"/>
          <w:w w:val="100"/>
          <w:sz w:val="34"/>
          <w:szCs w:val="34"/>
        </w:rPr>
        <w:t>S, A, S, M  F 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675.05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1.1pt;margin-top:424.35pt;z-index:-16777204;width:171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52.45pt;margin-top:538.45pt;z-index:-16777200;width:33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551.2pt;z-index:-16777196;width:134.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72.9pt;margin-top:551.2pt;z-index:-167771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</w:p>
    <w:p>
      <w:pPr>
        <w:pStyle w:val="Normal"/>
        <w:framePr w:w="847" w:hAnchor="page" w:vAnchor="page" w:x="5845" w:y="105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*****</w:t>
      </w:r>
    </w:p>
    <w:p>
      <w:pPr>
        <w:pStyle w:val="Normal"/>
        <w:framePr w:w="2792" w:hAnchor="page" w:vAnchor="page" w:x="1721" w:y="985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Offerors on July 17, 2017.</w:t>
      </w:r>
    </w:p>
    <w:p>
      <w:pPr>
        <w:pStyle w:val="Normal"/>
        <w:framePr w:w="11496" w:hAnchor="page" w:vAnchor="page" w:x="1721" w:y="960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disclosures about the financial advisor. The Company would finally like to note that the Offer was terminated by the</w:t>
      </w:r>
    </w:p>
    <w:p>
      <w:pPr>
        <w:pStyle w:val="Normal"/>
        <w:framePr w:w="10657" w:hAnchor="page" w:vAnchor="page" w:x="1721" w:y="93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disclosures are required by the SEC rules or that the Company's shareholders would benefit from additional</w:t>
      </w:r>
    </w:p>
    <w:p>
      <w:pPr>
        <w:pStyle w:val="Normal"/>
        <w:framePr w:w="11087" w:hAnchor="page" w:vAnchor="page" w:x="1721" w:y="90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under the particular facts and circumstances present in this matter, the Company does not believe that additional</w:t>
      </w:r>
    </w:p>
    <w:p>
      <w:pPr>
        <w:pStyle w:val="Normal"/>
        <w:framePr w:w="11231" w:hAnchor="page" w:vAnchor="page" w:x="1721" w:y="883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Directors' reliance on the advice of the financial advisor, that the Item 1009(a) disclosures could be required.  But</w:t>
      </w:r>
    </w:p>
    <w:p>
      <w:pPr>
        <w:pStyle w:val="Normal"/>
        <w:framePr w:w="10834" w:hAnchor="page" w:vAnchor="page" w:x="1721" w:y="85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the financial advisor’s analyses or conclusions or when the disclosures indicate the Company's or Board of</w:t>
      </w:r>
    </w:p>
    <w:p>
      <w:pPr>
        <w:pStyle w:val="Normal"/>
        <w:framePr w:w="11486" w:hAnchor="page" w:vAnchor="page" w:x="1721" w:y="83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Company is aware that under other facts and circumstances, perhaps when the disclosures provide a description</w:t>
      </w:r>
    </w:p>
    <w:p>
      <w:pPr>
        <w:pStyle w:val="Normal"/>
        <w:framePr w:w="10353" w:hAnchor="page" w:vAnchor="page" w:x="1721" w:y="78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fact that the financial advisor did not make any solicitation or recommendation with respect to the Offer.</w:t>
      </w:r>
    </w:p>
    <w:p>
      <w:pPr>
        <w:pStyle w:val="Normal"/>
        <w:framePr w:w="11339" w:hAnchor="page" w:vAnchor="page" w:x="1721" w:y="757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order to make the statements included in Item 4 of the Schedule 14D-9 not materially misleading, in view of the</w:t>
      </w:r>
    </w:p>
    <w:p>
      <w:pPr>
        <w:pStyle w:val="Normal"/>
        <w:framePr w:w="11290" w:hAnchor="page" w:vAnchor="page" w:x="1721" w:y="732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the financial advisor or the contents of its discussions with the Board of Directors of the Company, is necessary</w:t>
      </w:r>
    </w:p>
    <w:p>
      <w:pPr>
        <w:pStyle w:val="Normal"/>
        <w:framePr w:w="11264" w:hAnchor="page" w:vAnchor="page" w:x="1721" w:y="70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position in respect of the Offer and that no further information regarding the financial advisor, including the name</w:t>
      </w:r>
    </w:p>
    <w:p>
      <w:pPr>
        <w:pStyle w:val="Normal"/>
        <w:framePr w:w="11467" w:hAnchor="page" w:vAnchor="page" w:x="1721" w:y="68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Schedule 14D-9 sets forth in all material respects the reasons of the Board of Directors of the Company in taking its</w:t>
      </w:r>
    </w:p>
    <w:p>
      <w:pPr>
        <w:pStyle w:val="Normal"/>
        <w:framePr w:w="11234" w:hAnchor="page" w:vAnchor="page" w:x="1721" w:y="65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 financial advisors in determining its position in respect of the Offer. The Company believes that Item 4 of the</w:t>
      </w:r>
    </w:p>
    <w:p>
      <w:pPr>
        <w:pStyle w:val="Normal"/>
        <w:framePr w:w="11339" w:hAnchor="page" w:vAnchor="page" w:x="1721" w:y="629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Schedule 14D-9 states that the Board of Directors of the Company consulted with its senior management and legal</w:t>
      </w:r>
    </w:p>
    <w:p>
      <w:pPr>
        <w:pStyle w:val="Normal"/>
        <w:framePr w:w="11095" w:hAnchor="page" w:vAnchor="page" w:x="1721" w:y="60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Company also believes that Item 1011(c) of Regulation M-A is not applicable in this instance. Item 4 of the</w:t>
      </w:r>
    </w:p>
    <w:p>
      <w:pPr>
        <w:pStyle w:val="Normal"/>
        <w:framePr w:w="6452" w:hAnchor="page" w:vAnchor="page" w:x="1721" w:y="55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Interpretations are not applicable under these circumstances.</w:t>
      </w:r>
    </w:p>
    <w:p>
      <w:pPr>
        <w:pStyle w:val="Normal"/>
        <w:framePr w:w="11265" w:hAnchor="page" w:vAnchor="page" w:x="1721" w:y="52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 discuss any analyses or conclusions of the financial advisor. Therefore, the Company continues to believe that</w:t>
      </w:r>
    </w:p>
    <w:p>
      <w:pPr>
        <w:pStyle w:val="Normal"/>
        <w:framePr w:w="11341" w:hAnchor="page" w:vAnchor="page" w:x="1721" w:y="50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conclusions are discussed in the issuer's Schedule 14D-9." As has been previously noted, the Schedule 14D-9 does</w:t>
      </w:r>
    </w:p>
    <w:p>
      <w:pPr>
        <w:pStyle w:val="Normal"/>
        <w:framePr w:w="11229" w:hAnchor="page" w:vAnchor="page" w:x="1721" w:y="47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"provide[s] advice with respect to the tender or exchange offer" and (ii) where the financial advisor's "analyses or</w:t>
      </w:r>
    </w:p>
    <w:p>
      <w:pPr>
        <w:pStyle w:val="Normal"/>
        <w:framePr w:w="10463" w:hAnchor="page" w:vAnchor="page" w:x="1721" w:y="45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"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Interpretations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") indicates that Item 1009(a) of Regulation M-A would apply (i) if the financial advisor</w:t>
      </w:r>
    </w:p>
    <w:p>
      <w:pPr>
        <w:pStyle w:val="Normal"/>
        <w:framePr w:w="10177" w:hAnchor="page" w:vAnchor="page" w:x="1721" w:y="42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159.01 of the Staff’s Compliance &amp; Disclosure Interpretations under Tender Offers and Schedules (the</w:t>
      </w:r>
    </w:p>
    <w:p>
      <w:pPr>
        <w:pStyle w:val="Normal"/>
        <w:framePr w:w="10909" w:hAnchor="page" w:vAnchor="page" w:x="1721" w:y="401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Company is aware that, notwithstanding the plain language of Item 1009(a) of Regulation M-A, Question</w:t>
      </w:r>
    </w:p>
    <w:p>
      <w:pPr>
        <w:pStyle w:val="Normal"/>
        <w:framePr w:w="5685" w:hAnchor="page" w:vAnchor="page" w:x="1721" w:y="35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M-A, Item 1009(a) of Regulation M-A would not apply.</w:t>
      </w:r>
    </w:p>
    <w:p>
      <w:pPr>
        <w:pStyle w:val="Normal"/>
        <w:framePr w:w="11502" w:hAnchor="page" w:vAnchor="page" w:x="1721" w:y="326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recommendation in connection with the tender offer. Therefore, by the plain language of Item 1009(a) of Regulation</w:t>
      </w:r>
    </w:p>
    <w:p>
      <w:pPr>
        <w:pStyle w:val="Normal"/>
        <w:framePr w:w="11110" w:hAnchor="page" w:vAnchor="page" w:x="1721" w:y="30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engaged by the Independent Committee was not employed, retained, or compensated to make any solicitation or</w:t>
      </w:r>
    </w:p>
    <w:p>
      <w:pPr>
        <w:pStyle w:val="Normal"/>
        <w:framePr w:w="10694" w:hAnchor="page" w:vAnchor="page" w:x="1721" w:y="27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As stated in the previous response of the Company and during our phone conversation, the financial advisor</w:t>
      </w:r>
    </w:p>
    <w:p>
      <w:pPr>
        <w:pStyle w:val="Normal"/>
        <w:framePr w:w="7748" w:hAnchor="page" w:vAnchor="page" w:x="1721" w:y="22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8 of Schedule 14D-9 and the corresponding Item 1011(c) of Regulation M-A.</w:t>
      </w:r>
    </w:p>
    <w:p>
      <w:pPr>
        <w:pStyle w:val="Normal"/>
        <w:framePr w:w="11426" w:hAnchor="page" w:vAnchor="page" w:x="1721" w:y="20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 required under Item 5 of Schedule 14D-9 and the corresponding Item 1009(a) of Regulation M-A or under Item</w:t>
      </w:r>
    </w:p>
    <w:p>
      <w:pPr>
        <w:pStyle w:val="Normal"/>
        <w:framePr w:w="1237" w:hAnchor="page" w:vAnchor="page" w:x="280" w:y="17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Response:</w:t>
      </w:r>
    </w:p>
    <w:p>
      <w:pPr>
        <w:pStyle w:val="Normal"/>
        <w:framePr w:w="11205" w:hAnchor="page" w:vAnchor="page" w:x="1721" w:y="17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As we discussed in our recent phone conversation, the Company continues to believe that additional disclosure is</w:t>
      </w:r>
    </w:p>
    <w:p>
      <w:pPr>
        <w:pStyle w:val="Normal"/>
        <w:framePr w:w="7096" w:hAnchor="page" w:vAnchor="page" w:x="1721" w:y="12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advisor was compensated separately for its advice on the current offer.</w:t>
      </w:r>
    </w:p>
    <w:p>
      <w:pPr>
        <w:pStyle w:val="Normal"/>
        <w:framePr w:w="11320" w:hAnchor="page" w:vAnchor="page" w:x="1721" w:y="10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Item 1012(a) and (b) of Regulation M-A. Also, tell us, with a view toward revised disclosure, whether the financial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7pt;margin-top:1pt;z-index:-167771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63.2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2pt;margin-top:199.9pt;z-index:-167771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85.05pt;margin-top:212.7pt;z-index:-16777176;width:453.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85.05pt;margin-top:225.45pt;z-index:-167771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89.55pt;margin-top:225.45pt;z-index:-16777168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60.9pt;margin-top:225.45pt;z-index:-16777164;width:27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632" w:hAnchor="page" w:vAnchor="page" w:x="280" w:y="34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CC:</w:t>
      </w:r>
    </w:p>
    <w:p>
      <w:pPr>
        <w:pStyle w:val="Normal"/>
        <w:framePr w:w="1925" w:hAnchor="page" w:vAnchor="page" w:x="1001" w:y="34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Brian V. Breheny</w:t>
      </w:r>
    </w:p>
    <w:p>
      <w:pPr>
        <w:pStyle w:val="Normal"/>
        <w:framePr w:w="1947" w:hAnchor="page" w:vAnchor="page" w:x="6120" w:y="299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Pranav L. Trivedi</w:t>
      </w:r>
    </w:p>
    <w:p>
      <w:pPr>
        <w:pStyle w:val="Normal"/>
        <w:framePr w:w="1968" w:hAnchor="page" w:vAnchor="page" w:x="6120" w:y="25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/s/ Pranav Trivedi</w:t>
      </w:r>
    </w:p>
    <w:p>
      <w:pPr>
        <w:pStyle w:val="Normal"/>
        <w:framePr w:w="1201" w:hAnchor="page" w:vAnchor="page" w:x="6120" w:y="20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Sincerely,</w:t>
      </w:r>
    </w:p>
    <w:p>
      <w:pPr>
        <w:pStyle w:val="Normal"/>
        <w:framePr w:w="2731" w:hAnchor="page" w:vAnchor="page" w:x="280" w:y="15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me on +44 207 519 7026.</w:t>
      </w:r>
    </w:p>
    <w:p>
      <w:pPr>
        <w:pStyle w:val="Normal"/>
        <w:framePr w:w="13029" w:hAnchor="page" w:vAnchor="page" w:x="280" w:y="12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5DS, United Kingdom, facsimile +44 20 7072 7026.  If you would like to discuss any aspect of the Company’s response, please call</w:t>
      </w:r>
    </w:p>
    <w:p>
      <w:pPr>
        <w:pStyle w:val="Normal"/>
        <w:framePr w:w="11748" w:hAnchor="page" w:vAnchor="page" w:x="1001" w:y="10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Please send a copy of any additional correspondence to the undersigned at 40 Bank Street, Canary Wharf, London E14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211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520054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9014800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styles.xml" Type="http://schemas.openxmlformats.org/officeDocument/2006/relationships/styles"/><Relationship Id="rId16" Target="fontTable.xml" Type="http://schemas.openxmlformats.org/officeDocument/2006/relationships/fontTable"/><Relationship Id="rId17" Target="settings.xml" Type="http://schemas.openxmlformats.org/officeDocument/2006/relationships/settings"/><Relationship Id="rId18" Target="webSettings.xml" Type="http://schemas.openxmlformats.org/officeDocument/2006/relationships/webSettings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895</Words>
  <Characters>4727</Characters>
  <Application>e-iceblue</Application>
  <DocSecurity>0</DocSecurity>
  <Lines>105</Lines>
  <Paragraphs>105</Paragraphs>
  <ScaleCrop>false</ScaleCrop>
  <Company>e-iceblue</Company>
  <LinksUpToDate>false</LinksUpToDate>
  <CharactersWithSpaces>5537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2021-11-30T19:58:33Z</dcterms:created>
  <dc:creator>root</dc:creator>
  <cp:lastModifiedBy>root</cp:lastModifiedBy>
  <dcterms:modified xsi:type="dcterms:W3CDTF">2021-11-30T19:58:33Z</dcterms:modified>
  <cp:revision>1</cp:revision>
</cp:coreProperties>
</file>