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5410" w:hAnchor="page" w:vAnchor="page" w:x="280" w:y="123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the text of the comment in the Staff’s letter.</w:t>
      </w:r>
    </w:p>
    <w:p>
      <w:pPr>
        <w:pStyle w:val="Normal"/>
        <w:framePr w:w="12719" w:hAnchor="page" w:vAnchor="page" w:x="747" w:y="120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 forth below are the responses to the Staff’s comments, which for the convenience of the Staff have been provided in each case</w:t>
      </w:r>
    </w:p>
    <w:p>
      <w:pPr>
        <w:pStyle w:val="Normal"/>
        <w:framePr w:w="4394" w:hAnchor="page" w:vAnchor="page" w:x="280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December 31, 2013 (the “Annual Report”).</w:t>
      </w:r>
    </w:p>
    <w:p>
      <w:pPr>
        <w:pStyle w:val="Normal"/>
        <w:framePr w:w="13256" w:hAnchor="page" w:vAnchor="page" w:x="280" w:y="113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November 19, 2014 (the “November Letter”), in connection with the Company’s Annual Report on Form 20-F for the fiscal year ended</w:t>
      </w:r>
    </w:p>
    <w:p>
      <w:pPr>
        <w:pStyle w:val="Normal"/>
        <w:framePr w:w="13093" w:hAnchor="page" w:vAnchor="page" w:x="280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“Commission”) by letter to Mr. Sergey Solonin, dated January 21, 2015, in response to the Company’s letter to the Commission dated</w:t>
      </w:r>
    </w:p>
    <w:p>
      <w:pPr>
        <w:pStyle w:val="Normal"/>
        <w:framePr w:w="13053" w:hAnchor="page" w:vAnchor="page" w:x="280" w:y="108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comments received from the staff of the Division of Corporate Finance (the “Staff”) of the Securities and Exchange Commission (the</w:t>
      </w:r>
    </w:p>
    <w:p>
      <w:pPr>
        <w:pStyle w:val="Normal"/>
        <w:framePr w:w="12995" w:hAnchor="page" w:vAnchor="page" w:x="747" w:y="106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behalf of QIWI plc. (“QIWI” or the “Company” and together with its subsidiaries, the “Group”), we are writing to respond to the</w:t>
      </w:r>
    </w:p>
    <w:p>
      <w:pPr>
        <w:pStyle w:val="Normal"/>
        <w:framePr w:w="2256" w:hAnchor="page" w:vAnchor="page" w:x="280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Dear Mr. Thompson:</w:t>
      </w:r>
    </w:p>
    <w:p>
      <w:pPr>
        <w:pStyle w:val="Normal"/>
        <w:framePr w:w="1887" w:hAnchor="page" w:vAnchor="page" w:x="1798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 No. 1-35893</w:t>
      </w:r>
    </w:p>
    <w:p>
      <w:pPr>
        <w:pStyle w:val="Normal"/>
        <w:framePr w:w="3714" w:hAnchor="page" w:vAnchor="page" w:x="1798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 dated November 19, 2014</w:t>
      </w:r>
    </w:p>
    <w:p>
      <w:pPr>
        <w:pStyle w:val="Normal"/>
        <w:framePr w:w="2321" w:hAnchor="page" w:vAnchor="page" w:x="1798" w:y="9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March 12, 2014</w:t>
      </w:r>
    </w:p>
    <w:p>
      <w:pPr>
        <w:pStyle w:val="Normal"/>
        <w:framePr w:w="5724" w:hAnchor="page" w:vAnchor="page" w:x="1798" w:y="8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20-F for the Fiscal Year Ended December 31, 2013</w:t>
      </w:r>
    </w:p>
    <w:p>
      <w:pPr>
        <w:pStyle w:val="Normal"/>
        <w:framePr w:w="614" w:hAnchor="page" w:vAnchor="page" w:x="1211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RE:</w:t>
      </w:r>
    </w:p>
    <w:p>
      <w:pPr>
        <w:pStyle w:val="Normal"/>
        <w:framePr w:w="1153" w:hAnchor="page" w:vAnchor="page" w:x="1781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6019" w:hAnchor="page" w:vAnchor="page" w:x="280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Attention: William H. Thompson, Accounting Branch Chief</w:t>
      </w:r>
    </w:p>
    <w:p>
      <w:pPr>
        <w:pStyle w:val="Normal"/>
        <w:framePr w:w="900" w:hAnchor="page" w:vAnchor="page" w:x="280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U.S.A.</w:t>
      </w:r>
    </w:p>
    <w:p>
      <w:pPr>
        <w:pStyle w:val="Normal"/>
        <w:framePr w:w="2615" w:hAnchor="page" w:vAnchor="page" w:x="280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1854" w:hAnchor="page" w:vAnchor="page" w:x="280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100 F Street, NE</w:t>
      </w:r>
    </w:p>
    <w:p>
      <w:pPr>
        <w:pStyle w:val="Normal"/>
        <w:framePr w:w="3368" w:hAnchor="page" w:vAnchor="page" w:x="280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Division of Corporation Finance</w:t>
      </w:r>
    </w:p>
    <w:p>
      <w:pPr>
        <w:pStyle w:val="Normal"/>
        <w:framePr w:w="3874" w:hAnchor="page" w:vAnchor="page" w:x="280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1402" w:hAnchor="page" w:vAnchor="page" w:x="280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Via EDGAR</w:t>
      </w:r>
    </w:p>
    <w:p>
      <w:pPr>
        <w:pStyle w:val="Normal"/>
        <w:framePr w:w="2127" w:hAnchor="page" w:vAnchor="page" w:x="10387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February 4, 2015    </w:t>
      </w:r>
    </w:p>
    <w:p>
      <w:pPr>
        <w:pStyle w:val="Normal"/>
        <w:framePr w:w="1241" w:hAnchor="page" w:vAnchor="page" w:x="9724" w:y="558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TORONTO</w:t>
      </w:r>
    </w:p>
    <w:p>
      <w:pPr>
        <w:pStyle w:val="Normal"/>
        <w:framePr w:w="969" w:hAnchor="page" w:vAnchor="page" w:x="9837" w:y="535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TOKYO</w:t>
      </w:r>
    </w:p>
    <w:p>
      <w:pPr>
        <w:pStyle w:val="Normal"/>
        <w:framePr w:w="1093" w:hAnchor="page" w:vAnchor="page" w:x="9786" w:y="513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SYDNEY</w:t>
      </w:r>
    </w:p>
    <w:p>
      <w:pPr>
        <w:pStyle w:val="Normal"/>
        <w:framePr w:w="1429" w:hAnchor="page" w:vAnchor="page" w:x="9645" w:y="490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SINGAPORE</w:t>
      </w:r>
    </w:p>
    <w:p>
      <w:pPr>
        <w:pStyle w:val="Normal"/>
        <w:framePr w:w="809" w:hAnchor="page" w:vAnchor="page" w:x="9904" w:y="468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PARIS</w:t>
      </w:r>
    </w:p>
    <w:p>
      <w:pPr>
        <w:pStyle w:val="Normal"/>
        <w:framePr w:w="1093" w:hAnchor="page" w:vAnchor="page" w:x="9786" w:y="445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MUNICH</w:t>
      </w:r>
    </w:p>
    <w:p>
      <w:pPr>
        <w:pStyle w:val="Normal"/>
        <w:framePr w:w="1189" w:hAnchor="page" w:vAnchor="page" w:x="9746" w:y="42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MOSCOW</w:t>
      </w:r>
    </w:p>
    <w:p>
      <w:pPr>
        <w:pStyle w:val="Normal"/>
        <w:framePr w:w="1519" w:hAnchor="page" w:vAnchor="page" w:x="9608" w:y="40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HONG KONG</w:t>
      </w:r>
    </w:p>
    <w:p>
      <w:pPr>
        <w:pStyle w:val="Normal"/>
        <w:framePr w:w="1488" w:hAnchor="page" w:vAnchor="page" w:x="9621" w:y="378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FRANKFURT</w:t>
      </w:r>
    </w:p>
    <w:p>
      <w:pPr>
        <w:pStyle w:val="Normal"/>
        <w:framePr w:w="1285" w:hAnchor="page" w:vAnchor="page" w:x="9705" w:y="355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BRUSSELS</w:t>
      </w:r>
    </w:p>
    <w:p>
      <w:pPr>
        <w:pStyle w:val="Normal"/>
        <w:framePr w:w="1033" w:hAnchor="page" w:vAnchor="page" w:x="9811" w:y="333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BEIJING</w:t>
      </w:r>
    </w:p>
    <w:p>
      <w:pPr>
        <w:pStyle w:val="Normal"/>
        <w:framePr w:w="1641" w:hAnchor="page" w:vAnchor="page" w:x="9557" w:y="280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WILMINGTON</w:t>
      </w:r>
    </w:p>
    <w:p>
      <w:pPr>
        <w:pStyle w:val="Normal"/>
        <w:framePr w:w="2170" w:hAnchor="page" w:vAnchor="page" w:x="9337" w:y="258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WASHINGTON, D.C.</w:t>
      </w:r>
    </w:p>
    <w:p>
      <w:pPr>
        <w:pStyle w:val="Normal"/>
        <w:framePr w:w="1916" w:hAnchor="page" w:vAnchor="page" w:x="9442" w:y="235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SAN FRANCISCO</w:t>
      </w:r>
    </w:p>
    <w:p>
      <w:pPr>
        <w:pStyle w:val="Normal"/>
        <w:framePr w:w="1367" w:hAnchor="page" w:vAnchor="page" w:x="9671" w:y="213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PALO ALTO</w:t>
      </w:r>
    </w:p>
    <w:p>
      <w:pPr>
        <w:pStyle w:val="Normal"/>
        <w:framePr w:w="2065" w:hAnchor="page" w:vAnchor="page" w:x="5487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www.skadden.com</w:t>
      </w:r>
    </w:p>
    <w:p>
      <w:pPr>
        <w:pStyle w:val="Normal"/>
        <w:framePr w:w="1375" w:hAnchor="page" w:vAnchor="page" w:x="9668" w:y="190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NEW YORK</w:t>
      </w:r>
    </w:p>
    <w:p>
      <w:pPr>
        <w:pStyle w:val="Normal"/>
        <w:framePr w:w="2347" w:hAnchor="page" w:vAnchor="page" w:x="537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Fax: (020) 7519-7070</w:t>
      </w:r>
    </w:p>
    <w:p>
      <w:pPr>
        <w:pStyle w:val="Normal"/>
        <w:framePr w:w="1663" w:hAnchor="page" w:vAnchor="page" w:x="9548" w:y="168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LOS ANGELES</w:t>
      </w:r>
    </w:p>
    <w:p>
      <w:pPr>
        <w:pStyle w:val="Normal"/>
        <w:framePr w:w="1861" w:hAnchor="page" w:vAnchor="page" w:x="5573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(020) 7519-7000</w:t>
      </w:r>
    </w:p>
    <w:p>
      <w:pPr>
        <w:pStyle w:val="Normal"/>
        <w:framePr w:w="1245" w:hAnchor="page" w:vAnchor="page" w:x="9722" w:y="145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HOUSTON</w:t>
      </w:r>
    </w:p>
    <w:p>
      <w:pPr>
        <w:pStyle w:val="Normal"/>
        <w:framePr w:w="1201" w:hAnchor="page" w:vAnchor="page" w:x="9741" w:y="123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CHICAGO</w:t>
      </w:r>
    </w:p>
    <w:p>
      <w:pPr>
        <w:pStyle w:val="Normal"/>
        <w:framePr w:w="2407" w:hAnchor="page" w:vAnchor="page" w:x="5273" w:y="102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LONDON E14 5DS</w:t>
      </w:r>
    </w:p>
    <w:p>
      <w:pPr>
        <w:pStyle w:val="Normal"/>
        <w:framePr w:w="1077" w:hAnchor="page" w:vAnchor="page" w:x="9792" w:y="100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BOSTON</w:t>
      </w:r>
    </w:p>
    <w:p>
      <w:pPr>
        <w:pStyle w:val="Normal"/>
        <w:framePr w:w="2385" w:hAnchor="page" w:vAnchor="page" w:x="5283" w:y="7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CANARY WHARF</w:t>
      </w:r>
    </w:p>
    <w:p>
      <w:pPr>
        <w:pStyle w:val="Normal"/>
        <w:framePr w:w="2378" w:hAnchor="page" w:vAnchor="page" w:x="5287" w:y="4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40 BANK STREET</w:t>
      </w:r>
    </w:p>
    <w:p>
      <w:pPr>
        <w:pStyle w:val="Normal"/>
        <w:framePr w:w="2204" w:hAnchor="page" w:vAnchor="page" w:x="9323" w:y="49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AFFILIATE OFFICES</w:t>
      </w:r>
    </w:p>
    <w:p>
      <w:pPr>
        <w:pStyle w:val="Normal"/>
        <w:framePr w:w="7188" w:hAnchor="page" w:vAnchor="page" w:x="2981" w:y="16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8"/>
          <w:szCs w:val="28"/>
        </w:rPr>
        <w:t>S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KADDEN</w:t>
      </w:r>
      <w:r>
        <w:rPr>
          <w:rFonts w:ascii="TimesNewRomanPSMT" w:hAnsi="TimesNewRomanPSMT" w:fareast="TimesNewRomanPSMT" w:cs="TimesNewRomanPSMT"/>
          <w:color w:val="000000"/>
          <w:w w:val="100"/>
          <w:sz w:val="28"/>
          <w:szCs w:val="28"/>
        </w:rPr>
        <w:t>, A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RPS</w:t>
      </w:r>
      <w:r>
        <w:rPr>
          <w:rFonts w:ascii="TimesNewRomanPSMT" w:hAnsi="TimesNewRomanPSMT" w:fareast="TimesNewRomanPSMT" w:cs="TimesNewRomanPSMT"/>
          <w:color w:val="000000"/>
          <w:w w:val="100"/>
          <w:sz w:val="28"/>
          <w:szCs w:val="28"/>
        </w:rPr>
        <w:t>, S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LATE</w:t>
      </w:r>
      <w:r>
        <w:rPr>
          <w:rFonts w:ascii="TimesNewRomanPSMT" w:hAnsi="TimesNewRomanPSMT" w:fareast="TimesNewRomanPSMT" w:cs="TimesNewRomanPSMT"/>
          <w:color w:val="000000"/>
          <w:w w:val="100"/>
          <w:sz w:val="28"/>
          <w:szCs w:val="28"/>
        </w:rPr>
        <w:t>, M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EAGHER</w:t>
      </w:r>
      <w:r>
        <w:rPr>
          <w:rFonts w:ascii="TimesNewRomanPSMT" w:hAnsi="TimesNewRomanPSMT" w:fareast="TimesNewRomanPSMT" w:cs="TimesNewRomanPSMT"/>
          <w:color w:val="000000"/>
          <w:w w:val="100"/>
          <w:sz w:val="28"/>
          <w:szCs w:val="28"/>
        </w:rPr>
        <w:t xml:space="preserve"> &amp; F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LOM</w:t>
      </w:r>
      <w:r>
        <w:rPr>
          <w:rFonts w:ascii="TimesNewRomanPSMT" w:hAnsi="TimesNewRomanPSMT" w:fareast="TimesNewRomanPSMT" w:cs="TimesNewRomanPSMT"/>
          <w:color w:val="000000"/>
          <w:w w:val="100"/>
          <w:sz w:val="28"/>
          <w:szCs w:val="28"/>
        </w:rPr>
        <w:t xml:space="preserve"> (UK) 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LLP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211.9pt;margin-top:70.8pt;z-index:-16777208;width:200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16.1pt;margin-top:41.55pt;z-index:-16777204;width:182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416.1pt;margin-top:157.9pt;z-index:-16777200;width:182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88.9pt;margin-top:493.4pt;z-index:-16777196;width:7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</w:p>
    <w:p>
      <w:pPr>
        <w:pStyle w:val="Normal"/>
        <w:framePr w:w="1374" w:hAnchor="page" w:vAnchor="page" w:x="715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project.</w:t>
      </w:r>
    </w:p>
    <w:p>
      <w:pPr>
        <w:pStyle w:val="Normal"/>
        <w:framePr w:w="13726" w:hAnchor="page" w:vAnchor="page" w:x="715" w:y="99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computers with different IP addresses to access its interfaces. Personnel primarily from IT, fraud-monitoring and compliance are involved in</w:t>
      </w:r>
    </w:p>
    <w:p>
      <w:pPr>
        <w:pStyle w:val="Normal"/>
        <w:framePr w:w="13065" w:hAnchor="page" w:vAnchor="page" w:x="715" w:y="97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project is to improve the security settings of the Group’s operations in the event QIWI’s consumers use multiple devices and different</w:t>
      </w:r>
    </w:p>
    <w:p>
      <w:pPr>
        <w:pStyle w:val="Normal"/>
        <w:framePr w:w="324" w:hAnchor="page" w:vAnchor="page" w:x="385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188" w:hAnchor="page" w:vAnchor="page" w:x="715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Enhancement of security of QIWI’s web interface. QIWI expects to complete this project in approximately six months. The aim of this</w:t>
      </w:r>
    </w:p>
    <w:p>
      <w:pPr>
        <w:pStyle w:val="Normal"/>
        <w:framePr w:w="967" w:hAnchor="page" w:vAnchor="page" w:x="715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project.</w:t>
      </w:r>
    </w:p>
    <w:p>
      <w:pPr>
        <w:pStyle w:val="Normal"/>
        <w:framePr w:w="13600" w:hAnchor="page" w:vAnchor="page" w:x="71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ensure compliance with the new Russian “know-your-customer” legislation. Personnel from IT, legal and compliance were involved in this</w:t>
      </w:r>
    </w:p>
    <w:p>
      <w:pPr>
        <w:pStyle w:val="Normal"/>
        <w:framePr w:w="324" w:hAnchor="page" w:vAnchor="page" w:x="38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316" w:hAnchor="page" w:vAnchor="page" w:x="71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Development of new customer identification procedures. This project took approximately two weeks to complete and its purpose was to</w:t>
      </w:r>
    </w:p>
    <w:p>
      <w:pPr>
        <w:pStyle w:val="Normal"/>
        <w:framePr w:w="6967" w:hAnchor="page" w:vAnchor="page" w:x="715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 and customer management were involved in this project.</w:t>
      </w:r>
    </w:p>
    <w:p>
      <w:pPr>
        <w:pStyle w:val="Normal"/>
        <w:framePr w:w="12931" w:hAnchor="page" w:vAnchor="page" w:x="715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Score (“NPS”) and System Usability Scale (“SUS”), in order to increase consumer use of QIWI’s website. Personnel from IT, brand</w:t>
      </w:r>
    </w:p>
    <w:p>
      <w:pPr>
        <w:pStyle w:val="Normal"/>
        <w:framePr w:w="324" w:hAnchor="page" w:vAnchor="page" w:x="385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408" w:hAnchor="page" w:vAnchor="page" w:x="715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Development of a new web interface. This project took approximately six months to complete and was aimed at increasing Net Promoter</w:t>
      </w:r>
    </w:p>
    <w:p>
      <w:pPr>
        <w:pStyle w:val="Normal"/>
        <w:framePr w:w="6300" w:hAnchor="page" w:vAnchor="page" w:x="715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requirements were similar to the eBay project described above.</w:t>
      </w:r>
    </w:p>
    <w:p>
      <w:pPr>
        <w:pStyle w:val="Normal"/>
        <w:framePr w:w="324" w:hAnchor="page" w:vAnchor="page" w:x="385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723" w:hAnchor="page" w:vAnchor="page" w:x="715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Connection of QIWI’s payment system to MTS-Bank. This project took approximately three months to complete and the resource</w:t>
      </w:r>
    </w:p>
    <w:p>
      <w:pPr>
        <w:pStyle w:val="Normal"/>
        <w:framePr w:w="12524" w:hAnchor="page" w:vAnchor="page" w:x="715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marketing (design and launch of promotion campaigns on the new service), and finance (developing payment terms and tariffs).</w:t>
      </w:r>
    </w:p>
    <w:p>
      <w:pPr>
        <w:pStyle w:val="Normal"/>
        <w:framePr w:w="13395" w:hAnchor="page" w:vAnchor="page" w:x="715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including, among other personnel, IT (IT protocol to exchange payment data with eBay), legal (contract negotiation and documentation),</w:t>
      </w:r>
    </w:p>
    <w:p>
      <w:pPr>
        <w:pStyle w:val="Normal"/>
        <w:framePr w:w="13543" w:hAnchor="page" w:vAnchor="page" w:x="715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using Visa QIWI Wallet. The project took approximately 12 months to complete. Personnel from various functions worked on this project,</w:t>
      </w:r>
    </w:p>
    <w:p>
      <w:pPr>
        <w:pStyle w:val="Normal"/>
        <w:framePr w:w="324" w:hAnchor="page" w:vAnchor="page" w:x="385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668" w:hAnchor="page" w:vAnchor="page" w:x="715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Connection of Visa QIWI Wallet to eBay. Upon completion of this project, Russian users of eBay were able to pay for their eBay purchases</w:t>
      </w:r>
    </w:p>
    <w:p>
      <w:pPr>
        <w:pStyle w:val="Normal"/>
        <w:framePr w:w="4234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completed and/or started in 2014 include:</w:t>
      </w:r>
    </w:p>
    <w:p>
      <w:pPr>
        <w:pStyle w:val="Normal"/>
        <w:framePr w:w="12889" w:hAnchor="page" w:vAnchor="page" w:x="747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Projects vary in terms of resources used and execution time, ranging from a few days to several months. Some examples of projects</w:t>
      </w:r>
    </w:p>
    <w:p>
      <w:pPr>
        <w:pStyle w:val="Normal"/>
        <w:framePr w:w="9101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key aspects of the Group’s activities and strategy is identified internally as a “project”.</w:t>
      </w:r>
    </w:p>
    <w:p>
      <w:pPr>
        <w:pStyle w:val="Normal"/>
        <w:framePr w:w="14182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terms of human resources and/or capital expenditures) and aims to support revenue growth, increase cost efficiency, mitigate risks or support any</w:t>
      </w:r>
    </w:p>
    <w:p>
      <w:pPr>
        <w:pStyle w:val="Normal"/>
        <w:framePr w:w="13676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functional division is responsible for certain components of the project. Any initiative that requires a certain amount of investments (both in</w:t>
      </w:r>
    </w:p>
    <w:p>
      <w:pPr>
        <w:pStyle w:val="Normal"/>
        <w:framePr w:w="14190" w:hAnchor="page" w:vAnchor="page" w:x="280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 is focused on centralized core operational tasks such as sales and marketing, IT, legal, and finance. When a project is assumed, each</w:t>
      </w:r>
    </w:p>
    <w:p>
      <w:pPr>
        <w:pStyle w:val="Normal"/>
        <w:framePr w:w="12711" w:hAnchor="page" w:vAnchor="page" w:x="747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that, as disclosed in previous filings, QIWI has adopted a functional management structure where</w:t>
      </w:r>
    </w:p>
    <w:p>
      <w:pPr>
        <w:pStyle w:val="Normal"/>
        <w:framePr w:w="1281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3312" w:hAnchor="page" w:vAnchor="page" w:x="178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how long a typical project lasts.</w:t>
      </w:r>
    </w:p>
    <w:p>
      <w:pPr>
        <w:pStyle w:val="Normal"/>
        <w:framePr w:w="324" w:hAnchor="page" w:vAnchor="page" w:x="133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084" w:hAnchor="page" w:vAnchor="page" w:x="178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Tell us more about the nature of your various projects, including several examples of projects undertaken by the Group and</w:t>
      </w:r>
    </w:p>
    <w:p>
      <w:pPr>
        <w:pStyle w:val="Normal"/>
        <w:framePr w:w="3822" w:hAnchor="page" w:vAnchor="page" w:x="2022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the following additional information:</w:t>
      </w:r>
    </w:p>
    <w:p>
      <w:pPr>
        <w:pStyle w:val="Normal"/>
        <w:framePr w:w="1420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1:</w:t>
      </w:r>
    </w:p>
    <w:p>
      <w:pPr>
        <w:pStyle w:val="Normal"/>
        <w:framePr w:w="11939" w:hAnchor="page" w:vAnchor="page" w:x="2022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reviewed your responses to comments one through seven in our letter dated November 6, 2014. Please provide us with</w:t>
      </w:r>
    </w:p>
    <w:p>
      <w:pPr>
        <w:pStyle w:val="Normal"/>
        <w:framePr w:w="2047" w:hAnchor="page" w:vAnchor="page" w:x="280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Segments, page 57</w:t>
      </w:r>
    </w:p>
    <w:p>
      <w:pPr>
        <w:pStyle w:val="Normal"/>
        <w:framePr w:w="3254" w:hAnchor="page" w:vAnchor="page" w:x="280" w:y="14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5A. Operating Results, page 56</w:t>
      </w:r>
    </w:p>
    <w:p>
      <w:pPr>
        <w:pStyle w:val="Normal"/>
        <w:framePr w:w="6354" w:hAnchor="page" w:vAnchor="page" w:x="280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Item 5. Operating and Financial Review and Prospects, page 56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2</w:t>
      </w:r>
    </w:p>
    <w:p>
      <w:pPr>
        <w:pStyle w:val="Normal"/>
        <w:framePr w:w="1887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February 4, 2015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7pt;margin-top:1pt;z-index:-167771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1pt;z-index:-167771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2.5pt;z-index:-167771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97.75pt;margin-top:1pt;z-index:-167771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1pt;z-index:-167771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63.3pt;z-index:-16777172;width:256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81.3pt;z-index:-16777168;width:12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99.35pt;z-index:-16777164;width:7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34.75pt;margin-top:311.75pt;z-index:-16777160;width:166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34.75pt;margin-top:366.55pt;z-index:-16777156;width:21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34.75pt;margin-top:397.35pt;z-index:-16777152;width:14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4.75pt;margin-top:440.1pt;z-index:-16777148;width:22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34.75pt;margin-top:482.9pt;z-index:-16777144;width:201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</w:p>
    <w:p>
      <w:pPr>
        <w:pStyle w:val="Normal"/>
        <w:framePr w:w="13655" w:hAnchor="page" w:vAnchor="page" w:x="280" w:y="84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analysis of QIWI’s operations performed by the CODM (as described in our response letter dated October 16, 2014 (the “October Letter”)).</w:t>
      </w:r>
    </w:p>
    <w:p>
      <w:pPr>
        <w:pStyle w:val="Normal"/>
        <w:framePr w:w="13715" w:hAnchor="page" w:vAnchor="page" w:x="280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information from these projects for purposes of preparing its financial statements, determining its reportable segments, or for the review and</w:t>
      </w:r>
    </w:p>
    <w:p>
      <w:pPr>
        <w:pStyle w:val="Normal"/>
        <w:framePr w:w="13535" w:hAnchor="page" w:vAnchor="page" w:x="280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from leases to its agents. The Company does not account for any project on an individual basis nor does it aggregate any financial</w:t>
      </w:r>
    </w:p>
    <w:p>
      <w:pPr>
        <w:pStyle w:val="Normal"/>
        <w:framePr w:w="14246" w:hAnchor="page" w:vAnchor="page" w:x="280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executing a new rental agreement with a retail network partner, the Company monitors the number of kiosks added, transaction volume and net</w:t>
      </w:r>
    </w:p>
    <w:p>
      <w:pPr>
        <w:pStyle w:val="Normal"/>
        <w:framePr w:w="14155" w:hAnchor="page" w:vAnchor="page" w:x="280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merchants (such as eBay) to the QIWI network, the Company monitors transaction volume and net revenue for such a project. If a project relates</w:t>
      </w:r>
    </w:p>
    <w:p>
      <w:pPr>
        <w:pStyle w:val="Normal"/>
        <w:framePr w:w="13458" w:hAnchor="page" w:vAnchor="page" w:x="280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enhance the consumer’s experience, the Company monitors NPS and SUS for the Group as a whole. If a project is seeking to add specific</w:t>
      </w:r>
    </w:p>
    <w:p>
      <w:pPr>
        <w:pStyle w:val="Normal"/>
        <w:framePr w:w="13177" w:hAnchor="page" w:vAnchor="page" w:x="747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parameters QIWI monitors for each specific project differ based on the type of project. For example, in case the project’s aim is to</w:t>
      </w:r>
    </w:p>
    <w:p>
      <w:pPr>
        <w:pStyle w:val="Normal"/>
        <w:framePr w:w="1281" w:hAnchor="page" w:vAnchor="page" w:x="280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532" w:hAnchor="page" w:vAnchor="page" w:x="1781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coordinators.</w:t>
      </w:r>
    </w:p>
    <w:p>
      <w:pPr>
        <w:pStyle w:val="Normal"/>
        <w:framePr w:w="324" w:hAnchor="page" w:vAnchor="page" w:x="1331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559" w:hAnchor="page" w:vAnchor="page" w:x="1781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Tell us whether financial information is available by project or by groupings of projects managed by the seven project</w:t>
      </w:r>
    </w:p>
    <w:p>
      <w:pPr>
        <w:pStyle w:val="Normal"/>
        <w:framePr w:w="9219" w:hAnchor="page" w:vAnchor="page" w:x="747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Please also refer to our response on the structure of the Product Development function below.</w:t>
      </w:r>
    </w:p>
    <w:p>
      <w:pPr>
        <w:pStyle w:val="Normal"/>
        <w:framePr w:w="5414" w:hAnchor="page" w:vAnchor="page" w:x="280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reports to the CEO about the progress of each project.</w:t>
      </w:r>
    </w:p>
    <w:p>
      <w:pPr>
        <w:pStyle w:val="Normal"/>
        <w:framePr w:w="13818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Company’s focus on priority projects, ensuring that each project coordinator has access to the Company’s resources (such as staffing) and</w:t>
      </w:r>
    </w:p>
    <w:p>
      <w:pPr>
        <w:pStyle w:val="Normal"/>
        <w:framePr w:w="14169" w:hAnchor="page" w:vAnchor="page" w:x="280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project coordinators is not linked to expected transaction volumes or revenues. The Head of Product Development is responsible for ensuring</w:t>
      </w:r>
    </w:p>
    <w:p>
      <w:pPr>
        <w:pStyle w:val="Normal"/>
        <w:framePr w:w="13946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response to Comment 1 set forth in the November Letter, and resources available are also taken into consideration. The allocation amongst</w:t>
      </w:r>
    </w:p>
    <w:p>
      <w:pPr>
        <w:pStyle w:val="Normal"/>
        <w:framePr w:w="13879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described further in our response on page 4 of this letter, but the project’s objectives, as determined by the various function heads identified in</w:t>
      </w:r>
    </w:p>
    <w:p>
      <w:pPr>
        <w:pStyle w:val="Normal"/>
        <w:framePr w:w="13991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Project Management decides who will be appointed as project coordinator primarily based on the project coordinator’s area of responsibility as</w:t>
      </w:r>
    </w:p>
    <w:p>
      <w:pPr>
        <w:pStyle w:val="Normal"/>
        <w:framePr w:w="14222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certain cases, if the project is very significant, the Head of Product Development may choose to coordinate the project himself. The Supervisor of</w:t>
      </w:r>
    </w:p>
    <w:p>
      <w:pPr>
        <w:pStyle w:val="Normal"/>
        <w:framePr w:w="13902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subordinate of the Head of Product Development, the decision as to which project coordinator is most appropriate to coordinate the project. In</w:t>
      </w:r>
    </w:p>
    <w:p>
      <w:pPr>
        <w:pStyle w:val="Normal"/>
        <w:framePr w:w="13302" w:hAnchor="page" w:vAnchor="page" w:x="280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project, the Head of Product Development delegates to the Supervisor of Project Management, Mr. Alexander Zhalnin, who is the direct</w:t>
      </w:r>
    </w:p>
    <w:p>
      <w:pPr>
        <w:pStyle w:val="Normal"/>
        <w:framePr w:w="13735" w:hAnchor="page" w:vAnchor="page" w:x="280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comment, we will therefore describe project allocation as it currently functions within the Group. When a decision is taken to take forward a</w:t>
      </w:r>
    </w:p>
    <w:p>
      <w:pPr>
        <w:pStyle w:val="Normal"/>
        <w:framePr w:w="13417" w:hAnchor="page" w:vAnchor="page" w:x="280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Officer (“COO”) and transferred the responsibilities of the COO to the Head of Project Development. In response to the above</w:t>
      </w:r>
    </w:p>
    <w:p>
      <w:pPr>
        <w:pStyle w:val="Normal"/>
        <w:framePr w:w="13482" w:hAnchor="page" w:vAnchor="page" w:x="747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that, as disclosed in the November Letter, as of January 1, 2015, we have eliminated the position of Chief</w:t>
      </w:r>
    </w:p>
    <w:p>
      <w:pPr>
        <w:pStyle w:val="Normal"/>
        <w:framePr w:w="1281" w:hAnchor="page" w:vAnchor="page" w:x="280" w:y="1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3457" w:hAnchor="page" w:vAnchor="page" w:x="1781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synergies of merchants or agents.</w:t>
      </w:r>
    </w:p>
    <w:p>
      <w:pPr>
        <w:pStyle w:val="Normal"/>
        <w:framePr w:w="324" w:hAnchor="page" w:vAnchor="page" w:x="133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249" w:hAnchor="page" w:vAnchor="page" w:x="178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Tell us how work/projects are allocated amongst the seven project coordinators that report to the COO; e.g., by region, or by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3</w:t>
      </w:r>
    </w:p>
    <w:p>
      <w:pPr>
        <w:pStyle w:val="Normal"/>
        <w:framePr w:w="1887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February 4, 2015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7pt;margin-top:1pt;z-index:-167771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1pt;z-index:-167771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2.5pt;z-index:-167771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597.75pt;margin-top:1pt;z-index:-167771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1pt;z-index:-167771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324" w:hAnchor="page" w:vAnchor="page" w:x="851" w:y="132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068" w:hAnchor="page" w:vAnchor="page" w:x="1181" w:y="132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Alexander Osetrov has not yet been assigned a new role.</w:t>
      </w:r>
    </w:p>
    <w:p>
      <w:pPr>
        <w:pStyle w:val="Normal"/>
        <w:framePr w:w="1107" w:hAnchor="page" w:vAnchor="page" w:x="1181" w:y="12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function;</w:t>
      </w:r>
    </w:p>
    <w:p>
      <w:pPr>
        <w:pStyle w:val="Normal"/>
        <w:framePr w:w="324" w:hAnchor="page" w:vAnchor="page" w:x="851" w:y="125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789" w:hAnchor="page" w:vAnchor="page" w:x="1181" w:y="125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Konstantin Vagner reports to the Supervisor of Project Management (Mr. Alexander Zhalnin) within the Product Development</w:t>
      </w:r>
    </w:p>
    <w:p>
      <w:pPr>
        <w:pStyle w:val="Normal"/>
        <w:framePr w:w="2460" w:hAnchor="page" w:vAnchor="page" w:x="1181" w:y="122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Development function;</w:t>
      </w:r>
    </w:p>
    <w:p>
      <w:pPr>
        <w:pStyle w:val="Normal"/>
        <w:framePr w:w="324" w:hAnchor="page" w:vAnchor="page" w:x="851" w:y="119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602" w:hAnchor="page" w:vAnchor="page" w:x="1181" w:y="119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Ms. Victoria Dubovko reports to the Supervisor of Self-Service Kiosks (SSK) Products (Mr. Andrey Tarasov) within the Product</w:t>
      </w:r>
    </w:p>
    <w:p>
      <w:pPr>
        <w:pStyle w:val="Normal"/>
        <w:framePr w:w="880" w:hAnchor="page" w:vAnchor="page" w:x="1181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above;</w:t>
      </w:r>
    </w:p>
    <w:p>
      <w:pPr>
        <w:pStyle w:val="Normal"/>
        <w:framePr w:w="324" w:hAnchor="page" w:vAnchor="page" w:x="851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707" w:hAnchor="page" w:vAnchor="page" w:x="1181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Grigory Melekhov, Ms. Ekaterina Kirtsova and Ms. Olga Martynova report to the Head of Product Development as described</w:t>
      </w:r>
    </w:p>
    <w:p>
      <w:pPr>
        <w:pStyle w:val="Normal"/>
        <w:framePr w:w="2847" w:hAnchor="page" w:vAnchor="page" w:x="280" w:y="109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currently report as follows:</w:t>
      </w:r>
    </w:p>
    <w:p>
      <w:pPr>
        <w:pStyle w:val="Normal"/>
        <w:framePr w:w="13246" w:hAnchor="page" w:vAnchor="page" w:x="747" w:y="107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project coordinators referenced in our response to Comment 1 of the November Letter, who were previously reporting to the COO,</w:t>
      </w:r>
    </w:p>
    <w:p>
      <w:pPr>
        <w:pStyle w:val="Normal"/>
        <w:framePr w:w="6562" w:hAnchor="page" w:vAnchor="page" w:x="715" w:y="102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techniques used by the Group to communicate with its customers.</w:t>
      </w:r>
    </w:p>
    <w:p>
      <w:pPr>
        <w:pStyle w:val="Normal"/>
        <w:framePr w:w="324" w:hAnchor="page" w:vAnchor="page" w:x="385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576" w:hAnchor="page" w:vAnchor="page" w:x="715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Customer Experience, who is currently Mr. Alexander Sobol. The Supervisor of Customer Experience oversees methods and</w:t>
      </w:r>
    </w:p>
    <w:p>
      <w:pPr>
        <w:pStyle w:val="Normal"/>
        <w:framePr w:w="587" w:hAnchor="page" w:vAnchor="page" w:x="715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</w:t>
      </w:r>
    </w:p>
    <w:p>
      <w:pPr>
        <w:pStyle w:val="Normal"/>
        <w:framePr w:w="324" w:hAnchor="page" w:vAnchor="page" w:x="385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599" w:hAnchor="page" w:vAnchor="page" w:x="715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Call-Center, who is currently Mr. Boris Baklazhenko. The Supervisor of Call-Center manages QIWI’s call-center operations;</w:t>
      </w:r>
    </w:p>
    <w:p>
      <w:pPr>
        <w:pStyle w:val="Normal"/>
        <w:framePr w:w="3494" w:hAnchor="page" w:vAnchor="page" w:x="715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core business of the Group;</w:t>
      </w:r>
    </w:p>
    <w:p>
      <w:pPr>
        <w:pStyle w:val="Normal"/>
        <w:framePr w:w="324" w:hAnchor="page" w:vAnchor="page" w:x="385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641" w:hAnchor="page" w:vAnchor="page" w:x="715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Innovation Projects, who is currently Mr. Grigory Melekhov. The Supervisor of Innovation Projects oversees projects outside</w:t>
      </w:r>
    </w:p>
    <w:p>
      <w:pPr>
        <w:pStyle w:val="Normal"/>
        <w:framePr w:w="8224" w:hAnchor="page" w:vAnchor="page" w:x="715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develops reports assessing whether the project has achieved its initial goals/targets;</w:t>
      </w:r>
    </w:p>
    <w:p>
      <w:pPr>
        <w:pStyle w:val="Normal"/>
        <w:framePr w:w="324" w:hAnchor="page" w:vAnchor="page" w:x="385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678" w:hAnchor="page" w:vAnchor="page" w:x="715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Post-Implementation Assessment, who is currently Ms. Olga Martynova. The Supervisor of Post-Implementation Assessment</w:t>
      </w:r>
    </w:p>
    <w:p>
      <w:pPr>
        <w:pStyle w:val="Normal"/>
        <w:framePr w:w="11155" w:hAnchor="page" w:vAnchor="page" w:x="715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 assists in project coordination, which requires a substantial degree of cross-product communication;</w:t>
      </w:r>
    </w:p>
    <w:p>
      <w:pPr>
        <w:pStyle w:val="Normal"/>
        <w:framePr w:w="324" w:hAnchor="page" w:vAnchor="page" w:x="385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030" w:hAnchor="page" w:vAnchor="page" w:x="715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Cross-Product Project Management, who is currently Ms. Ekaterina Kirtsova. The Supervisor of Cross-Product Project</w:t>
      </w:r>
    </w:p>
    <w:p>
      <w:pPr>
        <w:pStyle w:val="Normal"/>
        <w:framePr w:w="1134" w:hAnchor="page" w:vAnchor="page" w:x="715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products;</w:t>
      </w:r>
    </w:p>
    <w:p>
      <w:pPr>
        <w:pStyle w:val="Normal"/>
        <w:framePr w:w="324" w:hAnchor="page" w:vAnchor="page" w:x="385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483" w:hAnchor="page" w:vAnchor="page" w:x="715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New Products, who is currently Mr. Alexander Gadiyak. The Supervisor of New Products oversees the development of new</w:t>
      </w:r>
    </w:p>
    <w:p>
      <w:pPr>
        <w:pStyle w:val="Normal"/>
        <w:framePr w:w="1134" w:hAnchor="page" w:vAnchor="page" w:x="715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products;</w:t>
      </w:r>
    </w:p>
    <w:p>
      <w:pPr>
        <w:pStyle w:val="Normal"/>
        <w:framePr w:w="324" w:hAnchor="page" w:vAnchor="page" w:x="385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321" w:hAnchor="page" w:vAnchor="page" w:x="715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Designer, who is currently Mr. Vladimir Stepanenko. The Chief Designer oversees development of all the user interfaces of QIWI</w:t>
      </w:r>
    </w:p>
    <w:p>
      <w:pPr>
        <w:pStyle w:val="Normal"/>
        <w:framePr w:w="6293" w:hAnchor="page" w:vAnchor="page" w:x="715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development initiatives related to Visa QIWI Wallet interfaces;</w:t>
      </w:r>
    </w:p>
    <w:p>
      <w:pPr>
        <w:pStyle w:val="Normal"/>
        <w:framePr w:w="324" w:hAnchor="page" w:vAnchor="page" w:x="38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052" w:hAnchor="page" w:vAnchor="page" w:x="71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Digital Wallet Products, who is currently Mr. Pavel Fomin. The Supervisor of Digital Wallet Products oversees product</w:t>
      </w:r>
    </w:p>
    <w:p>
      <w:pPr>
        <w:pStyle w:val="Normal"/>
        <w:framePr w:w="6088" w:hAnchor="page" w:vAnchor="page" w:x="715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product development initiatives in respect of SSK interfaces;</w:t>
      </w:r>
    </w:p>
    <w:p>
      <w:pPr>
        <w:pStyle w:val="Normal"/>
        <w:framePr w:w="324" w:hAnchor="page" w:vAnchor="page" w:x="385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678" w:hAnchor="page" w:vAnchor="page" w:x="715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Self-Service Kiosks Products, who is currently Mr. Andrey Tarasov. The Supervisor of Self-Service Kiosks Products oversees</w:t>
      </w:r>
    </w:p>
    <w:p>
      <w:pPr>
        <w:pStyle w:val="Normal"/>
        <w:framePr w:w="11581" w:hAnchor="page" w:vAnchor="page" w:x="715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prepaid cards including issuance of cards, card tariffs, distribution of cards, and other Visa card related activities;</w:t>
      </w:r>
    </w:p>
    <w:p>
      <w:pPr>
        <w:pStyle w:val="Normal"/>
        <w:framePr w:w="324" w:hAnchor="page" w:vAnchor="page" w:x="38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394" w:hAnchor="page" w:vAnchor="page" w:x="71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Card Products, who is currently Mr. Alexander Afanasov. The Supervisor of Card Products oversees operations with QIWI</w:t>
      </w:r>
    </w:p>
    <w:p>
      <w:pPr>
        <w:pStyle w:val="Normal"/>
        <w:framePr w:w="7548" w:hAnchor="page" w:vAnchor="page" w:x="715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coordinators listed below and the overall quality of a project’s management;</w:t>
      </w:r>
    </w:p>
    <w:p>
      <w:pPr>
        <w:pStyle w:val="Normal"/>
        <w:framePr w:w="324" w:hAnchor="page" w:vAnchor="page" w:x="385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576" w:hAnchor="page" w:vAnchor="page" w:x="715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 of Project Management, who is currently Mr. Alexander Zhalnin. The Supervisor of Project Management supervises the project</w:t>
      </w:r>
    </w:p>
    <w:p>
      <w:pPr>
        <w:pStyle w:val="Normal"/>
        <w:framePr w:w="13289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 the current structure of the Product Development function, the following individuals report to the Head of Product Development:</w:t>
      </w:r>
    </w:p>
    <w:p>
      <w:pPr>
        <w:pStyle w:val="Normal"/>
        <w:framePr w:w="13624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developed and the Company expects to finalize and formally approve the organization of the Product Development function by April 2015.</w:t>
      </w:r>
    </w:p>
    <w:p>
      <w:pPr>
        <w:pStyle w:val="Normal"/>
        <w:framePr w:w="13405" w:hAnchor="page" w:vAnchor="page" w:x="280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Product Development. The Product Development function started to operate from January 1, 2015, however its organization is still being</w:t>
      </w:r>
    </w:p>
    <w:p>
      <w:pPr>
        <w:pStyle w:val="Normal"/>
        <w:framePr w:w="13874" w:hAnchor="page" w:vAnchor="page" w:x="280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Letter, with effect from January 1, 2015, the role of the COO has been eliminated and his responsibilities have been transferred to the Head of</w:t>
      </w:r>
    </w:p>
    <w:p>
      <w:pPr>
        <w:pStyle w:val="Normal"/>
        <w:framePr w:w="13458" w:hAnchor="page" w:vAnchor="page" w:x="747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the completion of the management reorganization changes referenced in our response to Comment 1 set forth in the November</w:t>
      </w:r>
    </w:p>
    <w:p>
      <w:pPr>
        <w:pStyle w:val="Normal"/>
        <w:framePr w:w="1281" w:hAnchor="page" w:vAnchor="page" w:x="280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1555" w:hAnchor="page" w:vAnchor="page" w:x="1781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report to. Also tell us who will report to the Head of Product Development and how else the organization will change.</w:t>
      </w:r>
    </w:p>
    <w:p>
      <w:pPr>
        <w:pStyle w:val="Normal"/>
        <w:framePr w:w="12279" w:hAnchor="page" w:vAnchor="page" w:x="1781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coordinators who currently report to the COO will report to this new position. If not, tell us who the project coordinators will</w:t>
      </w:r>
    </w:p>
    <w:p>
      <w:pPr>
        <w:pStyle w:val="Normal"/>
        <w:framePr w:w="324" w:hAnchor="page" w:vAnchor="page" w:x="133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825" w:hAnchor="page" w:vAnchor="page" w:x="178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understand the COO position is being replaced by a Head of Product Development. Tell us whether the seven project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4</w:t>
      </w:r>
    </w:p>
    <w:p>
      <w:pPr>
        <w:pStyle w:val="Normal"/>
        <w:framePr w:w="1887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February 4, 2015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1pt;z-index:-167771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2.5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7.75pt;margin-top:1pt;z-index:-167771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p>
      <w:pPr>
        <w:pStyle w:val="Normal"/>
        <w:framePr w:w="2680" w:hAnchor="page" w:vAnchor="page" w:x="280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depending on the project.</w:t>
      </w:r>
    </w:p>
    <w:p>
      <w:pPr>
        <w:pStyle w:val="Normal"/>
        <w:framePr w:w="13889" w:hAnchor="page" w:vAnchor="page" w:x="280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process involves assessing indicators such as transaction volume, net revenue, number of kiosks, number of users and other operating metrics,</w:t>
      </w:r>
    </w:p>
    <w:p>
      <w:pPr>
        <w:pStyle w:val="Normal"/>
        <w:framePr w:w="13883" w:hAnchor="page" w:vAnchor="page" w:x="280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post-implementation assessment of the project to ensure that it fits within the overall business strategy of the Group. The post-implementation</w:t>
      </w:r>
    </w:p>
    <w:p>
      <w:pPr>
        <w:pStyle w:val="Normal"/>
        <w:framePr w:w="14043" w:hAnchor="page" w:vAnchor="page" w:x="280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resources for the smooth completion of a project. In addition, the COO, and since January 1, 2015, the Head of Product Development, performs</w:t>
      </w:r>
    </w:p>
    <w:p>
      <w:pPr>
        <w:pStyle w:val="Normal"/>
        <w:framePr w:w="13477" w:hAnchor="page" w:vAnchor="page" w:x="280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project coordinators refers to the close monitoring of projects to ensure that the project team has sufficient access to the Company’s</w:t>
      </w:r>
    </w:p>
    <w:p>
      <w:pPr>
        <w:pStyle w:val="Normal"/>
        <w:framePr w:w="13692" w:hAnchor="page" w:vAnchor="page" w:x="747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 the coordinating role of the COO, and since January 1, 2015, of the Head of Product Development, and</w:t>
      </w:r>
    </w:p>
    <w:p>
      <w:pPr>
        <w:pStyle w:val="Normal"/>
        <w:framePr w:w="1281" w:hAnchor="page" w:vAnchor="page" w:x="280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7060" w:hAnchor="page" w:vAnchor="page" w:x="1781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project coordinator and project manager interact on any given project.</w:t>
      </w:r>
    </w:p>
    <w:p>
      <w:pPr>
        <w:pStyle w:val="Normal"/>
        <w:framePr w:w="12637" w:hAnchor="page" w:vAnchor="page" w:x="1781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project coordinators) and “managing” projects (most often the responsibility of the Head of Sales and Marketing) and how the</w:t>
      </w:r>
    </w:p>
    <w:p>
      <w:pPr>
        <w:pStyle w:val="Normal"/>
        <w:framePr w:w="324" w:hAnchor="page" w:vAnchor="page" w:x="1331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165" w:hAnchor="page" w:vAnchor="page" w:x="1781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Help us understand the distinction between “coordinating” projects (typically the responsibility of the COO and his seven</w:t>
      </w:r>
    </w:p>
    <w:p>
      <w:pPr>
        <w:pStyle w:val="Normal"/>
        <w:framePr w:w="8602" w:hAnchor="page" w:vAnchor="page" w:x="28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primarily relate to increased salaries and they are also affected by increased headcount.</w:t>
      </w:r>
    </w:p>
    <w:p>
      <w:pPr>
        <w:pStyle w:val="Normal"/>
        <w:framePr w:w="14003" w:hAnchor="page" w:vAnchor="page" w:x="280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agents, which represent the amount of fees the Group passes through to its agents for use of their kiosks and terminals. Compensation expenses</w:t>
      </w:r>
    </w:p>
    <w:p>
      <w:pPr>
        <w:pStyle w:val="Normal"/>
        <w:framePr w:w="13949" w:hAnchor="page" w:vAnchor="page" w:x="280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compensation to employees and related taxes. When payments are made through the Group’s network, the Group incurs transaction costs to its</w:t>
      </w:r>
    </w:p>
    <w:p>
      <w:pPr>
        <w:pStyle w:val="Normal"/>
        <w:framePr w:w="12843" w:hAnchor="page" w:vAnchor="page" w:x="747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described in the Company’s Annual Report, the majority of the Group’s operating costs are represented by transaction costs and</w:t>
      </w:r>
    </w:p>
    <w:p>
      <w:pPr>
        <w:pStyle w:val="Normal"/>
        <w:framePr w:w="2494" w:hAnchor="page" w:vAnchor="page" w:x="280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Development.</w:t>
      </w:r>
    </w:p>
    <w:p>
      <w:pPr>
        <w:pStyle w:val="Normal"/>
        <w:framePr w:w="13396" w:hAnchor="page" w:vAnchor="page" w:x="28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members of senior management, including the CEO. Responsibility for expanding the contracts with agents rests with the Head of Agent</w:t>
      </w:r>
    </w:p>
    <w:p>
      <w:pPr>
        <w:pStyle w:val="Normal"/>
        <w:framePr w:w="14150" w:hAnchor="page" w:vAnchor="page" w:x="280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Marketing, though in certain specific cases (if, for example, the new potential merchant is large and strategically important) it can rest with other</w:t>
      </w:r>
    </w:p>
    <w:p>
      <w:pPr>
        <w:pStyle w:val="Normal"/>
        <w:framePr w:w="14170" w:hAnchor="page" w:vAnchor="page" w:x="280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these personnel report directly to the CEO. Responsibility for expanding the contracts with merchants usually rests with the Head of Sales and</w:t>
      </w:r>
    </w:p>
    <w:p>
      <w:pPr>
        <w:pStyle w:val="Normal"/>
        <w:framePr w:w="14159" w:hAnchor="page" w:vAnchor="page" w:x="280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Development, the Head of Agent Network Development and the CFO. As described in our response to Comment 2 of the November Letter, each</w:t>
      </w:r>
    </w:p>
    <w:p>
      <w:pPr>
        <w:pStyle w:val="Normal"/>
        <w:framePr w:w="13121" w:hAnchor="page" w:vAnchor="page" w:x="747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individuals responsible for the day-to-day revenue generating activities are the Head of Sales and Marketing, the Head of Product</w:t>
      </w:r>
    </w:p>
    <w:p>
      <w:pPr>
        <w:pStyle w:val="Normal"/>
        <w:framePr w:w="7621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development of new interfaces and the introduction of new payment options.</w:t>
      </w:r>
    </w:p>
    <w:p>
      <w:pPr>
        <w:pStyle w:val="Normal"/>
        <w:framePr w:w="13232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(for example offering discounts or loyalty points when using its services) and enhancing its products, for example, through the</w:t>
      </w:r>
    </w:p>
    <w:p>
      <w:pPr>
        <w:pStyle w:val="Normal"/>
        <w:framePr w:w="13499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and promotional campaigns through different media such as internet, billboard, SMS, press and radio, and QIWI’s distribution</w:t>
      </w:r>
    </w:p>
    <w:p>
      <w:pPr>
        <w:pStyle w:val="Normal"/>
        <w:framePr w:w="13275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September 30, 2014. The Group’s activities to increase Visa QIWI Wallet adoption include increasing its merchant base (such as eBay),</w:t>
      </w:r>
    </w:p>
    <w:p>
      <w:pPr>
        <w:pStyle w:val="Normal"/>
        <w:framePr w:w="13788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growing from 5.9 million active Visa QIWI Wallet accounts as of December 31, 2009 to 16.5 million active Visa QIWI Wallet accounts as of</w:t>
      </w:r>
    </w:p>
    <w:p>
      <w:pPr>
        <w:pStyle w:val="Normal"/>
        <w:framePr w:w="14203" w:hAnchor="page" w:vAnchor="page" w:x="280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primarily focused on supporting the growth of Visa QIWI Wallet, which has exhibited substantial growth in its consumer base since its inception,</w:t>
      </w:r>
    </w:p>
    <w:p>
      <w:pPr>
        <w:pStyle w:val="Normal"/>
        <w:framePr w:w="14112" w:hAnchor="page" w:vAnchor="page" w:x="280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the interfaces it offers such as mobile, web, self-service kiosks or other which in turn drives total transaction volume. QIWI’s strategy is</w:t>
      </w:r>
    </w:p>
    <w:p>
      <w:pPr>
        <w:pStyle w:val="Normal"/>
        <w:framePr w:w="13077" w:hAnchor="page" w:vAnchor="page" w:x="747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described in the Company’s Annual Report, the Group’s revenue is primarily driven by the number of customers using its services</w:t>
      </w:r>
    </w:p>
    <w:p>
      <w:pPr>
        <w:pStyle w:val="Normal"/>
        <w:framePr w:w="1281" w:hAnchor="page" w:vAnchor="page" w:x="280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5786" w:hAnchor="page" w:vAnchor="page" w:x="1781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agents and identify who is responsible for these activities.</w:t>
      </w:r>
    </w:p>
    <w:p>
      <w:pPr>
        <w:pStyle w:val="Normal"/>
        <w:framePr w:w="12029" w:hAnchor="page" w:vAnchor="page" w:x="1781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business. Clarify whether the primary drivers of revenue and business growth are expanding contracts with merchants and</w:t>
      </w:r>
    </w:p>
    <w:p>
      <w:pPr>
        <w:pStyle w:val="Normal"/>
        <w:framePr w:w="324" w:hAnchor="page" w:vAnchor="page" w:x="133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027" w:hAnchor="page" w:vAnchor="page" w:x="178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Help us understand the day-to-day activities involved in generating and expanding revenues and in incurring costs in your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5</w:t>
      </w:r>
    </w:p>
    <w:p>
      <w:pPr>
        <w:pStyle w:val="Normal"/>
        <w:framePr w:w="1887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February 4, 2015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pt;margin-top:1pt;z-index:-167771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1pt;z-index:-167770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2.5pt;z-index:-167770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7.75pt;margin-top:1pt;z-index:-167770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1pt;z-index:-167770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</w:p>
    <w:p>
      <w:pPr>
        <w:pStyle w:val="Normal"/>
        <w:framePr w:w="5995" w:hAnchor="page" w:vAnchor="page" w:x="1196" w:y="103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supporting the Group`s services and development activities.</w:t>
      </w:r>
    </w:p>
    <w:p>
      <w:pPr>
        <w:pStyle w:val="Normal"/>
        <w:framePr w:w="324" w:hAnchor="page" w:vAnchor="page" w:x="745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892" w:hAnchor="page" w:vAnchor="page" w:x="1196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Irina Chirkova, Head of Brand Management. Ms. Chirkova is responsible for planning, developing, and directing marketing efforts,</w:t>
      </w:r>
    </w:p>
    <w:p>
      <w:pPr>
        <w:pStyle w:val="Normal"/>
        <w:framePr w:w="3354" w:hAnchor="page" w:vAnchor="page" w:x="1196" w:y="97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money remittance market.</w:t>
      </w:r>
    </w:p>
    <w:p>
      <w:pPr>
        <w:pStyle w:val="Normal"/>
        <w:framePr w:w="324" w:hAnchor="page" w:vAnchor="page" w:x="745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918" w:hAnchor="page" w:vAnchor="page" w:x="1196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Georgy Sorokin, Head of Sales, Money Remittance. Mr. Sorokin is responsible for increasing the number of merchants and services</w:t>
      </w:r>
    </w:p>
    <w:p>
      <w:pPr>
        <w:pStyle w:val="Normal"/>
        <w:framePr w:w="4000" w:hAnchor="page" w:vAnchor="page" w:x="1196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in the finance services market.</w:t>
      </w:r>
    </w:p>
    <w:p>
      <w:pPr>
        <w:pStyle w:val="Normal"/>
        <w:framePr w:w="324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500" w:hAnchor="page" w:vAnchor="page" w:x="1196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Andrey Bardyshev, Head of Sales, Financial services. Mr. Bardyshev is responsible for increasing the number of merchants and</w:t>
      </w:r>
    </w:p>
    <w:p>
      <w:pPr>
        <w:pStyle w:val="Normal"/>
        <w:framePr w:w="4874" w:hAnchor="page" w:vAnchor="page" w:x="1196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e-commerce, e-content and tourism markets.</w:t>
      </w:r>
    </w:p>
    <w:p>
      <w:pPr>
        <w:pStyle w:val="Normal"/>
        <w:framePr w:w="12842" w:hAnchor="page" w:vAnchor="page" w:x="1196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developing products and tools to facilitate cooperation with agents and merchants, in order to increase sales and profitability in</w:t>
      </w:r>
    </w:p>
    <w:p>
      <w:pPr>
        <w:pStyle w:val="Normal"/>
        <w:framePr w:w="324" w:hAnchor="page" w:vAnchor="page" w:x="745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091" w:hAnchor="page" w:vAnchor="page" w:x="1196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Alexey Dityatyev, Head of Sales and Trade Marketing, E-commerce. Mr. Dityatyev is responsible for defining market entry strategies</w:t>
      </w:r>
    </w:p>
    <w:p>
      <w:pPr>
        <w:pStyle w:val="Normal"/>
        <w:framePr w:w="1533" w:hAnchor="page" w:vAnchor="page" w:x="1196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market share.</w:t>
      </w:r>
    </w:p>
    <w:p>
      <w:pPr>
        <w:pStyle w:val="Normal"/>
        <w:framePr w:w="324" w:hAnchor="page" w:vAnchor="page" w:x="745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775" w:hAnchor="page" w:vAnchor="page" w:x="1196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Nataliya Zhelkova, Head of Sales, Basic Services. Ms. Zhelkova is responsible for increasing the number of services provided and</w:t>
      </w:r>
    </w:p>
    <w:p>
      <w:pPr>
        <w:pStyle w:val="Normal"/>
        <w:framePr w:w="324" w:hAnchor="page" w:vAnchor="page" w:x="745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378" w:hAnchor="page" w:vAnchor="page" w:x="1196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Gladko, Head of Advertising. Mr. Gladko is responsible for revenue generation through QIWI’s advertising efforts.</w:t>
      </w:r>
    </w:p>
    <w:p>
      <w:pPr>
        <w:pStyle w:val="Normal"/>
        <w:framePr w:w="4501" w:hAnchor="page" w:vAnchor="page" w:x="28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directly to the Head of Sales and Marketing:</w:t>
      </w:r>
    </w:p>
    <w:p>
      <w:pPr>
        <w:pStyle w:val="Normal"/>
        <w:framePr w:w="13612" w:hAnchor="page" w:vAnchor="page" w:x="28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approve the Sales and Marketing function organization by April 2015. As of the date of this response letter the following individuals report</w:t>
      </w:r>
    </w:p>
    <w:p>
      <w:pPr>
        <w:pStyle w:val="Normal"/>
        <w:framePr w:w="13224" w:hAnchor="page" w:vAnchor="page" w:x="747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organizational chart of the Sales and Marketing function is still being developed and the Company expects to finalize and formally</w:t>
      </w:r>
    </w:p>
    <w:p>
      <w:pPr>
        <w:pStyle w:val="Normal"/>
        <w:framePr w:w="1281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300" w:hAnchor="page" w:vAnchor="page" w:x="17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Marketing.</w:t>
      </w:r>
    </w:p>
    <w:p>
      <w:pPr>
        <w:pStyle w:val="Normal"/>
        <w:framePr w:w="324" w:hAnchor="page" w:vAnchor="page" w:x="133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653" w:hAnchor="page" w:vAnchor="page" w:x="178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Provide a list of the names, titles and responsibilities of the individuals who are direct reports to the Head of Sales and</w:t>
      </w:r>
    </w:p>
    <w:p>
      <w:pPr>
        <w:pStyle w:val="Normal"/>
        <w:framePr w:w="4801" w:hAnchor="page" w:vAnchor="page" w:x="280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Product Development, who reports to the CEO.</w:t>
      </w:r>
    </w:p>
    <w:p>
      <w:pPr>
        <w:pStyle w:val="Normal"/>
        <w:framePr w:w="13531" w:hAnchor="page" w:vAnchor="page" w:x="747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inform the Staff that the project coordinators do not report to the Head of Sales and Marketing. They report to the Head of</w:t>
      </w:r>
    </w:p>
    <w:p>
      <w:pPr>
        <w:pStyle w:val="Normal"/>
        <w:framePr w:w="5357" w:hAnchor="page" w:vAnchor="page" w:x="747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refer the Staff to our response above.</w:t>
      </w:r>
    </w:p>
    <w:p>
      <w:pPr>
        <w:pStyle w:val="Normal"/>
        <w:framePr w:w="1281" w:hAnchor="page" w:vAnchor="page" w:x="280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4212" w:hAnchor="page" w:vAnchor="page" w:x="1781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of Sales and Marketing on these projects.</w:t>
      </w:r>
    </w:p>
    <w:p>
      <w:pPr>
        <w:pStyle w:val="Normal"/>
        <w:framePr w:w="12413" w:hAnchor="page" w:vAnchor="page" w:x="1781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 cases when the Head of Sales and Marketing manages a project. Tell us whether the project coordinators report to the Head</w:t>
      </w:r>
    </w:p>
    <w:p>
      <w:pPr>
        <w:pStyle w:val="Normal"/>
        <w:framePr w:w="12286" w:hAnchor="page" w:vAnchor="page" w:x="1781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majority of the projects undertaken by the Group. Help us understand the role of the COO and the seven project coordinators</w:t>
      </w:r>
    </w:p>
    <w:p>
      <w:pPr>
        <w:pStyle w:val="Normal"/>
        <w:framePr w:w="324" w:hAnchor="page" w:vAnchor="page" w:x="133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392" w:hAnchor="page" w:vAnchor="page" w:x="178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understand that the Head of Sales and Marketing oversees the majority of the revenue generating activities and manages a</w:t>
      </w:r>
    </w:p>
    <w:p>
      <w:pPr>
        <w:pStyle w:val="Normal"/>
        <w:framePr w:w="914" w:hAnchor="page" w:vAnchor="page" w:x="280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Group.</w:t>
      </w:r>
    </w:p>
    <w:p>
      <w:pPr>
        <w:pStyle w:val="Normal"/>
        <w:framePr w:w="13845" w:hAnchor="page" w:vAnchor="page" w:x="280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November Letter and, in particular, the Head of Sales and Marketing who manages the majority of the revenue generating activities of the</w:t>
      </w:r>
    </w:p>
    <w:p>
      <w:pPr>
        <w:pStyle w:val="Normal"/>
        <w:framePr w:w="13995" w:hAnchor="page" w:vAnchor="page" w:x="280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performance expected from the project, are the responsibility of the various function heads identified in our response to Comment 1 set forth in</w:t>
      </w:r>
    </w:p>
    <w:p>
      <w:pPr>
        <w:pStyle w:val="Normal"/>
        <w:framePr w:w="12426" w:hAnchor="page" w:vAnchor="page" w:x="747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overall project management and execution, such as setting project targets, timing of the project, and achieving the targeted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6</w:t>
      </w:r>
    </w:p>
    <w:p>
      <w:pPr>
        <w:pStyle w:val="Normal"/>
        <w:framePr w:w="1887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February 4, 2015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pt;margin-top:1pt;z-index:-167770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1pt;z-index:-167770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2.5pt;z-index:-167770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597.75pt;margin-top:1pt;z-index:-167770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1pt;z-index:-167770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</w:p>
    <w:p>
      <w:pPr>
        <w:pStyle w:val="Normal"/>
        <w:framePr w:w="1847" w:hAnchor="page" w:vAnchor="page" w:x="1798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Natalia Starygna</w:t>
      </w:r>
    </w:p>
    <w:p>
      <w:pPr>
        <w:pStyle w:val="Normal"/>
        <w:framePr w:w="2146" w:hAnchor="page" w:vAnchor="page" w:x="1214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Ernst &amp; Young LLC</w:t>
      </w:r>
    </w:p>
    <w:p>
      <w:pPr>
        <w:pStyle w:val="Normal"/>
        <w:framePr w:w="1783" w:hAnchor="page" w:vAnchor="page" w:x="1214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Barinsky</w:t>
      </w:r>
    </w:p>
    <w:p>
      <w:pPr>
        <w:pStyle w:val="Normal"/>
        <w:framePr w:w="2220" w:hAnchor="page" w:vAnchor="page" w:x="1214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1710" w:hAnchor="page" w:vAnchor="page" w:x="1214" w:y="87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</w:t>
      </w:r>
    </w:p>
    <w:p>
      <w:pPr>
        <w:pStyle w:val="Normal"/>
        <w:framePr w:w="1127" w:hAnchor="page" w:vAnchor="page" w:x="747" w:y="8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1674" w:hAnchor="page" w:vAnchor="page" w:x="1214" w:y="7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Robyn Manuel</w:t>
      </w:r>
    </w:p>
    <w:p>
      <w:pPr>
        <w:pStyle w:val="Normal"/>
        <w:framePr w:w="2023" w:hAnchor="page" w:vAnchor="page" w:x="1214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Yolanda Guobadia</w:t>
      </w:r>
    </w:p>
    <w:p>
      <w:pPr>
        <w:pStyle w:val="Normal"/>
        <w:framePr w:w="520" w:hAnchor="page" w:vAnchor="page" w:x="280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cc:</w:t>
      </w:r>
    </w:p>
    <w:p>
      <w:pPr>
        <w:pStyle w:val="Normal"/>
        <w:framePr w:w="3874" w:hAnchor="page" w:vAnchor="page" w:x="745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1665" w:hAnchor="page" w:vAnchor="page" w:x="7291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Pranav Trivedi</w:t>
      </w:r>
    </w:p>
    <w:p>
      <w:pPr>
        <w:pStyle w:val="Normal"/>
        <w:framePr w:w="1952" w:hAnchor="page" w:vAnchor="page" w:x="7291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Pranav Trivedi</w:t>
      </w:r>
    </w:p>
    <w:p>
      <w:pPr>
        <w:pStyle w:val="Normal"/>
        <w:framePr w:w="1191" w:hAnchor="page" w:vAnchor="page" w:x="7291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Sincerely,</w:t>
      </w:r>
    </w:p>
    <w:p>
      <w:pPr>
        <w:pStyle w:val="Normal"/>
        <w:framePr w:w="14135" w:hAnchor="page" w:vAnchor="page" w:x="280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Kingdom, facsimile +44 207 072 7026. If you would like to discuss any aspect of the Company’s response, please call me on +44 207 519 7026.</w:t>
      </w:r>
    </w:p>
    <w:p>
      <w:pPr>
        <w:pStyle w:val="Normal"/>
        <w:framePr w:w="12916" w:hAnchor="page" w:vAnchor="page" w:x="747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Please send a copy of any additional correspondence to the undersigned at 40 Bank Street, Canary Wharf, London E14 5DS, United</w:t>
      </w:r>
    </w:p>
    <w:p>
      <w:pPr>
        <w:pStyle w:val="Normal"/>
        <w:framePr w:w="1080" w:hAnchor="page" w:vAnchor="page" w:x="5770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 * * * *</w:t>
      </w:r>
    </w:p>
    <w:p>
      <w:pPr>
        <w:pStyle w:val="Normal"/>
        <w:framePr w:w="7108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business activities and the economic environments in which it operates.</w:t>
      </w:r>
    </w:p>
    <w:p>
      <w:pPr>
        <w:pStyle w:val="Normal"/>
        <w:framePr w:w="13750" w:hAnchor="page" w:vAnchor="page" w:x="280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to one operating segment better enables users of its financial statements to evaluate the nature and financial effects of the Company’s</w:t>
      </w:r>
    </w:p>
    <w:p>
      <w:pPr>
        <w:pStyle w:val="Normal"/>
        <w:framePr w:w="13813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top-up channel for QIWI Wallet. As previously described in our response to Comment 1 of the October Letter, the Company believes that the</w:t>
      </w:r>
    </w:p>
    <w:p>
      <w:pPr>
        <w:pStyle w:val="Normal"/>
        <w:framePr w:w="13930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segments no longer reflected how the Group operated since (as described in the November Letter) QIWI Distribution has effectively become a</w:t>
      </w:r>
    </w:p>
    <w:p>
      <w:pPr>
        <w:pStyle w:val="Normal"/>
        <w:framePr w:w="13420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 segment. The key reason for consolidating its previous financial reporting segments was because, in the Company’s view, these</w:t>
      </w:r>
    </w:p>
    <w:p>
      <w:pPr>
        <w:pStyle w:val="Normal"/>
        <w:framePr w:w="14129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revised its financial reporting structure of presenting three segments (QIWI Wallet, QIWI Distribution and Corporate and Other) to one financial</w:t>
      </w:r>
    </w:p>
    <w:p>
      <w:pPr>
        <w:pStyle w:val="Normal"/>
        <w:framePr w:w="13104" w:hAnchor="page" w:vAnchor="page" w:x="747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Supplementally, the Company would like to inform the Staff that, as previously reported, beginning on January 1, 2014, the Company</w:t>
      </w:r>
    </w:p>
    <w:p>
      <w:pPr>
        <w:pStyle w:val="Normal"/>
        <w:framePr w:w="7328" w:hAnchor="page" w:vAnchor="page" w:x="747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Head of Sales and Marketing continues to report directly to the CEO.</w:t>
      </w:r>
    </w:p>
    <w:p>
      <w:pPr>
        <w:pStyle w:val="Normal"/>
        <w:framePr w:w="9582" w:hAnchor="page" w:vAnchor="page" w:x="1196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clients about new projects and services, and on supporting and improving the Group’s reputation.</w:t>
      </w:r>
    </w:p>
    <w:p>
      <w:pPr>
        <w:pStyle w:val="Normal"/>
        <w:framePr w:w="324" w:hAnchor="page" w:vAnchor="page" w:x="745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104" w:hAnchor="page" w:vAnchor="page" w:x="1196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Julia Mansurova, Head of Public Relations. Ms. Mansurova is responsible for communications with the media, focusing on informing</w:t>
      </w:r>
    </w:p>
    <w:p>
      <w:pPr>
        <w:pStyle w:val="Normal"/>
        <w:framePr w:w="4180" w:hAnchor="page" w:vAnchor="page" w:x="1196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consumer preferences and market trends.</w:t>
      </w:r>
    </w:p>
    <w:p>
      <w:pPr>
        <w:pStyle w:val="Normal"/>
        <w:framePr w:w="324" w:hAnchor="page" w:vAnchor="page" w:x="745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789" w:hAnchor="page" w:vAnchor="page" w:x="1196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Maria Buzhinskaya, Head of Marketing and Consumer Research. Ms. Buzhinskaya is responsible for providing research regarding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7</w:t>
      </w:r>
    </w:p>
    <w:p>
      <w:pPr>
        <w:pStyle w:val="Normal"/>
        <w:framePr w:w="1887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February 4, 2015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7pt;margin-top:1pt;z-index:-167770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1pt;z-index:-167770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2.5pt;z-index:-167770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597.75pt;margin-top:1pt;z-index:-167770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1pt;z-index:-167770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363.55pt;margin-top:336.55pt;z-index:-16777040;width:235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</w:p>
    <w:p>
      <w:pPr>
        <w:pStyle w:val="Normal"/>
        <w:framePr w:w="752" w:hAnchor="page" w:vAnchor="page" w:x="7291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476" w:hAnchor="page" w:vAnchor="page" w:x="7906" w:y="95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880" w:hAnchor="page" w:vAnchor="page" w:x="7291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</w:t>
      </w:r>
    </w:p>
    <w:p>
      <w:pPr>
        <w:pStyle w:val="Normal"/>
        <w:framePr w:w="2220" w:hAnchor="page" w:vAnchor="page" w:x="7906" w:y="9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507" w:hAnchor="page" w:vAnchor="page" w:x="7906" w:y="90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1153" w:hAnchor="page" w:vAnchor="page" w:x="7291" w:y="85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3667" w:hAnchor="page" w:vAnchor="page" w:x="715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laws of the United States.</w:t>
      </w:r>
    </w:p>
    <w:p>
      <w:pPr>
        <w:pStyle w:val="Normal"/>
        <w:framePr w:w="324" w:hAnchor="page" w:vAnchor="page" w:x="385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371" w:hAnchor="page" w:vAnchor="page" w:x="715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may not assert Staff comments as a defense in any proceeding initiated by the Commission or any person under the federal</w:t>
      </w:r>
    </w:p>
    <w:p>
      <w:pPr>
        <w:pStyle w:val="Normal"/>
        <w:framePr w:w="2627" w:hAnchor="page" w:vAnchor="page" w:x="715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 to the Filing; and</w:t>
      </w:r>
    </w:p>
    <w:p>
      <w:pPr>
        <w:pStyle w:val="Normal"/>
        <w:framePr w:w="324" w:hAnchor="page" w:vAnchor="page" w:x="385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048" w:hAnchor="page" w:vAnchor="page" w:x="715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Staff comments or changes to disclosure in response to Staff comments do not foreclose the Commission from taking any action with</w:t>
      </w:r>
    </w:p>
    <w:p>
      <w:pPr>
        <w:pStyle w:val="Normal"/>
        <w:framePr w:w="324" w:hAnchor="page" w:vAnchor="page" w:x="385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828" w:hAnchor="page" w:vAnchor="page" w:x="715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is responsible for the adequacy and accuracy of the disclosure in the Filing;</w:t>
      </w:r>
    </w:p>
    <w:p>
      <w:pPr>
        <w:pStyle w:val="Normal"/>
        <w:framePr w:w="12508" w:hAnchor="page" w:vAnchor="page" w:x="280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fiscal year ended December 31, 2013 (the “Filing”) of QIWI plc (the “Company”), the Company hereby acknowledges that:</w:t>
      </w:r>
    </w:p>
    <w:p>
      <w:pPr>
        <w:pStyle w:val="Normal"/>
        <w:framePr w:w="14104" w:hAnchor="page" w:vAnchor="page" w:x="280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 January 21, 2015, in response to the Company’s letter to the Commission dated November 19, 2014, in connection with the Form 20-F for</w:t>
      </w:r>
    </w:p>
    <w:p>
      <w:pPr>
        <w:pStyle w:val="Normal"/>
        <w:framePr w:w="13648" w:hAnchor="page" w:vAnchor="page" w:x="747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connection with the comments of the Staff of the Securities and Exchange Commission (the “Commission”), set forth in the Staff’s letter</w:t>
      </w:r>
    </w:p>
    <w:p>
      <w:pPr>
        <w:pStyle w:val="Normal"/>
        <w:framePr w:w="2256" w:hAnchor="page" w:vAnchor="page" w:x="747" w:y="5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Dear Mr. Thompson:</w:t>
      </w:r>
    </w:p>
    <w:p>
      <w:pPr>
        <w:pStyle w:val="Normal"/>
        <w:framePr w:w="1887" w:hAnchor="page" w:vAnchor="page" w:x="1214" w:y="50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 No. 1-35893</w:t>
      </w:r>
    </w:p>
    <w:p>
      <w:pPr>
        <w:pStyle w:val="Normal"/>
        <w:framePr w:w="3714" w:hAnchor="page" w:vAnchor="page" w:x="1214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 dated November 19, 2015</w:t>
      </w:r>
    </w:p>
    <w:p>
      <w:pPr>
        <w:pStyle w:val="Normal"/>
        <w:framePr w:w="2321" w:hAnchor="page" w:vAnchor="page" w:x="1214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March 12, 2014</w:t>
      </w:r>
    </w:p>
    <w:p>
      <w:pPr>
        <w:pStyle w:val="Normal"/>
        <w:framePr w:w="5724" w:hAnchor="page" w:vAnchor="page" w:x="1214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20-F for the Fiscal Year Ended December 31, 2013</w:t>
      </w:r>
    </w:p>
    <w:p>
      <w:pPr>
        <w:pStyle w:val="Normal"/>
        <w:framePr w:w="1712" w:hAnchor="page" w:vAnchor="page" w:x="745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Re:    QIWI plc</w:t>
      </w:r>
    </w:p>
    <w:p>
      <w:pPr>
        <w:pStyle w:val="Normal"/>
        <w:framePr w:w="6019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Attention: William H. Thompson, Accounting Branch Chief</w:t>
      </w:r>
    </w:p>
    <w:p>
      <w:pPr>
        <w:pStyle w:val="Normal"/>
        <w:framePr w:w="900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U.S.A.</w:t>
      </w:r>
    </w:p>
    <w:p>
      <w:pPr>
        <w:pStyle w:val="Normal"/>
        <w:framePr w:w="2615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1854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100 F Street, NE</w:t>
      </w:r>
    </w:p>
    <w:p>
      <w:pPr>
        <w:pStyle w:val="Normal"/>
        <w:framePr w:w="3368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Division of Corporation Finance</w:t>
      </w:r>
    </w:p>
    <w:p>
      <w:pPr>
        <w:pStyle w:val="Normal"/>
        <w:framePr w:w="3874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1887" w:hAnchor="page" w:vAnchor="page" w:x="8704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February 4, 2015</w:t>
      </w:r>
    </w:p>
    <w:p>
      <w:pPr>
        <w:pStyle w:val="Normal"/>
        <w:framePr w:w="2521" w:hAnchor="page" w:vAnchor="page" w:x="517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Russian Federation</w:t>
      </w:r>
    </w:p>
    <w:p>
      <w:pPr>
        <w:pStyle w:val="Normal"/>
        <w:framePr w:w="1883" w:hAnchor="page" w:vAnchor="page" w:x="5436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117648</w:t>
      </w:r>
    </w:p>
    <w:p>
      <w:pPr>
        <w:pStyle w:val="Normal"/>
        <w:framePr w:w="5141" w:hAnchor="page" w:vAnchor="page" w:x="4078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Severnoe Chertanovo Microdistrict, 1A, building 1</w:t>
      </w:r>
    </w:p>
    <w:p>
      <w:pPr>
        <w:pStyle w:val="Normal"/>
        <w:framePr w:w="1300" w:hAnchor="page" w:vAnchor="page" w:x="5678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pt;margin-top:1pt;z-index:-16777036;width:598pt;height:50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1pt;z-index:-167770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2.5pt;z-index:-167770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7.75pt;margin-top:1pt;z-index:-167770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1pt;z-index:-167770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394.3pt;margin-top:464.9pt;z-index:-16777016;width:204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9.7pt;margin-top:260.7pt;z-index:-16777012;width:7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</w:p>
    <w:sectPr>
      <w:pgSz w:w="12240" w:h="20160"/>
      <w:pgMar w:top="400" w:right="400" w:bottom="400" w:left="400" w:header="720" w:footer="720"/>
      <w:pgNumType w:start="8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520054c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styles.xml" Type="http://schemas.openxmlformats.org/officeDocument/2006/relationships/styles"/><Relationship Id="rId53" Target="fontTable.xml" Type="http://schemas.openxmlformats.org/officeDocument/2006/relationships/fontTable"/><Relationship Id="rId54" Target="settings.xml" Type="http://schemas.openxmlformats.org/officeDocument/2006/relationships/settings"/><Relationship Id="rId55" Target="webSettings.xml" Type="http://schemas.openxmlformats.org/officeDocument/2006/relationships/webSettings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8</Pages>
  <Words>3264</Words>
  <Characters>17932</Characters>
  <Application>e-iceblue</Application>
  <DocSecurity>0</DocSecurity>
  <Lines>326</Lines>
  <Paragraphs>326</Paragraphs>
  <ScaleCrop>false</ScaleCrop>
  <Company>e-iceblue</Company>
  <LinksUpToDate>false</LinksUpToDate>
  <CharactersWithSpaces>20869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2021-11-30T21:30:54Z</dcterms:created>
  <dc:creator>root</dc:creator>
  <cp:lastModifiedBy>root</cp:lastModifiedBy>
  <dcterms:modified xsi:type="dcterms:W3CDTF">2021-11-30T21:30:54Z</dcterms:modified>
  <cp:revision>1</cp:revision>
</cp:coreProperties>
</file>