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34E2" w:rsidRDefault="009534E2">
      <w:pPr>
        <w:pBdr>
          <w:top w:val="single" w:color="auto" w:sz="24" w:space="1"/>
          <w:bottom w:val="single" w:color="auto" w:sz="8" w:space="1"/>
        </w:pBdr>
        <w:jc w:val="center"/>
        <w:rPr>
          <w:rFonts w:ascii="Times New Roman" w:hAnsi="Times New Roman" w:eastAsia="Times New Roman" w:cs="Times New Roman"/>
          <w:b/>
          <w:bCs/>
          <w:sz w:val="2"/>
          <w:szCs w:val="36"/>
          <w:lang w:eastAsia="ru-RU"/>
        </w:rPr>
      </w:pPr>
    </w:p>
    <w:p w:rsidR="009534E2" w:rsidRDefault="009534E2">
      <w:pPr>
        <w:pBdr>
          <w:top w:val="single" w:color="auto" w:sz="24" w:space="1"/>
          <w:bottom w:val="single" w:color="auto" w:sz="8" w:space="1"/>
        </w:pBdr>
        <w:jc w:val="center"/>
        <w:rPr>
          <w:rFonts w:ascii="Times New Roman" w:hAnsi="Times New Roman" w:eastAsia="Times New Roman" w:cs="Times New Roman"/>
          <w:b/>
          <w:bCs/>
          <w:sz w:val="2"/>
          <w:szCs w:val="2"/>
          <w:lang w:eastAsia="ru-RU"/>
        </w:rPr>
      </w:pPr>
    </w:p>
    <w:p w:rsidR="009534E2" w:rsidRDefault="009534E2">
      <w:pPr>
        <w:jc w:val="center"/>
        <w:rPr>
          <w:rFonts w:ascii="Times New Roman" w:hAnsi="Times New Roman" w:eastAsia="Times New Roman" w:cs="Times New Roman"/>
          <w:b/>
          <w:bCs/>
          <w:sz w:val="8"/>
          <w:szCs w:val="8"/>
          <w:lang w:eastAsia="ru-RU"/>
        </w:rPr>
      </w:pPr>
    </w:p>
    <w:p w:rsidR="009534E2" w:rsidRDefault="003369EB">
      <w:pPr>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34"/>
          <w:szCs w:val="34"/>
          <w:lang w:eastAsia="ru-RU"/>
        </w:rPr>
        <w:t>UNITED STATES</w:t>
      </w:r>
    </w:p>
    <w:p w:rsidR="009534E2" w:rsidRDefault="003369EB">
      <w:pPr>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34"/>
          <w:szCs w:val="34"/>
          <w:lang w:eastAsia="ru-RU"/>
        </w:rPr>
        <w:t>SECURITIES AND EXCHANGE COMMISSION</w:t>
      </w:r>
    </w:p>
    <w:p w:rsidR="009534E2" w:rsidRDefault="003369EB">
      <w:pPr>
        <w:spacing w:after="100"/>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22"/>
          <w:szCs w:val="22"/>
          <w:lang w:eastAsia="ru-RU"/>
        </w:rPr>
        <w:t>Washington, D.C. 20549</w:t>
      </w:r>
    </w:p>
    <w:p w:rsidR="009534E2" w:rsidRDefault="00EC0AE1">
      <w:pPr>
        <w:jc w:val="center"/>
        <w:rPr>
          <w:rFonts w:ascii="Times New Roman" w:hAnsi="Times New Roman" w:eastAsia="Times New Roman" w:cs="Times New Roman"/>
          <w:sz w:val="8"/>
          <w:szCs w:val="8"/>
          <w:lang w:eastAsia="ru-RU"/>
        </w:rPr>
      </w:pPr>
      <w:r>
        <w:rPr>
          <w:lang w:val="ru-RU" w:eastAsia="ru-RU"/>
        </w:rPr>
        <w:pict w14:anchorId="348A1208">
          <v:rect id="_x0000_i1025" style="width:135pt;height:1pt;mso-position-horizontal:absolute" o:hr="t" o:hrstd="t" o:hrnoshade="t" o:hrpct="250" o:hralign="center" fillcolor="black" stroked="f"/>
        </w:pict>
      </w:r>
    </w:p>
    <w:p w:rsidR="009534E2" w:rsidRDefault="003369EB">
      <w:pPr>
        <w:spacing w:after="100"/>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34"/>
          <w:szCs w:val="34"/>
          <w:lang w:eastAsia="ru-RU"/>
        </w:rPr>
        <w:t xml:space="preserve">Form </w:t>
      </w:r>
      <w:bookmarkStart w:name="_743dfea8_8b86_4fab_aca5_e422c5f41a38" w:id="0"/>
      <w:r>
        <w:rPr>
          <w:rFonts w:ascii="Times New Roman" w:hAnsi="Times New Roman" w:eastAsia="Times New Roman" w:cs="Times New Roman"/>
          <w:b/>
          <w:bCs/>
          <w:sz w:val="34"/>
          <w:szCs w:val="34"/>
          <w:lang w:eastAsia="ru-RU"/>
        </w:rPr>
        <w:t>20-F</w:t>
      </w:r>
      <w:bookmarkEnd w:id="0"/>
    </w:p>
    <w:p w:rsidR="009534E2" w:rsidRDefault="00EC0AE1">
      <w:pPr>
        <w:rPr>
          <w:rFonts w:ascii="Times New Roman" w:hAnsi="Times New Roman" w:eastAsia="Times New Roman" w:cs="Times New Roman"/>
          <w:sz w:val="8"/>
          <w:szCs w:val="8"/>
          <w:lang w:eastAsia="ru-RU"/>
        </w:rPr>
      </w:pPr>
      <w:r>
        <w:rPr>
          <w:lang w:val="ru-RU" w:eastAsia="ru-RU"/>
        </w:rPr>
        <w:pict w14:anchorId="2FE28836">
          <v:rect id="_x0000_i1026" style="width:135pt;height:1pt;mso-position-horizontal:absolute" o:hr="t" o:hrstd="t" o:hrnoshade="t" o:hrpct="250" o:hralign="center" fillcolor="black" stroked="f"/>
        </w:pict>
      </w:r>
    </w:p>
    <w:p w:rsidR="009534E2" w:rsidRDefault="003369EB">
      <w:pPr>
        <w:spacing w:after="100"/>
        <w:ind w:left="360" w:hanging="360"/>
        <w:rPr>
          <w:rFonts w:ascii="Times New Roman" w:hAnsi="Times New Roman" w:eastAsia="Times New Roman" w:cs="Times New Roman"/>
          <w:sz w:val="22"/>
          <w:szCs w:val="22"/>
          <w:lang w:eastAsia="ru-RU"/>
        </w:rPr>
      </w:pPr>
      <w:bookmarkStart w:name="_7b1e0374_39bf_47f0_a704_763be34dcd89" w:id="1"/>
      <w:r>
        <w:rPr>
          <w:rFonts w:ascii="Segoe UI Symbol" w:hAnsi="Segoe UI Symbol" w:eastAsia="Times New Roman" w:cs="Wingdings"/>
          <w:sz w:val="22"/>
          <w:szCs w:val="22"/>
          <w:lang w:eastAsia="ru-RU"/>
        </w:rPr>
        <w:t>☐</w:t>
      </w:r>
      <w:bookmarkEnd w:id="1"/>
      <w:r>
        <w:rPr>
          <w:rFonts w:ascii="Times New Roman" w:hAnsi="Times New Roman" w:eastAsia="Times New Roman" w:cs="Times New Roman"/>
          <w:sz w:val="22"/>
          <w:szCs w:val="22"/>
          <w:lang w:val="ru-RU" w:eastAsia="ru-RU"/>
        </w:rPr>
        <w:tab/>
      </w:r>
      <w:r>
        <w:rPr>
          <w:rFonts w:ascii="Times New Roman" w:hAnsi="Times New Roman" w:eastAsia="Times New Roman" w:cs="Times New Roman"/>
          <w:b/>
          <w:bCs/>
          <w:sz w:val="22"/>
          <w:szCs w:val="22"/>
          <w:lang w:eastAsia="ru-RU"/>
        </w:rPr>
        <w:t>REGISTRATION STATEMENT PURSUANT TO SECTION 12(b) OR (g) OF THE SECURITIES EXCHANGE ACT OF 1934</w:t>
      </w:r>
    </w:p>
    <w:p w:rsidR="009534E2" w:rsidRDefault="003369EB">
      <w:pPr>
        <w:spacing w:after="100"/>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18"/>
          <w:szCs w:val="18"/>
          <w:lang w:val="ru-RU" w:eastAsia="ru-RU"/>
        </w:rPr>
        <w:t>Or</w:t>
      </w:r>
    </w:p>
    <w:p w:rsidR="009534E2" w:rsidRDefault="003369EB">
      <w:pPr>
        <w:spacing w:after="100"/>
        <w:ind w:left="360" w:hanging="360"/>
        <w:rPr>
          <w:rFonts w:ascii="Times New Roman" w:hAnsi="Times New Roman" w:eastAsia="Times New Roman" w:cs="Times New Roman"/>
          <w:sz w:val="22"/>
          <w:szCs w:val="22"/>
          <w:lang w:eastAsia="ru-RU"/>
        </w:rPr>
      </w:pPr>
      <w:bookmarkStart w:name="_d1f313a6_89eb_49e6_98d2_55e25d608ac3" w:id="2"/>
      <w:r>
        <w:rPr>
          <w:rFonts w:ascii="Segoe UI Symbol" w:hAnsi="Segoe UI Symbol" w:eastAsia="Times New Roman" w:cs="Wingdings"/>
          <w:sz w:val="22"/>
          <w:szCs w:val="22"/>
          <w:lang w:eastAsia="ru-RU"/>
        </w:rPr>
        <w:t>☒</w:t>
      </w:r>
      <w:bookmarkEnd w:id="2"/>
      <w:r>
        <w:rPr>
          <w:rFonts w:ascii="Times New Roman" w:hAnsi="Times New Roman" w:eastAsia="Times New Roman" w:cs="Times New Roman"/>
          <w:sz w:val="22"/>
          <w:szCs w:val="22"/>
          <w:lang w:val="ru-RU" w:eastAsia="ru-RU"/>
        </w:rPr>
        <w:tab/>
      </w:r>
      <w:r>
        <w:rPr>
          <w:rFonts w:ascii="Times New Roman" w:hAnsi="Times New Roman" w:eastAsia="Times New Roman" w:cs="Times New Roman"/>
          <w:b/>
          <w:bCs/>
          <w:sz w:val="22"/>
          <w:szCs w:val="22"/>
          <w:lang w:eastAsia="ru-RU"/>
        </w:rPr>
        <w:t>ANNUAL REPORT PURSUANT TO SECTION 13 OR 15(d) OF THE SECURITIES EXCHANGE ACT OF 1934</w:t>
      </w:r>
    </w:p>
    <w:p w:rsidR="009534E2" w:rsidRDefault="003369EB">
      <w:pPr>
        <w:spacing w:after="100"/>
        <w:jc w:val="center"/>
        <w:rPr>
          <w:rFonts w:ascii="Times New Roman" w:hAnsi="Times New Roman" w:eastAsia="Times New Roman" w:cs="Times New Roman"/>
          <w:b/>
          <w:bCs/>
          <w:sz w:val="22"/>
          <w:szCs w:val="22"/>
          <w:lang w:eastAsia="ru-RU"/>
        </w:rPr>
      </w:pPr>
      <w:r>
        <w:rPr>
          <w:rFonts w:ascii="Times New Roman" w:hAnsi="Times New Roman" w:eastAsia="Times New Roman" w:cs="Times New Roman"/>
          <w:b/>
          <w:bCs/>
          <w:sz w:val="18"/>
          <w:szCs w:val="18"/>
          <w:lang w:eastAsia="ru-RU"/>
        </w:rPr>
        <w:t xml:space="preserve">For the fiscal year ended </w:t>
      </w:r>
      <w:bookmarkStart w:name="_316ab825_9074_4ba7_811a_f7a7e96db27a" w:id="3"/>
      <w:r>
        <w:rPr>
          <w:rFonts w:ascii="Times New Roman" w:hAnsi="Times New Roman" w:eastAsia="Times New Roman" w:cs="Times New Roman"/>
          <w:b/>
          <w:bCs/>
          <w:sz w:val="18"/>
          <w:szCs w:val="18"/>
          <w:lang w:eastAsia="ru-RU"/>
        </w:rPr>
        <w:t>December 31, 2022</w:t>
      </w:r>
      <w:bookmarkEnd w:id="3"/>
    </w:p>
    <w:p w:rsidR="009534E2" w:rsidRDefault="003369EB">
      <w:pPr>
        <w:spacing w:after="100"/>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18"/>
          <w:szCs w:val="18"/>
          <w:lang w:val="ru-RU" w:eastAsia="ru-RU"/>
        </w:rPr>
        <w:t>Or</w:t>
      </w:r>
    </w:p>
    <w:p w:rsidR="009534E2" w:rsidRDefault="003369EB">
      <w:pPr>
        <w:tabs>
          <w:tab w:val="left" w:pos="479"/>
        </w:tabs>
        <w:spacing w:after="100"/>
        <w:ind w:left="360" w:hanging="360"/>
        <w:rPr>
          <w:rFonts w:ascii="Times New Roman" w:hAnsi="Times New Roman" w:eastAsia="Times New Roman" w:cs="Times New Roman"/>
          <w:sz w:val="22"/>
          <w:szCs w:val="22"/>
          <w:lang w:eastAsia="ru-RU"/>
        </w:rPr>
      </w:pPr>
      <w:bookmarkStart w:name="_1a71483f_9f4e_4b6c_abb5_50512499109c" w:id="4"/>
      <w:r>
        <w:rPr>
          <w:rFonts w:ascii="Segoe UI Symbol" w:hAnsi="Segoe UI Symbol" w:eastAsia="Times New Roman" w:cs="Wingdings"/>
          <w:sz w:val="22"/>
          <w:szCs w:val="22"/>
          <w:lang w:eastAsia="ru-RU"/>
        </w:rPr>
        <w:t>☐</w:t>
      </w:r>
      <w:bookmarkEnd w:id="4"/>
      <w:r>
        <w:rPr>
          <w:rFonts w:ascii="Times New Roman" w:hAnsi="Times New Roman" w:eastAsia="Times New Roman" w:cs="Times New Roman"/>
          <w:sz w:val="22"/>
          <w:szCs w:val="22"/>
          <w:lang w:val="ru-RU" w:eastAsia="ru-RU"/>
        </w:rPr>
        <w:tab/>
      </w:r>
      <w:r>
        <w:rPr>
          <w:rFonts w:ascii="Times New Roman" w:hAnsi="Times New Roman" w:eastAsia="Times New Roman" w:cs="Times New Roman"/>
          <w:b/>
          <w:bCs/>
          <w:sz w:val="22"/>
          <w:szCs w:val="22"/>
          <w:lang w:eastAsia="ru-RU"/>
        </w:rPr>
        <w:t>TRANSITION REPORT PURSUANT TO SECTION 13 OR 15(d) OF THE SECURITIES EXCHANGE ACT OF 1934</w:t>
      </w:r>
    </w:p>
    <w:p w:rsidR="009534E2" w:rsidRDefault="003369EB">
      <w:pPr>
        <w:spacing w:after="100"/>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18"/>
          <w:szCs w:val="18"/>
          <w:lang w:val="ru-RU" w:eastAsia="ru-RU"/>
        </w:rPr>
        <w:t>Or</w:t>
      </w:r>
    </w:p>
    <w:p w:rsidR="009534E2" w:rsidRDefault="003369EB">
      <w:pPr>
        <w:tabs>
          <w:tab w:val="left" w:pos="479"/>
        </w:tabs>
        <w:spacing w:after="100"/>
        <w:ind w:left="360" w:hanging="360"/>
        <w:rPr>
          <w:rFonts w:ascii="Times New Roman" w:hAnsi="Times New Roman" w:eastAsia="Times New Roman" w:cs="Times New Roman"/>
          <w:sz w:val="22"/>
          <w:szCs w:val="22"/>
          <w:lang w:eastAsia="ru-RU"/>
        </w:rPr>
      </w:pPr>
      <w:bookmarkStart w:name="_344d6201_9f42_458b_b15a_587d5e39e10d" w:id="5"/>
      <w:r>
        <w:rPr>
          <w:rFonts w:ascii="Segoe UI Symbol" w:hAnsi="Segoe UI Symbol" w:eastAsia="Times New Roman" w:cs="Wingdings"/>
          <w:sz w:val="22"/>
          <w:szCs w:val="22"/>
          <w:lang w:eastAsia="ru-RU"/>
        </w:rPr>
        <w:t>☐</w:t>
      </w:r>
      <w:bookmarkEnd w:id="5"/>
      <w:r>
        <w:rPr>
          <w:rFonts w:ascii="Times New Roman" w:hAnsi="Times New Roman" w:eastAsia="Times New Roman" w:cs="Times New Roman"/>
          <w:sz w:val="22"/>
          <w:szCs w:val="22"/>
          <w:lang w:val="ru-RU" w:eastAsia="ru-RU"/>
        </w:rPr>
        <w:tab/>
      </w:r>
      <w:r>
        <w:rPr>
          <w:rFonts w:ascii="Times New Roman" w:hAnsi="Times New Roman" w:eastAsia="Times New Roman" w:cs="Times New Roman"/>
          <w:b/>
          <w:bCs/>
          <w:sz w:val="22"/>
          <w:szCs w:val="22"/>
          <w:lang w:eastAsia="ru-RU"/>
        </w:rPr>
        <w:t>SHELL COMPANY REPORT PURSUANT TO SECTION 13 OR 15(d) OF THE SECURITIES EXCHANGE ACT OF 1934</w:t>
      </w:r>
    </w:p>
    <w:p w:rsidR="009534E2" w:rsidRDefault="003369EB">
      <w:pPr>
        <w:spacing w:after="100"/>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18"/>
          <w:szCs w:val="18"/>
          <w:lang w:eastAsia="ru-RU"/>
        </w:rPr>
        <w:t xml:space="preserve">Commission file number: </w:t>
      </w:r>
      <w:bookmarkStart w:name="_a75288ca_015f_46a9_9dfe_ab818e3fb290" w:id="6"/>
      <w:r>
        <w:rPr>
          <w:rFonts w:ascii="Times New Roman" w:hAnsi="Times New Roman" w:eastAsia="Times New Roman" w:cs="Times New Roman"/>
          <w:b/>
          <w:bCs/>
          <w:sz w:val="18"/>
          <w:szCs w:val="18"/>
          <w:lang w:eastAsia="ru-RU"/>
        </w:rPr>
        <w:t>001-35893</w:t>
      </w:r>
      <w:bookmarkEnd w:id="6"/>
    </w:p>
    <w:p w:rsidR="009534E2" w:rsidRDefault="00EC0AE1">
      <w:pPr>
        <w:jc w:val="center"/>
        <w:rPr>
          <w:rFonts w:ascii="Times New Roman" w:hAnsi="Times New Roman" w:eastAsia="Times New Roman" w:cs="Times New Roman"/>
          <w:sz w:val="8"/>
          <w:szCs w:val="8"/>
          <w:lang w:eastAsia="ru-RU"/>
        </w:rPr>
      </w:pPr>
      <w:r>
        <w:rPr>
          <w:rFonts w:ascii="Times New Roman" w:hAnsi="Times New Roman" w:eastAsia="Times New Roman" w:cs="Times New Roman"/>
          <w:sz w:val="8"/>
          <w:szCs w:val="8"/>
          <w:lang w:eastAsia="ru-RU"/>
        </w:rPr>
        <w:pict w14:anchorId="20904826">
          <v:rect id="_x0000_i1027" style="width:135pt;height:1pt" o:hr="t" o:hrstd="t" o:hrnoshade="t" o:hrpct="250" o:hralign="center" fillcolor="black" stroked="f"/>
        </w:pict>
      </w:r>
    </w:p>
    <w:p w:rsidR="009534E2" w:rsidRDefault="003369EB">
      <w:pPr>
        <w:jc w:val="center"/>
        <w:rPr>
          <w:rFonts w:ascii="Times New Roman" w:hAnsi="Times New Roman" w:eastAsia="Times New Roman" w:cs="Times New Roman"/>
          <w:sz w:val="22"/>
          <w:szCs w:val="22"/>
          <w:lang w:eastAsia="ru-RU"/>
        </w:rPr>
      </w:pPr>
      <w:bookmarkStart w:name="_8f11b4b0_92fd_4c6c_94a7_4713d397d208" w:id="7"/>
      <w:r>
        <w:rPr>
          <w:rFonts w:ascii="Times New Roman" w:hAnsi="Times New Roman" w:eastAsia="Times New Roman" w:cs="Times New Roman"/>
          <w:b/>
          <w:bCs/>
          <w:sz w:val="46"/>
          <w:szCs w:val="46"/>
          <w:lang w:eastAsia="ru-RU"/>
        </w:rPr>
        <w:t>QIWI PLC</w:t>
      </w:r>
    </w:p>
    <w:bookmarkEnd w:id="7"/>
    <w:p w:rsidR="009534E2" w:rsidRDefault="003369EB">
      <w:pPr>
        <w:spacing w:after="100"/>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18"/>
          <w:szCs w:val="18"/>
          <w:lang w:eastAsia="ru-RU"/>
        </w:rPr>
        <w:t>(Exact name of Registrant as specified in its charter)</w:t>
      </w:r>
    </w:p>
    <w:p w:rsidR="009534E2" w:rsidRDefault="00EC0AE1">
      <w:pPr>
        <w:jc w:val="center"/>
        <w:rPr>
          <w:rFonts w:ascii="Times New Roman" w:hAnsi="Times New Roman" w:eastAsia="Times New Roman" w:cs="Times New Roman"/>
          <w:sz w:val="8"/>
          <w:szCs w:val="8"/>
          <w:lang w:eastAsia="ru-RU"/>
        </w:rPr>
      </w:pPr>
      <w:r>
        <w:rPr>
          <w:rFonts w:ascii="Times New Roman" w:hAnsi="Times New Roman" w:eastAsia="Times New Roman" w:cs="Times New Roman"/>
          <w:sz w:val="8"/>
          <w:szCs w:val="8"/>
          <w:lang w:eastAsia="ru-RU"/>
        </w:rPr>
        <w:pict w14:anchorId="5A2CAD0C">
          <v:rect id="_x0000_i1028" style="width:135pt;height:.5pt" o:hr="t" o:hrstd="t" o:hrnoshade="t" o:hrpct="250" o:hralign="center" fillcolor="black" stroked="f"/>
        </w:pict>
      </w:r>
    </w:p>
    <w:p w:rsidR="009534E2" w:rsidRDefault="003369EB">
      <w:pPr>
        <w:jc w:val="center"/>
        <w:rPr>
          <w:rFonts w:ascii="Times New Roman" w:hAnsi="Times New Roman" w:eastAsia="Times New Roman" w:cs="Times New Roman"/>
          <w:sz w:val="22"/>
          <w:szCs w:val="22"/>
          <w:lang w:eastAsia="ru-RU"/>
        </w:rPr>
      </w:pPr>
      <w:bookmarkStart w:name="_afa8e82c_cbd3_42fd_afca_998ad01f6861" w:id="8"/>
      <w:r>
        <w:rPr>
          <w:rFonts w:ascii="Times New Roman" w:hAnsi="Times New Roman" w:eastAsia="Times New Roman" w:cs="Times New Roman"/>
          <w:b/>
          <w:bCs/>
          <w:sz w:val="18"/>
          <w:szCs w:val="18"/>
          <w:lang w:eastAsia="ru-RU"/>
        </w:rPr>
        <w:t>Cyprus</w:t>
      </w:r>
      <w:bookmarkEnd w:id="8"/>
    </w:p>
    <w:p w:rsidR="009534E2" w:rsidRDefault="003369EB">
      <w:pPr>
        <w:spacing w:after="100"/>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14"/>
          <w:szCs w:val="14"/>
          <w:lang w:eastAsia="ru-RU"/>
        </w:rPr>
        <w:t>(Jurisdiction of incorporation or organization)</w:t>
      </w:r>
    </w:p>
    <w:p w:rsidR="009534E2" w:rsidRDefault="003369EB">
      <w:pPr>
        <w:jc w:val="center"/>
        <w:rPr>
          <w:rFonts w:ascii="Times New Roman" w:hAnsi="Times New Roman" w:eastAsia="Times New Roman" w:cs="Times New Roman"/>
          <w:sz w:val="22"/>
          <w:szCs w:val="22"/>
          <w:lang w:eastAsia="ru-RU"/>
        </w:rPr>
      </w:pPr>
      <w:bookmarkStart w:name="_8c01881a_7f3b_413d_b150_7af5c82658ae" w:id="9"/>
      <w:r>
        <w:rPr>
          <w:rFonts w:ascii="Times New Roman" w:hAnsi="Times New Roman" w:eastAsia="Times New Roman" w:cs="Times New Roman"/>
          <w:b/>
          <w:bCs/>
          <w:sz w:val="18"/>
          <w:szCs w:val="18"/>
          <w:lang w:eastAsia="ru-RU"/>
        </w:rPr>
        <w:t>Kennedy 12, Kennedy Business Centre</w:t>
      </w:r>
      <w:bookmarkEnd w:id="9"/>
      <w:r>
        <w:rPr>
          <w:rFonts w:ascii="Times New Roman" w:hAnsi="Times New Roman" w:eastAsia="Times New Roman" w:cs="Times New Roman"/>
          <w:b/>
          <w:bCs/>
          <w:sz w:val="18"/>
          <w:szCs w:val="18"/>
          <w:lang w:eastAsia="ru-RU"/>
        </w:rPr>
        <w:t xml:space="preserve">, </w:t>
      </w:r>
      <w:bookmarkStart w:name="_ec4b3390_5e8d_4019_bf78_a29acbd6c816" w:id="10"/>
      <w:r>
        <w:rPr>
          <w:rFonts w:ascii="Times New Roman" w:hAnsi="Times New Roman" w:eastAsia="Times New Roman" w:cs="Times New Roman"/>
          <w:b/>
          <w:bCs/>
          <w:sz w:val="18"/>
          <w:szCs w:val="18"/>
          <w:lang w:eastAsia="ru-RU"/>
        </w:rPr>
        <w:t>2nd floor</w:t>
      </w:r>
      <w:bookmarkEnd w:id="10"/>
    </w:p>
    <w:p w:rsidR="009534E2" w:rsidRDefault="003369EB">
      <w:pPr>
        <w:jc w:val="center"/>
        <w:rPr>
          <w:rFonts w:ascii="Times New Roman" w:hAnsi="Times New Roman" w:eastAsia="Times New Roman" w:cs="Times New Roman"/>
          <w:sz w:val="22"/>
          <w:szCs w:val="22"/>
          <w:lang w:eastAsia="ru-RU"/>
        </w:rPr>
      </w:pPr>
      <w:bookmarkStart w:name="_9aa82d6a_c69c_4b08_b543_73b63491ddcd" w:id="11"/>
      <w:r>
        <w:rPr>
          <w:rFonts w:ascii="Times New Roman" w:hAnsi="Times New Roman" w:eastAsia="Times New Roman" w:cs="Times New Roman"/>
          <w:b/>
          <w:bCs/>
          <w:sz w:val="18"/>
          <w:szCs w:val="18"/>
          <w:lang w:eastAsia="ru-RU"/>
        </w:rPr>
        <w:t>P.C. 1087</w:t>
      </w:r>
      <w:bookmarkEnd w:id="11"/>
      <w:r>
        <w:rPr>
          <w:rFonts w:ascii="Times New Roman" w:hAnsi="Times New Roman" w:eastAsia="Times New Roman" w:cs="Times New Roman"/>
          <w:b/>
          <w:bCs/>
          <w:sz w:val="18"/>
          <w:szCs w:val="18"/>
          <w:lang w:eastAsia="ru-RU"/>
        </w:rPr>
        <w:t xml:space="preserve">, </w:t>
      </w:r>
      <w:bookmarkStart w:name="_33608d81_e31c_4e17_9565_cfce172590b5" w:id="12"/>
      <w:r>
        <w:rPr>
          <w:rFonts w:ascii="Times New Roman" w:hAnsi="Times New Roman" w:eastAsia="Times New Roman" w:cs="Times New Roman"/>
          <w:b/>
          <w:bCs/>
          <w:sz w:val="18"/>
          <w:szCs w:val="18"/>
          <w:lang w:eastAsia="ru-RU"/>
        </w:rPr>
        <w:t>Nicosia</w:t>
      </w:r>
      <w:bookmarkEnd w:id="12"/>
      <w:r>
        <w:rPr>
          <w:rFonts w:ascii="Times New Roman" w:hAnsi="Times New Roman" w:eastAsia="Times New Roman" w:cs="Times New Roman"/>
          <w:b/>
          <w:bCs/>
          <w:sz w:val="18"/>
          <w:szCs w:val="18"/>
          <w:lang w:eastAsia="ru-RU"/>
        </w:rPr>
        <w:t xml:space="preserve">, </w:t>
      </w:r>
      <w:bookmarkStart w:name="_d5236b7b_e585_4e89_ad2f_ca25d6df849a" w:id="13"/>
      <w:r>
        <w:rPr>
          <w:rFonts w:ascii="Times New Roman" w:hAnsi="Times New Roman" w:eastAsia="Times New Roman" w:cs="Times New Roman"/>
          <w:b/>
          <w:bCs/>
          <w:sz w:val="18"/>
          <w:szCs w:val="18"/>
          <w:lang w:eastAsia="ru-RU"/>
        </w:rPr>
        <w:t>Cyprus</w:t>
      </w:r>
      <w:bookmarkEnd w:id="13"/>
    </w:p>
    <w:p w:rsidR="009534E2" w:rsidRDefault="003369EB">
      <w:pPr>
        <w:spacing w:after="100"/>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14"/>
          <w:szCs w:val="14"/>
          <w:lang w:eastAsia="ru-RU"/>
        </w:rPr>
        <w:t>(Address of principal executive offices)</w:t>
      </w:r>
    </w:p>
    <w:p w:rsidR="009534E2" w:rsidRDefault="003369EB">
      <w:pPr>
        <w:jc w:val="center"/>
        <w:rPr>
          <w:rFonts w:ascii="Times New Roman" w:hAnsi="Times New Roman" w:eastAsia="Times New Roman" w:cs="Times New Roman"/>
          <w:sz w:val="22"/>
          <w:szCs w:val="22"/>
          <w:lang w:eastAsia="ru-RU"/>
        </w:rPr>
      </w:pPr>
      <w:bookmarkStart w:name="_70548c69_4f89_4ac6_a4a5_a05a49a42c42" w:id="14"/>
      <w:r>
        <w:rPr>
          <w:rFonts w:ascii="Times New Roman" w:hAnsi="Times New Roman" w:eastAsia="Times New Roman" w:cs="Times New Roman"/>
          <w:b/>
          <w:bCs/>
          <w:sz w:val="18"/>
          <w:szCs w:val="18"/>
          <w:lang w:eastAsia="ru-RU"/>
        </w:rPr>
        <w:t xml:space="preserve">+ </w:t>
      </w:r>
      <w:bookmarkStart w:name="_4cc1cdf1_774a_47b8_ba18_aae54c9f3d99" w:id="15"/>
      <w:r>
        <w:rPr>
          <w:rFonts w:ascii="Times New Roman" w:hAnsi="Times New Roman" w:eastAsia="Times New Roman" w:cs="Times New Roman"/>
          <w:b/>
          <w:bCs/>
          <w:sz w:val="18"/>
          <w:szCs w:val="18"/>
          <w:lang w:eastAsia="ru-RU"/>
        </w:rPr>
        <w:t>357</w:t>
      </w:r>
      <w:bookmarkEnd w:id="15"/>
      <w:r>
        <w:rPr>
          <w:rFonts w:ascii="Times New Roman" w:hAnsi="Times New Roman" w:eastAsia="Times New Roman" w:cs="Times New Roman"/>
          <w:b/>
          <w:bCs/>
          <w:sz w:val="18"/>
          <w:szCs w:val="18"/>
          <w:lang w:eastAsia="ru-RU"/>
        </w:rPr>
        <w:t> </w:t>
      </w:r>
      <w:bookmarkStart w:name="_06a2ce97_9c33_4034_a482_38e5caae4b95" w:id="16"/>
      <w:r>
        <w:rPr>
          <w:rFonts w:ascii="Times New Roman" w:hAnsi="Times New Roman" w:eastAsia="Times New Roman" w:cs="Times New Roman"/>
          <w:b/>
          <w:bCs/>
          <w:sz w:val="18"/>
          <w:szCs w:val="18"/>
          <w:lang w:eastAsia="ru-RU"/>
        </w:rPr>
        <w:t>2265-3390</w:t>
      </w:r>
      <w:bookmarkEnd w:id="16"/>
    </w:p>
    <w:p w:rsidR="009534E2" w:rsidRDefault="003369EB">
      <w:pPr>
        <w:jc w:val="center"/>
        <w:rPr>
          <w:rFonts w:ascii="Times New Roman" w:hAnsi="Times New Roman" w:eastAsia="Times New Roman" w:cs="Times New Roman"/>
          <w:sz w:val="22"/>
          <w:szCs w:val="22"/>
          <w:lang w:eastAsia="ru-RU"/>
        </w:rPr>
      </w:pPr>
      <w:bookmarkStart w:name="_83625450_ba80_4351_96c7_9db666fb1277" w:id="17"/>
      <w:bookmarkEnd w:id="14"/>
      <w:r>
        <w:rPr>
          <w:rFonts w:ascii="Times New Roman" w:hAnsi="Times New Roman" w:eastAsia="Times New Roman" w:cs="Times New Roman"/>
          <w:b/>
          <w:bCs/>
          <w:sz w:val="18"/>
          <w:szCs w:val="18"/>
          <w:lang w:eastAsia="ru-RU"/>
        </w:rPr>
        <w:t>ir@qiwi.com</w:t>
      </w:r>
    </w:p>
    <w:p w:rsidR="009534E2" w:rsidRDefault="003369EB">
      <w:pPr>
        <w:jc w:val="center"/>
        <w:rPr>
          <w:rFonts w:ascii="Times New Roman" w:hAnsi="Times New Roman" w:eastAsia="Times New Roman" w:cs="Times New Roman"/>
          <w:sz w:val="22"/>
          <w:szCs w:val="22"/>
          <w:lang w:eastAsia="ru-RU"/>
        </w:rPr>
      </w:pPr>
      <w:bookmarkStart w:name="_6d096485_b0ba_46f6_b510_ad80e78a9909" w:id="18"/>
      <w:bookmarkEnd w:id="17"/>
      <w:r>
        <w:rPr>
          <w:rFonts w:ascii="Times New Roman" w:hAnsi="Times New Roman" w:eastAsia="Times New Roman" w:cs="Times New Roman"/>
          <w:b/>
          <w:bCs/>
          <w:sz w:val="18"/>
          <w:szCs w:val="18"/>
          <w:lang w:eastAsia="ru-RU"/>
        </w:rPr>
        <w:t>Kennedy 12, Kennedy Business Centre</w:t>
      </w:r>
      <w:bookmarkEnd w:id="18"/>
      <w:r>
        <w:rPr>
          <w:rFonts w:ascii="Times New Roman" w:hAnsi="Times New Roman" w:eastAsia="Times New Roman" w:cs="Times New Roman"/>
          <w:b/>
          <w:bCs/>
          <w:sz w:val="18"/>
          <w:szCs w:val="18"/>
          <w:lang w:eastAsia="ru-RU"/>
        </w:rPr>
        <w:t xml:space="preserve">, </w:t>
      </w:r>
      <w:bookmarkStart w:name="_b4943394_bb29_438a_a0a0_66ce0a7f97fa" w:id="19"/>
      <w:r>
        <w:rPr>
          <w:rFonts w:ascii="Times New Roman" w:hAnsi="Times New Roman" w:eastAsia="Times New Roman" w:cs="Times New Roman"/>
          <w:b/>
          <w:bCs/>
          <w:sz w:val="18"/>
          <w:szCs w:val="18"/>
          <w:lang w:eastAsia="ru-RU"/>
        </w:rPr>
        <w:t>2nd floor</w:t>
      </w:r>
      <w:bookmarkEnd w:id="19"/>
    </w:p>
    <w:p w:rsidR="009534E2" w:rsidRDefault="003369EB">
      <w:pPr>
        <w:jc w:val="center"/>
        <w:rPr>
          <w:rFonts w:ascii="Times New Roman" w:hAnsi="Times New Roman" w:eastAsia="Times New Roman" w:cs="Times New Roman"/>
          <w:sz w:val="22"/>
          <w:szCs w:val="22"/>
          <w:lang w:eastAsia="ru-RU"/>
        </w:rPr>
      </w:pPr>
      <w:bookmarkStart w:name="_43fe73ec_3d2b_4461_b4e9_db6017751fd4" w:id="20"/>
      <w:r>
        <w:rPr>
          <w:rFonts w:ascii="Times New Roman" w:hAnsi="Times New Roman" w:eastAsia="Times New Roman" w:cs="Times New Roman"/>
          <w:b/>
          <w:bCs/>
          <w:sz w:val="18"/>
          <w:szCs w:val="18"/>
          <w:lang w:eastAsia="ru-RU"/>
        </w:rPr>
        <w:t>P.C. 1087</w:t>
      </w:r>
      <w:bookmarkEnd w:id="20"/>
      <w:r>
        <w:rPr>
          <w:rFonts w:ascii="Times New Roman" w:hAnsi="Times New Roman" w:eastAsia="Times New Roman" w:cs="Times New Roman"/>
          <w:b/>
          <w:bCs/>
          <w:sz w:val="18"/>
          <w:szCs w:val="18"/>
          <w:lang w:eastAsia="ru-RU"/>
        </w:rPr>
        <w:t xml:space="preserve">, </w:t>
      </w:r>
      <w:bookmarkStart w:name="_5259894c_cb0f_4b5a_be45_0ba86e52b2f4" w:id="21"/>
      <w:r>
        <w:rPr>
          <w:rFonts w:ascii="Times New Roman" w:hAnsi="Times New Roman" w:eastAsia="Times New Roman" w:cs="Times New Roman"/>
          <w:b/>
          <w:bCs/>
          <w:sz w:val="18"/>
          <w:szCs w:val="18"/>
          <w:lang w:eastAsia="ru-RU"/>
        </w:rPr>
        <w:t>Nicosia</w:t>
      </w:r>
      <w:bookmarkEnd w:id="21"/>
      <w:r>
        <w:rPr>
          <w:rFonts w:ascii="Times New Roman" w:hAnsi="Times New Roman" w:eastAsia="Times New Roman" w:cs="Times New Roman"/>
          <w:b/>
          <w:bCs/>
          <w:sz w:val="18"/>
          <w:szCs w:val="18"/>
          <w:lang w:eastAsia="ru-RU"/>
        </w:rPr>
        <w:t xml:space="preserve">, </w:t>
      </w:r>
      <w:bookmarkStart w:name="_0c81909d_66bd_47c7_9ce3_b8250be709f8" w:id="22"/>
      <w:r>
        <w:rPr>
          <w:rFonts w:ascii="Times New Roman" w:hAnsi="Times New Roman" w:eastAsia="Times New Roman" w:cs="Times New Roman"/>
          <w:b/>
          <w:bCs/>
          <w:sz w:val="18"/>
          <w:szCs w:val="18"/>
          <w:lang w:eastAsia="ru-RU"/>
        </w:rPr>
        <w:t>Cyprus</w:t>
      </w:r>
      <w:bookmarkEnd w:id="22"/>
    </w:p>
    <w:p w:rsidR="009534E2" w:rsidRDefault="003369EB">
      <w:pPr>
        <w:spacing w:after="100"/>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14"/>
          <w:szCs w:val="14"/>
          <w:lang w:eastAsia="ru-RU"/>
        </w:rPr>
        <w:t>(Name, telephone, e-mail and/or facsimile number and address of company contact person)</w:t>
      </w:r>
    </w:p>
    <w:p w:rsidR="009534E2" w:rsidRDefault="003369EB">
      <w:pPr>
        <w:jc w:val="center"/>
        <w:rPr>
          <w:rFonts w:ascii="Times New Roman" w:hAnsi="Times New Roman" w:eastAsia="Times New Roman" w:cs="Times New Roman"/>
          <w:b/>
          <w:bCs/>
          <w:sz w:val="18"/>
          <w:szCs w:val="18"/>
          <w:lang w:eastAsia="ru-RU"/>
        </w:rPr>
      </w:pPr>
      <w:r>
        <w:rPr>
          <w:rFonts w:ascii="Times New Roman" w:hAnsi="Times New Roman" w:eastAsia="Times New Roman" w:cs="Times New Roman"/>
          <w:b/>
          <w:bCs/>
          <w:sz w:val="18"/>
          <w:szCs w:val="18"/>
          <w:lang w:eastAsia="ru-RU"/>
        </w:rPr>
        <w:t>Securities registered or to be registered pursuant to Section 12(b) of the Act:</w:t>
      </w:r>
    </w:p>
    <w:p w:rsidR="009534E2" w:rsidRDefault="009534E2">
      <w:pPr>
        <w:jc w:val="center"/>
        <w:rPr>
          <w:rFonts w:ascii="Times New Roman" w:hAnsi="Times New Roman" w:eastAsia="Times New Roman" w:cs="Times New Roman"/>
          <w:sz w:val="8"/>
          <w:szCs w:val="8"/>
          <w:lang w:eastAsia="ru-RU"/>
        </w:rPr>
      </w:pPr>
    </w:p>
    <w:tbl>
      <w:tblPr>
        <w:tblW w:w="5000" w:type="pct"/>
        <w:jc w:val="center"/>
        <w:tblCellMar>
          <w:left w:w="0" w:type="dxa"/>
          <w:right w:w="0" w:type="dxa"/>
        </w:tblCellMar>
        <w:tblLook w:val="04A0" w:firstRow="1" w:lastRow="0" w:firstColumn="1" w:lastColumn="0" w:noHBand="0" w:noVBand="1"/>
      </w:tblPr>
      <w:tblGrid>
        <w:gridCol w:w="3888"/>
        <w:gridCol w:w="216"/>
        <w:gridCol w:w="2592"/>
        <w:gridCol w:w="216"/>
        <w:gridCol w:w="3888"/>
      </w:tblGrid>
      <w:tr w:rsidR="009534E2">
        <w:trPr>
          <w:jc w:val="center"/>
        </w:trPr>
        <w:tc>
          <w:tcPr>
            <w:tcW w:w="1800" w:type="pct"/>
            <w:tcBorders>
              <w:top w:val="nil"/>
              <w:left w:val="nil"/>
              <w:bottom w:val="single" w:color="auto" w:sz="4" w:space="0"/>
              <w:right w:val="nil"/>
            </w:tcBorders>
            <w:vAlign w:val="bottom"/>
            <w:hideMark/>
          </w:tcPr>
          <w:p w:rsidR="009534E2" w:rsidRDefault="003369EB">
            <w:pPr>
              <w:jc w:val="center"/>
              <w:rPr>
                <w:rFonts w:ascii="Times New Roman" w:hAnsi="Times New Roman" w:eastAsia="Times New Roman" w:cs="Times New Roman"/>
                <w:sz w:val="18"/>
                <w:szCs w:val="18"/>
                <w:lang w:eastAsia="ru-RU"/>
              </w:rPr>
            </w:pPr>
            <w:bookmarkStart w:name="_d1301d50_7f45_439e_8036_af48e1807d4c" w:id="23"/>
            <w:bookmarkStart w:name="_f2f3c6e9_9979_4082_a981_bb6266db798e" w:id="24"/>
            <w:bookmarkEnd w:id="23"/>
            <w:r>
              <w:rPr>
                <w:rFonts w:ascii="Times New Roman" w:hAnsi="Times New Roman" w:eastAsia="Times New Roman" w:cs="Times New Roman"/>
                <w:b/>
                <w:bCs/>
                <w:sz w:val="18"/>
                <w:szCs w:val="14"/>
                <w:lang w:val="ru-RU" w:eastAsia="ru-RU"/>
              </w:rPr>
              <w:t xml:space="preserve">Title of Each </w:t>
            </w:r>
            <w:r>
              <w:rPr>
                <w:rFonts w:ascii="Times New Roman" w:hAnsi="Times New Roman" w:eastAsia="Times New Roman" w:cs="Times New Roman"/>
                <w:b/>
                <w:bCs/>
                <w:sz w:val="18"/>
                <w:szCs w:val="14"/>
                <w:lang w:val="ru-RU" w:eastAsia="ru-RU"/>
              </w:rPr>
              <w:br/>
              <w:t>Class</w:t>
            </w:r>
          </w:p>
        </w:tc>
        <w:tc>
          <w:tcPr>
            <w:tcW w:w="100" w:type="pct"/>
            <w:hideMark/>
          </w:tcPr>
          <w:p w:rsidR="009534E2" w:rsidRDefault="003369EB">
            <w:pPr>
              <w:jc w:val="center"/>
              <w:rPr>
                <w:rFonts w:ascii="Times New Roman" w:hAnsi="Times New Roman" w:eastAsia="Times New Roman" w:cs="Times New Roman"/>
                <w:b/>
                <w:sz w:val="18"/>
                <w:szCs w:val="14"/>
                <w:lang w:eastAsia="ru-RU"/>
              </w:rPr>
            </w:pPr>
            <w:r>
              <w:rPr>
                <w:rFonts w:ascii="Times New Roman" w:hAnsi="Times New Roman" w:eastAsia="Times New Roman" w:cs="Times New Roman"/>
                <w:b/>
                <w:sz w:val="18"/>
                <w:szCs w:val="14"/>
                <w:lang w:eastAsia="ru-RU"/>
              </w:rPr>
              <w:t>    </w:t>
            </w:r>
          </w:p>
        </w:tc>
        <w:tc>
          <w:tcPr>
            <w:tcW w:w="1200" w:type="pct"/>
            <w:tcBorders>
              <w:top w:val="nil"/>
              <w:left w:val="nil"/>
              <w:bottom w:val="single" w:color="auto" w:sz="4" w:space="0"/>
              <w:right w:val="nil"/>
            </w:tcBorders>
            <w:vAlign w:val="bottom"/>
            <w:hideMark/>
          </w:tcPr>
          <w:p w:rsidR="009534E2" w:rsidRDefault="003369EB">
            <w:pPr>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4"/>
                <w:lang w:eastAsia="ru-RU"/>
              </w:rPr>
              <w:t xml:space="preserve">Trading </w:t>
            </w:r>
            <w:r>
              <w:rPr>
                <w:rFonts w:ascii="Times New Roman" w:hAnsi="Times New Roman" w:eastAsia="Times New Roman" w:cs="Times New Roman"/>
                <w:b/>
                <w:sz w:val="18"/>
                <w:szCs w:val="14"/>
                <w:lang w:eastAsia="ru-RU"/>
              </w:rPr>
              <w:br/>
              <w:t>Symbol</w:t>
            </w:r>
          </w:p>
        </w:tc>
        <w:tc>
          <w:tcPr>
            <w:tcW w:w="100" w:type="pct"/>
            <w:hideMark/>
          </w:tcPr>
          <w:p w:rsidR="009534E2" w:rsidRDefault="003369EB">
            <w:pPr>
              <w:jc w:val="center"/>
              <w:rPr>
                <w:rFonts w:ascii="Times New Roman" w:hAnsi="Times New Roman" w:eastAsia="Times New Roman" w:cs="Times New Roman"/>
                <w:b/>
                <w:bCs/>
                <w:sz w:val="18"/>
                <w:szCs w:val="14"/>
                <w:lang w:eastAsia="ru-RU"/>
              </w:rPr>
            </w:pPr>
            <w:r>
              <w:rPr>
                <w:rFonts w:ascii="Times New Roman" w:hAnsi="Times New Roman" w:eastAsia="Times New Roman" w:cs="Times New Roman"/>
                <w:b/>
                <w:bCs/>
                <w:sz w:val="18"/>
                <w:szCs w:val="14"/>
                <w:lang w:eastAsia="ru-RU"/>
              </w:rPr>
              <w:t>    </w:t>
            </w:r>
          </w:p>
        </w:tc>
        <w:tc>
          <w:tcPr>
            <w:tcW w:w="1800" w:type="pct"/>
            <w:tcBorders>
              <w:top w:val="nil"/>
              <w:left w:val="nil"/>
              <w:bottom w:val="single" w:color="auto" w:sz="4" w:space="0"/>
              <w:right w:val="nil"/>
            </w:tcBorders>
            <w:vAlign w:val="bottom"/>
            <w:hideMark/>
          </w:tcPr>
          <w:p w:rsidR="009534E2" w:rsidRDefault="003369EB">
            <w:pPr>
              <w:jc w:val="center"/>
              <w:rPr>
                <w:rFonts w:ascii="Times New Roman" w:hAnsi="Times New Roman" w:eastAsia="Times New Roman" w:cs="Times New Roman"/>
                <w:sz w:val="18"/>
                <w:szCs w:val="18"/>
                <w:lang w:eastAsia="ru-RU"/>
              </w:rPr>
            </w:pPr>
            <w:r>
              <w:rPr>
                <w:rFonts w:ascii="Times New Roman" w:hAnsi="Times New Roman" w:eastAsia="Times New Roman" w:cs="Times New Roman"/>
                <w:b/>
                <w:bCs/>
                <w:sz w:val="18"/>
                <w:szCs w:val="14"/>
                <w:lang w:eastAsia="ru-RU"/>
              </w:rPr>
              <w:t xml:space="preserve">Name of Each Exchange on Which </w:t>
            </w:r>
            <w:r>
              <w:rPr>
                <w:rFonts w:ascii="Times New Roman" w:hAnsi="Times New Roman" w:eastAsia="Times New Roman" w:cs="Times New Roman"/>
                <w:b/>
                <w:bCs/>
                <w:sz w:val="18"/>
                <w:szCs w:val="14"/>
                <w:lang w:eastAsia="ru-RU"/>
              </w:rPr>
              <w:br/>
              <w:t>Registered</w:t>
            </w:r>
          </w:p>
        </w:tc>
      </w:tr>
      <w:tr w:rsidR="009534E2">
        <w:trPr>
          <w:jc w:val="center"/>
        </w:trPr>
        <w:tc>
          <w:tcPr>
            <w:tcW w:w="1800" w:type="pct"/>
            <w:tcBorders>
              <w:top w:val="single" w:color="auto" w:sz="4" w:space="0"/>
              <w:left w:val="nil"/>
              <w:bottom w:val="nil"/>
              <w:right w:val="nil"/>
            </w:tcBorders>
            <w:hideMark/>
          </w:tcPr>
          <w:p w:rsidR="009534E2" w:rsidRDefault="003369EB">
            <w:pPr>
              <w:jc w:val="center"/>
              <w:rPr>
                <w:rFonts w:ascii="Times New Roman" w:hAnsi="Times New Roman" w:eastAsia="Times New Roman" w:cs="Times New Roman"/>
                <w:sz w:val="18"/>
                <w:szCs w:val="18"/>
                <w:lang w:eastAsia="ru-RU"/>
              </w:rPr>
            </w:pPr>
            <w:bookmarkStart w:name="_b221db1f_d39c_43d1_8d56_ced7b258a6c4" w:id="25"/>
            <w:r>
              <w:rPr>
                <w:rFonts w:ascii="Times New Roman" w:hAnsi="Times New Roman" w:eastAsia="Times New Roman" w:cs="Times New Roman"/>
                <w:b/>
                <w:bCs/>
                <w:sz w:val="18"/>
                <w:szCs w:val="18"/>
                <w:lang w:eastAsia="ru-RU"/>
              </w:rPr>
              <w:t>American Depositary Shares, each representing one Class B ordinary share, having a nominal value EUR 0.0005 per share</w:t>
            </w:r>
            <w:r>
              <w:rPr>
                <w:rFonts w:ascii="Times New Roman" w:hAnsi="Times New Roman" w:eastAsia="Times New Roman" w:cs="Times New Roman"/>
                <w:sz w:val="18"/>
                <w:szCs w:val="18"/>
                <w:lang w:eastAsia="ru-RU"/>
              </w:rPr>
              <w:t xml:space="preserve"> </w:t>
            </w:r>
            <w:bookmarkEnd w:id="25"/>
          </w:p>
        </w:tc>
        <w:tc>
          <w:tcPr>
            <w:tcW w:w="100" w:type="pct"/>
          </w:tcPr>
          <w:p w:rsidR="009534E2" w:rsidRDefault="009534E2">
            <w:pPr>
              <w:jc w:val="center"/>
              <w:rPr>
                <w:rFonts w:ascii="Times New Roman" w:hAnsi="Times New Roman" w:eastAsia="Times New Roman" w:cs="Times New Roman"/>
                <w:b/>
                <w:sz w:val="18"/>
                <w:szCs w:val="18"/>
                <w:lang w:eastAsia="ru-RU"/>
              </w:rPr>
            </w:pPr>
          </w:p>
        </w:tc>
        <w:tc>
          <w:tcPr>
            <w:tcW w:w="1200" w:type="pct"/>
            <w:tcBorders>
              <w:top w:val="single" w:color="auto" w:sz="4" w:space="0"/>
              <w:left w:val="nil"/>
              <w:bottom w:val="nil"/>
              <w:right w:val="nil"/>
            </w:tcBorders>
            <w:hideMark/>
          </w:tcPr>
          <w:p w:rsidR="009534E2" w:rsidRDefault="003369EB">
            <w:pPr>
              <w:jc w:val="center"/>
              <w:rPr>
                <w:rFonts w:ascii="Times New Roman" w:hAnsi="Times New Roman" w:eastAsia="Times New Roman" w:cs="Times New Roman"/>
                <w:sz w:val="18"/>
                <w:szCs w:val="18"/>
                <w:lang w:eastAsia="ru-RU"/>
              </w:rPr>
            </w:pPr>
            <w:bookmarkStart w:name="_60427314_4860_4c1b_87fb_7cf440646412" w:id="26"/>
            <w:bookmarkStart w:name="_7b603c30_b3e2_491e_8d36_5d2aa2466fbb" w:id="27"/>
            <w:r>
              <w:rPr>
                <w:rFonts w:ascii="Times New Roman" w:hAnsi="Times New Roman" w:eastAsia="Times New Roman" w:cs="Times New Roman"/>
                <w:b/>
                <w:sz w:val="18"/>
                <w:szCs w:val="18"/>
                <w:lang w:eastAsia="ru-RU"/>
              </w:rPr>
              <w:t>QIWI</w:t>
            </w:r>
            <w:bookmarkEnd w:id="26"/>
            <w:r>
              <w:rPr>
                <w:rFonts w:ascii="Times New Roman" w:hAnsi="Times New Roman" w:eastAsia="Times New Roman" w:cs="Times New Roman"/>
                <w:sz w:val="18"/>
                <w:szCs w:val="18"/>
                <w:lang w:eastAsia="ru-RU"/>
              </w:rPr>
              <w:t xml:space="preserve"> </w:t>
            </w:r>
            <w:bookmarkEnd w:id="27"/>
          </w:p>
        </w:tc>
        <w:tc>
          <w:tcPr>
            <w:tcW w:w="100" w:type="pct"/>
          </w:tcPr>
          <w:p w:rsidR="009534E2" w:rsidRDefault="009534E2">
            <w:pPr>
              <w:jc w:val="center"/>
              <w:rPr>
                <w:rFonts w:ascii="Times New Roman" w:hAnsi="Times New Roman" w:eastAsia="Times New Roman" w:cs="Times New Roman"/>
                <w:b/>
                <w:bCs/>
                <w:sz w:val="18"/>
                <w:szCs w:val="18"/>
                <w:lang w:eastAsia="ru-RU"/>
              </w:rPr>
            </w:pPr>
          </w:p>
        </w:tc>
        <w:tc>
          <w:tcPr>
            <w:tcW w:w="1800" w:type="pct"/>
            <w:tcBorders>
              <w:top w:val="single" w:color="auto" w:sz="4" w:space="0"/>
              <w:left w:val="nil"/>
              <w:bottom w:val="nil"/>
              <w:right w:val="nil"/>
            </w:tcBorders>
            <w:hideMark/>
          </w:tcPr>
          <w:p w:rsidR="009534E2" w:rsidRDefault="003369EB">
            <w:pPr>
              <w:jc w:val="center"/>
              <w:rPr>
                <w:rFonts w:ascii="Times New Roman" w:hAnsi="Times New Roman" w:eastAsia="Times New Roman" w:cs="Times New Roman"/>
                <w:sz w:val="18"/>
                <w:szCs w:val="18"/>
                <w:lang w:eastAsia="ru-RU"/>
              </w:rPr>
            </w:pPr>
            <w:r>
              <w:rPr>
                <w:rFonts w:ascii="Times New Roman" w:hAnsi="Times New Roman" w:eastAsia="Times New Roman" w:cs="Times New Roman"/>
                <w:b/>
                <w:bCs/>
                <w:sz w:val="18"/>
                <w:szCs w:val="18"/>
                <w:lang w:eastAsia="ru-RU"/>
              </w:rPr>
              <w:t xml:space="preserve">The </w:t>
            </w:r>
            <w:bookmarkStart w:name="_c01c5c94_3632_4c7b_8533_bda7d4fc1c5d" w:id="28"/>
            <w:r>
              <w:rPr>
                <w:rFonts w:ascii="Times New Roman" w:hAnsi="Times New Roman" w:eastAsia="Times New Roman" w:cs="Times New Roman"/>
                <w:b/>
                <w:bCs/>
                <w:sz w:val="18"/>
                <w:szCs w:val="18"/>
                <w:lang w:eastAsia="ru-RU"/>
              </w:rPr>
              <w:t>NASDAQ</w:t>
            </w:r>
            <w:bookmarkEnd w:id="28"/>
            <w:r>
              <w:rPr>
                <w:rFonts w:ascii="Times New Roman" w:hAnsi="Times New Roman" w:eastAsia="Times New Roman" w:cs="Times New Roman"/>
                <w:b/>
                <w:bCs/>
                <w:sz w:val="18"/>
                <w:szCs w:val="18"/>
                <w:lang w:eastAsia="ru-RU"/>
              </w:rPr>
              <w:t xml:space="preserve"> Stock Market LLC</w:t>
            </w:r>
          </w:p>
        </w:tc>
      </w:tr>
      <w:tr w:rsidR="009534E2">
        <w:trPr>
          <w:jc w:val="center"/>
        </w:trPr>
        <w:tc>
          <w:tcPr>
            <w:tcW w:w="1800" w:type="pct"/>
            <w:hideMark/>
          </w:tcPr>
          <w:p w:rsidR="009534E2" w:rsidRDefault="003369EB">
            <w:pPr>
              <w:jc w:val="center"/>
              <w:rPr>
                <w:rFonts w:ascii="Times New Roman" w:hAnsi="Times New Roman" w:eastAsia="Times New Roman" w:cs="Times New Roman"/>
                <w:b/>
                <w:bCs/>
                <w:sz w:val="18"/>
                <w:szCs w:val="18"/>
                <w:lang w:eastAsia="ru-RU"/>
              </w:rPr>
            </w:pPr>
            <w:bookmarkStart w:name="_87a678ad_a7cd_4bcd_b349_92b366aac4c3" w:id="29"/>
            <w:r>
              <w:rPr>
                <w:rFonts w:ascii="Times New Roman" w:hAnsi="Times New Roman" w:eastAsia="Times New Roman" w:cs="Times New Roman"/>
                <w:b/>
                <w:bCs/>
                <w:sz w:val="18"/>
                <w:szCs w:val="18"/>
                <w:lang w:eastAsia="ru-RU"/>
              </w:rPr>
              <w:t>Class B ordinary shares, having a nominal value of EUR 0.0005 per share</w:t>
            </w:r>
            <w:bookmarkEnd w:id="29"/>
            <w:r>
              <w:rPr>
                <w:rFonts w:ascii="Times New Roman" w:hAnsi="Times New Roman" w:eastAsia="Times New Roman" w:cs="Times New Roman"/>
                <w:b/>
                <w:bCs/>
                <w:sz w:val="18"/>
                <w:szCs w:val="18"/>
                <w:lang w:eastAsia="ru-RU"/>
              </w:rPr>
              <w:t>*</w:t>
            </w:r>
          </w:p>
        </w:tc>
        <w:tc>
          <w:tcPr>
            <w:tcW w:w="100" w:type="pct"/>
          </w:tcPr>
          <w:p w:rsidR="009534E2" w:rsidRDefault="009534E2">
            <w:pPr>
              <w:jc w:val="center"/>
              <w:rPr>
                <w:rFonts w:ascii="Times New Roman" w:hAnsi="Times New Roman" w:eastAsia="Times New Roman" w:cs="Times New Roman"/>
                <w:b/>
                <w:sz w:val="18"/>
                <w:szCs w:val="18"/>
                <w:lang w:eastAsia="ru-RU"/>
              </w:rPr>
            </w:pPr>
          </w:p>
        </w:tc>
        <w:tc>
          <w:tcPr>
            <w:tcW w:w="1200" w:type="pct"/>
            <w:hideMark/>
          </w:tcPr>
          <w:p w:rsidR="009534E2" w:rsidRDefault="003369EB">
            <w:pPr>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N/A</w:t>
            </w:r>
          </w:p>
        </w:tc>
        <w:tc>
          <w:tcPr>
            <w:tcW w:w="100" w:type="pct"/>
          </w:tcPr>
          <w:p w:rsidR="009534E2" w:rsidRDefault="009534E2">
            <w:pPr>
              <w:jc w:val="center"/>
              <w:rPr>
                <w:rFonts w:ascii="Times New Roman" w:hAnsi="Times New Roman" w:eastAsia="Times New Roman" w:cs="Times New Roman"/>
                <w:b/>
                <w:bCs/>
                <w:sz w:val="18"/>
                <w:szCs w:val="18"/>
                <w:lang w:eastAsia="ru-RU"/>
              </w:rPr>
            </w:pPr>
          </w:p>
        </w:tc>
        <w:tc>
          <w:tcPr>
            <w:tcW w:w="1800" w:type="pct"/>
            <w:vAlign w:val="bottom"/>
          </w:tcPr>
          <w:p w:rsidR="009534E2" w:rsidRDefault="009534E2">
            <w:pPr>
              <w:jc w:val="center"/>
              <w:rPr>
                <w:rFonts w:ascii="Times New Roman" w:hAnsi="Times New Roman" w:eastAsia="Times New Roman" w:cs="Times New Roman"/>
                <w:b/>
                <w:bCs/>
                <w:sz w:val="18"/>
                <w:szCs w:val="18"/>
                <w:lang w:eastAsia="ru-RU"/>
              </w:rPr>
            </w:pPr>
          </w:p>
        </w:tc>
      </w:tr>
      <w:bookmarkEnd w:id="24"/>
    </w:tbl>
    <w:p w:rsidR="009534E2" w:rsidRDefault="009534E2">
      <w:pPr>
        <w:rPr>
          <w:sz w:val="14"/>
          <w:szCs w:val="14"/>
        </w:rPr>
      </w:pPr>
    </w:p>
    <w:p w:rsidR="009534E2" w:rsidRDefault="003369EB">
      <w:pPr>
        <w:tabs>
          <w:tab w:val="left" w:pos="249"/>
        </w:tabs>
        <w:spacing w:after="100"/>
        <w:ind w:left="360" w:hanging="360"/>
        <w:rPr>
          <w:rFonts w:ascii="Times New Roman" w:hAnsi="Times New Roman" w:eastAsia="Times New Roman" w:cs="Times New Roman"/>
          <w:sz w:val="22"/>
          <w:szCs w:val="22"/>
          <w:lang w:eastAsia="ru-RU"/>
        </w:rPr>
      </w:pPr>
      <w:r>
        <w:rPr>
          <w:rFonts w:ascii="Symbol" w:hAnsi="Symbol" w:eastAsia="Times New Roman" w:cs="Times New Roman"/>
          <w:sz w:val="22"/>
          <w:szCs w:val="22"/>
          <w:lang w:eastAsia="ru-RU"/>
        </w:rPr>
        <w:sym w:font="Symbol" w:char="F02A"/>
      </w:r>
      <w:r>
        <w:rPr>
          <w:rFonts w:ascii="Symbol" w:hAnsi="Symbol" w:eastAsia="Times New Roman" w:cs="Times New Roman"/>
          <w:sz w:val="22"/>
          <w:szCs w:val="22"/>
          <w:lang w:eastAsia="ru-RU"/>
        </w:rPr>
        <w:t xml:space="preserve"> </w:t>
      </w:r>
      <w:r>
        <w:rPr>
          <w:rFonts w:ascii="Times New Roman" w:hAnsi="Times New Roman" w:eastAsia="Times New Roman" w:cs="Times New Roman"/>
          <w:i/>
          <w:iCs/>
          <w:sz w:val="18"/>
          <w:szCs w:val="18"/>
          <w:lang w:eastAsia="ru-RU"/>
        </w:rPr>
        <w:t>Not for trading, but only in connection with the registration of the American Depositary Shares representing those shares, pursuant to the requirements of the Securities and Exchange Commission.</w:t>
      </w:r>
    </w:p>
    <w:p w:rsidR="009534E2" w:rsidRDefault="003369EB">
      <w:pPr>
        <w:spacing w:after="100"/>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18"/>
          <w:szCs w:val="18"/>
          <w:lang w:eastAsia="ru-RU"/>
        </w:rPr>
        <w:t>Securities registered or to be registered pursuant to Section 12(g) of the Act:</w:t>
      </w:r>
    </w:p>
    <w:p w:rsidR="009534E2" w:rsidRDefault="003369EB">
      <w:pPr>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18"/>
          <w:szCs w:val="18"/>
          <w:lang w:eastAsia="ru-RU"/>
        </w:rPr>
        <w:t>None</w:t>
      </w:r>
    </w:p>
    <w:p w:rsidR="009534E2" w:rsidRDefault="003369EB">
      <w:pPr>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14"/>
          <w:szCs w:val="14"/>
          <w:lang w:eastAsia="ru-RU"/>
        </w:rPr>
        <w:t>(Title of Class)</w:t>
      </w:r>
    </w:p>
    <w:p w:rsidR="009534E2" w:rsidRDefault="009534E2">
      <w:pPr>
        <w:jc w:val="center"/>
        <w:rPr>
          <w:rFonts w:ascii="Times New Roman" w:hAnsi="Times New Roman" w:eastAsia="Times New Roman" w:cs="Times New Roman"/>
          <w:b/>
          <w:bCs/>
          <w:sz w:val="18"/>
          <w:szCs w:val="18"/>
          <w:lang w:eastAsia="ru-RU"/>
        </w:rPr>
      </w:pPr>
    </w:p>
    <w:p w:rsidR="009534E2" w:rsidRDefault="003369EB">
      <w:pPr>
        <w:spacing w:after="100"/>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18"/>
          <w:szCs w:val="18"/>
          <w:lang w:eastAsia="ru-RU"/>
        </w:rPr>
        <w:t>Securities for which there is a reporting obligation pursuant to Section 15(d) of the Act:</w:t>
      </w:r>
    </w:p>
    <w:p w:rsidR="009534E2" w:rsidRDefault="003369EB">
      <w:pPr>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18"/>
          <w:szCs w:val="18"/>
          <w:lang w:eastAsia="ru-RU"/>
        </w:rPr>
        <w:t>None</w:t>
      </w:r>
    </w:p>
    <w:p w:rsidR="009534E2" w:rsidRDefault="003369EB">
      <w:pPr>
        <w:spacing w:after="100"/>
        <w:jc w:val="center"/>
        <w:rPr>
          <w:rFonts w:ascii="Times New Roman" w:hAnsi="Times New Roman" w:eastAsia="Times New Roman" w:cs="Times New Roman"/>
          <w:b/>
          <w:bCs/>
          <w:sz w:val="14"/>
          <w:szCs w:val="14"/>
          <w:lang w:eastAsia="ru-RU"/>
        </w:rPr>
      </w:pPr>
      <w:r>
        <w:rPr>
          <w:rFonts w:ascii="Times New Roman" w:hAnsi="Times New Roman" w:eastAsia="Times New Roman" w:cs="Times New Roman"/>
          <w:b/>
          <w:bCs/>
          <w:sz w:val="14"/>
          <w:szCs w:val="14"/>
          <w:lang w:eastAsia="ru-RU"/>
        </w:rPr>
        <w:t>(Title of Class)</w:t>
      </w:r>
    </w:p>
    <w:p w:rsidR="009534E2" w:rsidRDefault="00EC0AE1">
      <w:pPr>
        <w:jc w:val="center"/>
        <w:rPr>
          <w:rFonts w:ascii="Times New Roman" w:hAnsi="Times New Roman" w:eastAsia="Times New Roman" w:cs="Times New Roman"/>
          <w:sz w:val="8"/>
          <w:szCs w:val="8"/>
          <w:lang w:eastAsia="ru-RU"/>
        </w:rPr>
      </w:pPr>
      <w:r>
        <w:rPr>
          <w:rFonts w:ascii="Times New Roman" w:hAnsi="Times New Roman" w:eastAsia="Times New Roman" w:cs="Times New Roman"/>
          <w:sz w:val="8"/>
          <w:szCs w:val="8"/>
          <w:lang w:eastAsia="ru-RU"/>
        </w:rPr>
        <w:pict w14:anchorId="7EF79DFE">
          <v:rect id="_x0000_i1029" style="width:135pt;height:1pt" o:hr="t" o:hrstd="t" o:hrnoshade="t" o:hrpct="250" o:hralign="center" fillcolor="black" stroked="f"/>
        </w:pict>
      </w:r>
    </w:p>
    <w:p w:rsidR="009534E2" w:rsidRDefault="003369EB">
      <w:pPr>
        <w:spacing w:after="100"/>
        <w:ind w:firstLine="461"/>
        <w:rPr>
          <w:rFonts w:ascii="Times New Roman" w:hAnsi="Times New Roman" w:eastAsia="Times New Roman" w:cs="Times New Roman"/>
          <w:sz w:val="22"/>
          <w:szCs w:val="22"/>
          <w:lang w:eastAsia="ru-RU"/>
        </w:rPr>
      </w:pPr>
      <w:r>
        <w:rPr>
          <w:rFonts w:ascii="Times New Roman" w:hAnsi="Times New Roman" w:eastAsia="Times New Roman" w:cs="Times New Roman"/>
          <w:sz w:val="18"/>
          <w:szCs w:val="18"/>
          <w:lang w:eastAsia="ru-RU"/>
        </w:rPr>
        <w:t>Indicate the number of outstanding shares of each of the Issuer’s classes of capital or common stock as of the close of the period covered by the annual report.</w:t>
      </w:r>
    </w:p>
    <w:p w:rsidR="009534E2" w:rsidRDefault="003369EB">
      <w:pPr>
        <w:spacing w:after="100"/>
        <w:jc w:val="center"/>
        <w:rPr>
          <w:rFonts w:ascii="Times New Roman" w:hAnsi="Times New Roman" w:eastAsia="Times New Roman" w:cs="Times New Roman"/>
          <w:sz w:val="22"/>
          <w:szCs w:val="22"/>
          <w:lang w:eastAsia="ru-RU"/>
        </w:rPr>
      </w:pPr>
      <w:r>
        <w:rPr>
          <w:rFonts w:ascii="Times New Roman" w:hAnsi="Times New Roman" w:eastAsia="Times New Roman" w:cs="Times New Roman"/>
          <w:b/>
          <w:bCs/>
          <w:sz w:val="18"/>
          <w:szCs w:val="18"/>
          <w:lang w:eastAsia="ru-RU"/>
        </w:rPr>
        <w:t xml:space="preserve">As of December 31, 2022, </w:t>
      </w:r>
      <w:bookmarkStart w:name="_5efd4ccd_9703_46cb_9623_18358318dd51" w:id="30"/>
      <w:r>
        <w:rPr>
          <w:rFonts w:ascii="Times New Roman" w:hAnsi="Times New Roman" w:eastAsia="Times New Roman" w:cs="Times New Roman"/>
          <w:b/>
          <w:bCs/>
          <w:sz w:val="18"/>
          <w:szCs w:val="18"/>
          <w:lang w:eastAsia="ru-RU"/>
        </w:rPr>
        <w:t>10,413,522</w:t>
      </w:r>
      <w:bookmarkEnd w:id="30"/>
      <w:r>
        <w:rPr>
          <w:rFonts w:ascii="Times New Roman" w:hAnsi="Times New Roman" w:eastAsia="Times New Roman" w:cs="Times New Roman"/>
          <w:b/>
          <w:bCs/>
          <w:sz w:val="18"/>
          <w:szCs w:val="18"/>
          <w:lang w:eastAsia="ru-RU"/>
        </w:rPr>
        <w:t xml:space="preserve"> Class A ordinary shares, par value EUR 0.0005 per share and </w:t>
      </w:r>
      <w:bookmarkStart w:name="_2cd16c53_1cba_4f2e_9a8f_fb9de2f4903e" w:id="31"/>
      <w:r>
        <w:rPr>
          <w:rFonts w:ascii="Times New Roman" w:hAnsi="Times New Roman" w:eastAsia="Times New Roman" w:cs="Times New Roman"/>
          <w:b/>
          <w:bCs/>
          <w:sz w:val="18"/>
          <w:szCs w:val="18"/>
          <w:lang w:eastAsia="ru-RU"/>
        </w:rPr>
        <w:t>52,299,453</w:t>
      </w:r>
      <w:bookmarkEnd w:id="31"/>
      <w:r>
        <w:rPr>
          <w:rFonts w:ascii="Times New Roman" w:hAnsi="Times New Roman" w:eastAsia="Times New Roman" w:cs="Times New Roman"/>
          <w:b/>
          <w:bCs/>
          <w:sz w:val="18"/>
          <w:szCs w:val="18"/>
          <w:lang w:eastAsia="ru-RU"/>
        </w:rPr>
        <w:t xml:space="preserve"> Class B ordinary shares, par value EUR 0.0005 per share were outstanding.</w:t>
      </w:r>
    </w:p>
    <w:p w:rsidR="009534E2" w:rsidRDefault="003369EB">
      <w:pPr>
        <w:spacing w:after="100"/>
        <w:ind w:firstLine="461"/>
        <w:rPr>
          <w:rFonts w:ascii="Times New Roman" w:hAnsi="Times New Roman" w:eastAsia="Times New Roman" w:cs="Times New Roman"/>
          <w:sz w:val="22"/>
          <w:szCs w:val="22"/>
          <w:lang w:eastAsia="ru-RU"/>
        </w:rPr>
      </w:pPr>
      <w:r>
        <w:rPr>
          <w:rFonts w:ascii="Times New Roman" w:hAnsi="Times New Roman" w:eastAsia="Times New Roman" w:cs="Times New Roman"/>
          <w:sz w:val="18"/>
          <w:szCs w:val="18"/>
          <w:lang w:eastAsia="ru-RU"/>
        </w:rPr>
        <w:t>Indicate by check mark if the registrant is a well-known seasoned issuer, as defined in Rule 405 of the Securities Act.    Yes   </w:t>
      </w:r>
      <w:bookmarkStart w:name="_babc18c3_6aa4_4da6_8bc7_7f283bd1d832" w:id="32"/>
      <w:r>
        <w:rPr>
          <w:rFonts w:ascii="Segoe UI Symbol" w:hAnsi="Segoe UI Symbol" w:eastAsia="Times New Roman" w:cs="Times New Roman"/>
          <w:sz w:val="18"/>
          <w:szCs w:val="18"/>
          <w:lang w:eastAsia="ru-RU"/>
        </w:rPr>
        <w:t>☐</w:t>
      </w:r>
      <w:bookmarkEnd w:id="32"/>
      <w:r>
        <w:rPr>
          <w:rFonts w:ascii="Times New Roman" w:hAnsi="Times New Roman" w:eastAsia="Times New Roman" w:cs="Times New Roman"/>
          <w:sz w:val="18"/>
          <w:szCs w:val="18"/>
          <w:lang w:eastAsia="ru-RU"/>
        </w:rPr>
        <w:t>    </w:t>
      </w:r>
      <w:bookmarkStart w:name="_69b3b7c5_458e_44e0_8d09_c68ee9296499" w:id="33"/>
      <w:r>
        <w:rPr>
          <w:rFonts w:ascii="Times New Roman" w:hAnsi="Times New Roman" w:eastAsia="Times New Roman" w:cs="Times New Roman"/>
          <w:sz w:val="18"/>
          <w:szCs w:val="18"/>
          <w:lang w:eastAsia="ru-RU"/>
        </w:rPr>
        <w:t>No</w:t>
      </w:r>
      <w:bookmarkEnd w:id="33"/>
      <w:r>
        <w:rPr>
          <w:rFonts w:ascii="Times New Roman" w:hAnsi="Times New Roman" w:eastAsia="Times New Roman" w:cs="Times New Roman"/>
          <w:sz w:val="18"/>
          <w:szCs w:val="18"/>
          <w:lang w:eastAsia="ru-RU"/>
        </w:rPr>
        <w:t>   </w:t>
      </w:r>
      <w:r>
        <w:rPr>
          <w:rFonts w:ascii="Segoe UI Symbol" w:hAnsi="Segoe UI Symbol" w:eastAsia="Times New Roman" w:cs="Times New Roman"/>
          <w:sz w:val="18"/>
          <w:szCs w:val="18"/>
          <w:lang w:eastAsia="ru-RU"/>
        </w:rPr>
        <w:t>☒</w:t>
      </w:r>
    </w:p>
    <w:p w:rsidR="009534E2" w:rsidRDefault="003369EB">
      <w:pPr>
        <w:spacing w:after="100"/>
        <w:ind w:firstLine="461"/>
        <w:rPr>
          <w:rFonts w:ascii="Times New Roman" w:hAnsi="Times New Roman" w:eastAsia="Times New Roman" w:cs="Times New Roman"/>
          <w:sz w:val="22"/>
          <w:szCs w:val="22"/>
          <w:lang w:eastAsia="ru-RU"/>
        </w:rPr>
      </w:pPr>
      <w:r>
        <w:rPr>
          <w:rFonts w:ascii="Times New Roman" w:hAnsi="Times New Roman" w:eastAsia="Times New Roman" w:cs="Times New Roman"/>
          <w:sz w:val="18"/>
          <w:szCs w:val="18"/>
          <w:lang w:eastAsia="ru-RU"/>
        </w:rPr>
        <w:t>If this report is an annual or transition report, indicate by check mark if the registrant is not required to file reports pursuant to Section 13 or 15(d) of the Securities Exchange Act of 1934.    Yes   </w:t>
      </w:r>
      <w:bookmarkStart w:name="_88659d0e_1342_4a2b_97c8_691413385caa" w:id="34"/>
      <w:r>
        <w:rPr>
          <w:rFonts w:ascii="Segoe UI Symbol" w:hAnsi="Segoe UI Symbol" w:eastAsia="Times New Roman" w:cs="Times New Roman"/>
          <w:sz w:val="18"/>
          <w:szCs w:val="18"/>
          <w:lang w:eastAsia="ru-RU"/>
        </w:rPr>
        <w:t>☐</w:t>
      </w:r>
      <w:bookmarkEnd w:id="34"/>
      <w:r>
        <w:rPr>
          <w:rFonts w:ascii="Times New Roman" w:hAnsi="Times New Roman" w:eastAsia="Times New Roman" w:cs="Times New Roman"/>
          <w:sz w:val="18"/>
          <w:szCs w:val="18"/>
          <w:lang w:eastAsia="ru-RU"/>
        </w:rPr>
        <w:t xml:space="preserve">     </w:t>
      </w:r>
      <w:bookmarkStart w:name="_57521ba0_2df8_455c_a03b_4ebdc9f62eb6" w:id="35"/>
      <w:r>
        <w:rPr>
          <w:rFonts w:ascii="Times New Roman" w:hAnsi="Times New Roman" w:eastAsia="Times New Roman" w:cs="Times New Roman"/>
          <w:sz w:val="18"/>
          <w:szCs w:val="18"/>
          <w:lang w:eastAsia="ru-RU"/>
        </w:rPr>
        <w:t>No</w:t>
      </w:r>
      <w:bookmarkEnd w:id="35"/>
      <w:r>
        <w:rPr>
          <w:rFonts w:ascii="Times New Roman" w:hAnsi="Times New Roman" w:eastAsia="Times New Roman" w:cs="Times New Roman"/>
          <w:sz w:val="18"/>
          <w:szCs w:val="18"/>
          <w:lang w:eastAsia="ru-RU"/>
        </w:rPr>
        <w:t>   </w:t>
      </w:r>
      <w:bookmarkStart w:name="_4d753d5c_4534_49c5_8a83_164b772e78a3" w:id="36"/>
      <w:r>
        <w:rPr>
          <w:rFonts w:ascii="Segoe UI Symbol" w:hAnsi="Segoe UI Symbol" w:eastAsia="Times New Roman" w:cs="Times New Roman"/>
          <w:sz w:val="18"/>
          <w:szCs w:val="18"/>
          <w:lang w:eastAsia="ru-RU"/>
        </w:rPr>
        <w:t>☒</w:t>
      </w:r>
      <w:bookmarkEnd w:id="36"/>
    </w:p>
    <w:p w:rsidR="009534E2" w:rsidRDefault="003369EB">
      <w:pPr>
        <w:spacing w:after="100"/>
        <w:ind w:firstLine="461"/>
        <w:rPr>
          <w:rFonts w:ascii="Times New Roman" w:hAnsi="Times New Roman" w:eastAsia="Times New Roman" w:cs="Times New Roman"/>
          <w:sz w:val="22"/>
          <w:szCs w:val="22"/>
          <w:lang w:eastAsia="ru-RU"/>
        </w:rPr>
      </w:pPr>
      <w:r>
        <w:rPr>
          <w:rFonts w:ascii="Times New Roman" w:hAnsi="Times New Roman" w:eastAsia="Times New Roman" w:cs="Times New Roman"/>
          <w:sz w:val="18"/>
          <w:szCs w:val="18"/>
          <w:lang w:eastAsia="ru-RU"/>
        </w:rPr>
        <w:t>Indicate by check mark whether the registrant (1) has filed all reports required to be filed by Section 13 or 15(d) of the Securities Exchange Act of 1934 during the preceding 12 months (or for such a shorter period that the registrant was required to file such reports), and (2) has been subject to such filing requirements for the past 90 days.    </w:t>
      </w:r>
      <w:bookmarkStart w:name="_bd475919_4a3b_4be3_9687_b6f082721e29" w:id="37"/>
      <w:r>
        <w:rPr>
          <w:rFonts w:ascii="Times New Roman" w:hAnsi="Times New Roman" w:eastAsia="Times New Roman" w:cs="Times New Roman"/>
          <w:sz w:val="18"/>
          <w:szCs w:val="18"/>
          <w:lang w:eastAsia="ru-RU"/>
        </w:rPr>
        <w:t>Yes</w:t>
      </w:r>
      <w:bookmarkEnd w:id="37"/>
      <w:r>
        <w:rPr>
          <w:rFonts w:ascii="Times New Roman" w:hAnsi="Times New Roman" w:eastAsia="Times New Roman" w:cs="Times New Roman"/>
          <w:sz w:val="18"/>
          <w:szCs w:val="18"/>
          <w:lang w:eastAsia="ru-RU"/>
        </w:rPr>
        <w:t>   </w:t>
      </w:r>
      <w:r>
        <w:rPr>
          <w:rFonts w:ascii="Segoe UI Symbol" w:hAnsi="Segoe UI Symbol" w:eastAsia="Times New Roman" w:cs="Times New Roman"/>
          <w:sz w:val="18"/>
          <w:szCs w:val="18"/>
          <w:lang w:eastAsia="ru-RU"/>
        </w:rPr>
        <w:t>☒</w:t>
      </w:r>
      <w:r>
        <w:rPr>
          <w:rFonts w:ascii="Times New Roman" w:hAnsi="Times New Roman" w:eastAsia="Times New Roman" w:cs="Times New Roman"/>
          <w:sz w:val="18"/>
          <w:szCs w:val="18"/>
          <w:lang w:eastAsia="ru-RU"/>
        </w:rPr>
        <w:t>    No   </w:t>
      </w:r>
      <w:r>
        <w:rPr>
          <w:rFonts w:ascii="Segoe UI Symbol" w:hAnsi="Segoe UI Symbol" w:eastAsia="Times New Roman" w:cs="Times New Roman"/>
          <w:sz w:val="18"/>
          <w:szCs w:val="18"/>
          <w:lang w:eastAsia="ru-RU"/>
        </w:rPr>
        <w:t>☐</w:t>
      </w:r>
    </w:p>
    <w:p w:rsidR="009534E2" w:rsidRDefault="003369EB">
      <w:pPr>
        <w:spacing w:after="100"/>
        <w:ind w:firstLine="461"/>
        <w:rPr>
          <w:rFonts w:ascii="Times New Roman" w:hAnsi="Times New Roman" w:eastAsia="Times New Roman" w:cs="Times New Roman"/>
          <w:sz w:val="22"/>
          <w:szCs w:val="22"/>
          <w:lang w:eastAsia="ru-RU"/>
        </w:rPr>
      </w:pPr>
      <w:r>
        <w:rPr>
          <w:rFonts w:ascii="Times New Roman" w:hAnsi="Times New Roman" w:eastAsia="Times New Roman" w:cs="Times New Roman"/>
          <w:sz w:val="18"/>
          <w:szCs w:val="18"/>
          <w:lang w:eastAsia="ru-RU"/>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w:t>
      </w:r>
      <w:bookmarkStart w:name="_300d3b39_7341_4a1f_a507_3d9f0de77823" w:id="38"/>
      <w:r>
        <w:rPr>
          <w:rFonts w:ascii="Times New Roman" w:hAnsi="Times New Roman" w:eastAsia="Times New Roman" w:cs="Times New Roman"/>
          <w:sz w:val="18"/>
          <w:szCs w:val="18"/>
          <w:lang w:eastAsia="ru-RU"/>
        </w:rPr>
        <w:t>Yes</w:t>
      </w:r>
      <w:bookmarkEnd w:id="38"/>
      <w:r>
        <w:rPr>
          <w:rFonts w:ascii="Times New Roman" w:hAnsi="Times New Roman" w:eastAsia="Times New Roman" w:cs="Times New Roman"/>
          <w:sz w:val="18"/>
          <w:szCs w:val="18"/>
          <w:lang w:eastAsia="ru-RU"/>
        </w:rPr>
        <w:t>   </w:t>
      </w:r>
      <w:r>
        <w:rPr>
          <w:rFonts w:ascii="Segoe UI Symbol" w:hAnsi="Segoe UI Symbol" w:eastAsia="Times New Roman" w:cs="Times New Roman"/>
          <w:sz w:val="18"/>
          <w:szCs w:val="18"/>
          <w:lang w:eastAsia="ru-RU"/>
        </w:rPr>
        <w:t>☒</w:t>
      </w:r>
      <w:r>
        <w:rPr>
          <w:rFonts w:ascii="Times New Roman" w:hAnsi="Times New Roman" w:eastAsia="Times New Roman" w:cs="Times New Roman"/>
          <w:sz w:val="18"/>
          <w:szCs w:val="18"/>
          <w:lang w:eastAsia="ru-RU"/>
        </w:rPr>
        <w:t xml:space="preserve">     No   </w:t>
      </w:r>
      <w:r>
        <w:rPr>
          <w:rFonts w:ascii="Segoe UI Symbol" w:hAnsi="Segoe UI Symbol" w:eastAsia="Times New Roman" w:cs="Times New Roman"/>
          <w:sz w:val="18"/>
          <w:szCs w:val="18"/>
          <w:lang w:eastAsia="ru-RU"/>
        </w:rPr>
        <w:t>☐</w:t>
      </w:r>
    </w:p>
    <w:p w:rsidR="009534E2" w:rsidRDefault="003369EB">
      <w:pPr>
        <w:ind w:firstLine="461"/>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Indicate by check mark whether the registrant is a large accelerated filer, an accelerated filer, a non-accelerated filer, or an emerging growth company. See definition of “large accelerated filer, “accelerated filer,” and “emerging growth company” in Rule 12b-2 of the Exchange Act.</w:t>
      </w:r>
    </w:p>
    <w:p w:rsidR="009534E2" w:rsidRDefault="009534E2">
      <w:pPr>
        <w:ind w:firstLine="461"/>
        <w:rPr>
          <w:rFonts w:ascii="Times New Roman" w:hAnsi="Times New Roman" w:eastAsia="Times New Roman" w:cs="Times New Roman"/>
          <w:sz w:val="8"/>
          <w:szCs w:val="8"/>
          <w:lang w:eastAsia="ru-RU"/>
        </w:rPr>
      </w:pPr>
    </w:p>
    <w:tbl>
      <w:tblPr>
        <w:tblW w:w="5000" w:type="pct"/>
        <w:jc w:val="center"/>
        <w:tblCellMar>
          <w:left w:w="0" w:type="dxa"/>
          <w:right w:w="0" w:type="dxa"/>
        </w:tblCellMar>
        <w:tblLook w:val="04A0" w:firstRow="1" w:lastRow="0" w:firstColumn="1" w:lastColumn="0" w:noHBand="0" w:noVBand="1"/>
      </w:tblPr>
      <w:tblGrid>
        <w:gridCol w:w="2584"/>
        <w:gridCol w:w="2744"/>
        <w:gridCol w:w="2584"/>
        <w:gridCol w:w="2888"/>
      </w:tblGrid>
      <w:tr w:rsidR="009534E2">
        <w:trPr>
          <w:jc w:val="center"/>
        </w:trPr>
        <w:tc>
          <w:tcPr>
            <w:tcW w:w="1196" w:type="pct"/>
            <w:vAlign w:val="bottom"/>
            <w:hideMark/>
          </w:tcPr>
          <w:p w:rsidR="009534E2" w:rsidRDefault="003369EB">
            <w:pPr>
              <w:rPr>
                <w:rFonts w:ascii="Times New Roman" w:hAnsi="Times New Roman" w:eastAsia="Times New Roman" w:cs="Times New Roman"/>
                <w:sz w:val="18"/>
                <w:szCs w:val="22"/>
                <w:lang w:eastAsia="ru-RU"/>
              </w:rPr>
            </w:pPr>
            <w:bookmarkStart w:name="_eed6edf8_2115_4e44_9d16_8439ec915a70" w:id="39"/>
            <w:bookmarkStart w:name="_dc756431_4ca2_40f6_980b_d7ec0a875747" w:id="40"/>
            <w:bookmarkEnd w:id="39"/>
            <w:r>
              <w:rPr>
                <w:rFonts w:ascii="Times New Roman" w:hAnsi="Times New Roman" w:eastAsia="Times New Roman" w:cs="Times New Roman"/>
                <w:sz w:val="18"/>
                <w:szCs w:val="18"/>
                <w:lang w:eastAsia="ru-RU"/>
              </w:rPr>
              <w:t>Large accelerated filer  </w:t>
            </w:r>
            <w:r>
              <w:rPr>
                <w:rFonts w:ascii="Segoe UI Symbol" w:hAnsi="Segoe UI Symbol" w:eastAsia="Times New Roman" w:cs="Times New Roman"/>
                <w:sz w:val="18"/>
                <w:szCs w:val="18"/>
                <w:lang w:eastAsia="ru-RU"/>
              </w:rPr>
              <w:t>☐</w:t>
            </w:r>
          </w:p>
        </w:tc>
        <w:tc>
          <w:tcPr>
            <w:tcW w:w="1270" w:type="pct"/>
            <w:vAlign w:val="bottom"/>
            <w:hideMark/>
          </w:tcPr>
          <w:p w:rsidR="009534E2" w:rsidRDefault="003369EB">
            <w:pPr>
              <w:rPr>
                <w:rFonts w:ascii="Times New Roman" w:hAnsi="Times New Roman" w:eastAsia="Times New Roman" w:cs="Times New Roman"/>
                <w:sz w:val="18"/>
                <w:szCs w:val="22"/>
                <w:lang w:eastAsia="ru-RU"/>
              </w:rPr>
            </w:pPr>
            <w:bookmarkStart w:name="_2c78c0d2_44ba_4da6_aa2c_6512ed65b106" w:id="41"/>
            <w:r>
              <w:rPr>
                <w:rFonts w:ascii="Times New Roman" w:hAnsi="Times New Roman" w:eastAsia="Times New Roman" w:cs="Times New Roman"/>
                <w:sz w:val="18"/>
                <w:szCs w:val="18"/>
                <w:lang w:eastAsia="ru-RU"/>
              </w:rPr>
              <w:t>Accelerated filer</w:t>
            </w:r>
            <w:bookmarkEnd w:id="41"/>
            <w:r>
              <w:rPr>
                <w:rFonts w:ascii="Times New Roman" w:hAnsi="Times New Roman" w:eastAsia="Times New Roman" w:cs="Times New Roman"/>
                <w:sz w:val="18"/>
                <w:szCs w:val="18"/>
                <w:lang w:eastAsia="ru-RU"/>
              </w:rPr>
              <w:t>  </w:t>
            </w:r>
            <w:r>
              <w:rPr>
                <w:rFonts w:ascii="Segoe UI Symbol" w:hAnsi="Segoe UI Symbol" w:eastAsia="Times New Roman" w:cs="Times New Roman"/>
                <w:sz w:val="18"/>
                <w:szCs w:val="18"/>
                <w:lang w:eastAsia="ru-RU"/>
              </w:rPr>
              <w:t>☒</w:t>
            </w:r>
          </w:p>
        </w:tc>
        <w:tc>
          <w:tcPr>
            <w:tcW w:w="1196" w:type="pct"/>
            <w:vAlign w:val="bottom"/>
            <w:hideMark/>
          </w:tcPr>
          <w:p w:rsidR="009534E2" w:rsidRDefault="003369EB">
            <w:pPr>
              <w:rPr>
                <w:rFonts w:ascii="Times New Roman" w:hAnsi="Times New Roman" w:eastAsia="Times New Roman" w:cs="Times New Roman"/>
                <w:sz w:val="18"/>
                <w:szCs w:val="22"/>
                <w:lang w:eastAsia="ru-RU"/>
              </w:rPr>
            </w:pPr>
            <w:r>
              <w:rPr>
                <w:rFonts w:ascii="Times New Roman" w:hAnsi="Times New Roman" w:eastAsia="Times New Roman" w:cs="Times New Roman"/>
                <w:sz w:val="18"/>
                <w:szCs w:val="18"/>
                <w:lang w:eastAsia="ru-RU"/>
              </w:rPr>
              <w:t>Non-accelerated filer  </w:t>
            </w:r>
            <w:r>
              <w:rPr>
                <w:rFonts w:ascii="Segoe UI Symbol" w:hAnsi="Segoe UI Symbol" w:eastAsia="Times New Roman" w:cs="Times New Roman"/>
                <w:sz w:val="18"/>
                <w:szCs w:val="18"/>
                <w:lang w:eastAsia="ru-RU"/>
              </w:rPr>
              <w:t>☐</w:t>
            </w:r>
          </w:p>
        </w:tc>
        <w:tc>
          <w:tcPr>
            <w:tcW w:w="1337" w:type="pct"/>
            <w:vAlign w:val="bottom"/>
            <w:hideMark/>
          </w:tcPr>
          <w:p w:rsidR="009534E2" w:rsidRDefault="003369EB">
            <w:pPr>
              <w:rPr>
                <w:rFonts w:ascii="Times New Roman" w:hAnsi="Times New Roman" w:eastAsia="Times New Roman" w:cs="Times New Roman"/>
                <w:sz w:val="18"/>
                <w:szCs w:val="22"/>
                <w:lang w:eastAsia="ru-RU"/>
              </w:rPr>
            </w:pPr>
            <w:r>
              <w:rPr>
                <w:rFonts w:ascii="Times New Roman" w:hAnsi="Times New Roman" w:eastAsia="Times New Roman" w:cs="Times New Roman"/>
                <w:sz w:val="18"/>
                <w:szCs w:val="18"/>
                <w:lang w:eastAsia="ru-RU"/>
              </w:rPr>
              <w:t>Emerging growth company  </w:t>
            </w:r>
            <w:bookmarkStart w:name="_db108351_efdd_4405_a82a_bb6a443383a3" w:id="42"/>
            <w:r>
              <w:rPr>
                <w:rFonts w:ascii="Segoe UI Symbol" w:hAnsi="Segoe UI Symbol" w:eastAsia="Times New Roman" w:cs="Times New Roman"/>
                <w:sz w:val="18"/>
                <w:szCs w:val="18"/>
                <w:lang w:eastAsia="ru-RU"/>
              </w:rPr>
              <w:t>☐</w:t>
            </w:r>
            <w:bookmarkEnd w:id="42"/>
          </w:p>
        </w:tc>
      </w:tr>
      <w:bookmarkEnd w:id="40"/>
    </w:tbl>
    <w:p w:rsidR="009534E2" w:rsidRDefault="009534E2">
      <w:pPr>
        <w:rPr>
          <w:sz w:val="14"/>
          <w:szCs w:val="14"/>
        </w:rPr>
      </w:pPr>
    </w:p>
    <w:p w:rsidR="009534E2" w:rsidRDefault="003369EB">
      <w:pPr>
        <w:spacing w:after="100"/>
        <w:ind w:firstLine="461"/>
        <w:rPr>
          <w:rFonts w:ascii="Times New Roman" w:hAnsi="Times New Roman" w:eastAsia="Times New Roman" w:cs="Times New Roman"/>
          <w:sz w:val="22"/>
          <w:szCs w:val="22"/>
          <w:lang w:eastAsia="ru-RU"/>
        </w:rPr>
      </w:pPr>
      <w:r>
        <w:rPr>
          <w:rFonts w:ascii="Times New Roman" w:hAnsi="Times New Roman" w:eastAsia="Times New Roman" w:cs="Times New Roman"/>
          <w:sz w:val="18"/>
          <w:szCs w:val="18"/>
          <w:lang w:eastAsia="ru-RU"/>
        </w:rPr>
        <w:t>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    Yes   </w:t>
      </w:r>
      <w:bookmarkStart w:name="_cc200c7f_293f_4345_952d_273e39131933" w:id="43"/>
      <w:r>
        <w:rPr>
          <w:rFonts w:ascii="Segoe UI Symbol" w:hAnsi="Segoe UI Symbol" w:eastAsia="Times New Roman" w:cs="Times New Roman"/>
          <w:sz w:val="18"/>
          <w:szCs w:val="18"/>
          <w:lang w:eastAsia="ru-RU"/>
        </w:rPr>
        <w:t>☒</w:t>
      </w:r>
      <w:bookmarkEnd w:id="43"/>
      <w:r>
        <w:rPr>
          <w:rFonts w:ascii="Segoe UI Symbol" w:hAnsi="Segoe UI Symbol" w:eastAsia="Times New Roman" w:cs="Times New Roman"/>
          <w:sz w:val="18"/>
          <w:szCs w:val="18"/>
          <w:lang w:eastAsia="ru-RU"/>
        </w:rPr>
        <w:t> </w:t>
      </w:r>
      <w:r>
        <w:rPr>
          <w:rFonts w:ascii="Times New Roman" w:hAnsi="Times New Roman" w:eastAsia="Times New Roman" w:cs="Times New Roman"/>
          <w:sz w:val="18"/>
          <w:szCs w:val="18"/>
          <w:lang w:eastAsia="ru-RU"/>
        </w:rPr>
        <w:t>    No   </w:t>
      </w:r>
      <w:r>
        <w:rPr>
          <w:rFonts w:ascii="Segoe UI Symbol" w:hAnsi="Segoe UI Symbol" w:eastAsia="Times New Roman" w:cs="Times New Roman"/>
          <w:sz w:val="18"/>
          <w:szCs w:val="18"/>
          <w:lang w:eastAsia="ru-RU"/>
        </w:rPr>
        <w:t>☐</w:t>
      </w:r>
    </w:p>
    <w:p w:rsidR="009534E2" w:rsidRDefault="003369EB">
      <w:pPr>
        <w:spacing w:after="100"/>
        <w:ind w:firstLine="461"/>
        <w:rPr>
          <w:rFonts w:ascii="Segoe UI Symbol" w:hAnsi="Segoe UI Symbol" w:eastAsia="Times New Roman" w:cs="Segoe UI Symbol"/>
          <w:sz w:val="18"/>
          <w:szCs w:val="18"/>
          <w:lang w:eastAsia="ru-RU"/>
        </w:rPr>
      </w:pPr>
      <w:r>
        <w:rPr>
          <w:rFonts w:ascii="Times New Roman" w:hAnsi="Times New Roman" w:eastAsia="Times New Roman" w:cs="Times New Roman"/>
          <w:sz w:val="18"/>
          <w:szCs w:val="18"/>
          <w:lang w:eastAsia="ru-RU"/>
        </w:rPr>
        <w:t xml:space="preserve">If securities are registered pursuant to Section 12 (b) of the Act, indicate by check mark whether the financial statements of the registrant included in the filing reflect the correction or an error to previously issued financial statements   </w:t>
      </w:r>
      <w:r>
        <w:rPr>
          <w:rFonts w:ascii="Segoe UI Symbol" w:hAnsi="Segoe UI Symbol" w:eastAsia="Times New Roman" w:cs="Segoe UI Symbol"/>
          <w:sz w:val="18"/>
          <w:szCs w:val="18"/>
          <w:lang w:eastAsia="ru-RU"/>
        </w:rPr>
        <w:t>☐</w:t>
      </w:r>
    </w:p>
    <w:p w:rsidR="009534E2" w:rsidRDefault="003369EB">
      <w:pPr>
        <w:spacing w:after="100"/>
        <w:ind w:firstLine="461"/>
        <w:rPr>
          <w:rFonts w:ascii="Segoe UI Symbol" w:hAnsi="Segoe UI Symbol" w:eastAsia="Times New Roman" w:cs="Segoe UI Symbol"/>
          <w:sz w:val="18"/>
          <w:szCs w:val="18"/>
          <w:lang w:eastAsia="ru-RU"/>
        </w:rPr>
      </w:pPr>
      <w:r>
        <w:rPr>
          <w:rFonts w:ascii="Times New Roman" w:hAnsi="Times New Roman" w:eastAsia="Times New Roman" w:cs="Times New Roman"/>
          <w:sz w:val="18"/>
          <w:szCs w:val="18"/>
          <w:lang w:eastAsia="ru-RU"/>
        </w:rPr>
        <w:t xml:space="preserve">Indicate by check mark whether any of those error corrections are restatements that required a recovery analysis of incentive-based compensation received by any of the registrant's executive oﬃcers during the relevant recovery period pursuant to §240.10D-1(b). </w:t>
      </w:r>
      <w:r>
        <w:rPr>
          <w:rFonts w:ascii="Segoe UI Symbol" w:hAnsi="Segoe UI Symbol" w:eastAsia="Times New Roman" w:cs="Segoe UI Symbol"/>
          <w:sz w:val="18"/>
          <w:szCs w:val="18"/>
          <w:lang w:eastAsia="ru-RU"/>
        </w:rPr>
        <w:t>☐</w:t>
      </w:r>
    </w:p>
    <w:p w:rsidR="009534E2" w:rsidRDefault="003369EB">
      <w:pPr>
        <w:ind w:firstLine="461"/>
        <w:rPr>
          <w:rFonts w:ascii="Times New Roman" w:hAnsi="Times New Roman" w:eastAsia="Times New Roman" w:cs="Times New Roman"/>
          <w:sz w:val="22"/>
          <w:szCs w:val="22"/>
          <w:lang w:eastAsia="ru-RU"/>
        </w:rPr>
      </w:pPr>
      <w:r>
        <w:rPr>
          <w:rFonts w:ascii="Times New Roman" w:hAnsi="Times New Roman" w:eastAsia="Times New Roman" w:cs="Times New Roman"/>
          <w:sz w:val="18"/>
          <w:szCs w:val="18"/>
          <w:lang w:eastAsia="ru-RU"/>
        </w:rPr>
        <w:t>Indicate by check mark which basis of accounting the registrant has used to prepare the financial statements included in this filing:</w:t>
      </w:r>
    </w:p>
    <w:p w:rsidR="009534E2" w:rsidRDefault="009534E2">
      <w:pPr>
        <w:rPr>
          <w:rFonts w:ascii="Times New Roman" w:hAnsi="Times New Roman" w:eastAsia="Times New Roman" w:cs="Times New Roman"/>
          <w:sz w:val="8"/>
          <w:szCs w:val="8"/>
          <w:lang w:eastAsia="ru-RU"/>
        </w:rPr>
      </w:pPr>
    </w:p>
    <w:tbl>
      <w:tblPr>
        <w:tblW w:w="5000" w:type="pct"/>
        <w:jc w:val="center"/>
        <w:tblCellMar>
          <w:left w:w="0" w:type="dxa"/>
          <w:right w:w="0" w:type="dxa"/>
        </w:tblCellMar>
        <w:tblLook w:val="04A0" w:firstRow="1" w:lastRow="0" w:firstColumn="1" w:lastColumn="0" w:noHBand="0" w:noVBand="1"/>
      </w:tblPr>
      <w:tblGrid>
        <w:gridCol w:w="2700"/>
        <w:gridCol w:w="5940"/>
        <w:gridCol w:w="2160"/>
      </w:tblGrid>
      <w:tr w:rsidR="009534E2">
        <w:trPr>
          <w:jc w:val="center"/>
        </w:trPr>
        <w:tc>
          <w:tcPr>
            <w:tcW w:w="1250" w:type="pct"/>
            <w:hideMark/>
          </w:tcPr>
          <w:p w:rsidR="009534E2" w:rsidRDefault="003369EB">
            <w:pPr>
              <w:ind w:left="360"/>
              <w:rPr>
                <w:rFonts w:ascii="Times New Roman" w:hAnsi="Times New Roman" w:eastAsia="Times New Roman" w:cs="Times New Roman"/>
                <w:sz w:val="18"/>
                <w:szCs w:val="18"/>
                <w:lang w:eastAsia="ru-RU"/>
              </w:rPr>
            </w:pPr>
            <w:bookmarkStart w:name="_eae6ed9c_d326_4ff4_a357_4e47b76acff0" w:id="44"/>
            <w:bookmarkStart w:name="_7a13f181_a3f8_4a10_ad1e_5d70acf293fd" w:id="45"/>
            <w:bookmarkEnd w:id="44"/>
            <w:r>
              <w:rPr>
                <w:rFonts w:ascii="Times New Roman" w:hAnsi="Times New Roman" w:eastAsia="Times New Roman" w:cs="Times New Roman"/>
                <w:sz w:val="18"/>
                <w:szCs w:val="18"/>
                <w:lang w:val="ru-RU" w:eastAsia="ru-RU"/>
              </w:rPr>
              <w:t>US GAAP</w:t>
            </w:r>
            <w:r>
              <w:rPr>
                <w:rFonts w:ascii="Times New Roman" w:hAnsi="Times New Roman" w:eastAsia="Times New Roman" w:cs="Times New Roman"/>
                <w:sz w:val="18"/>
                <w:szCs w:val="18"/>
                <w:lang w:eastAsia="ru-RU"/>
              </w:rPr>
              <w:t>  </w:t>
            </w:r>
            <w:r>
              <w:rPr>
                <w:rFonts w:ascii="Segoe UI Symbol" w:hAnsi="Segoe UI Symbol" w:eastAsia="Times New Roman" w:cs="Times New Roman"/>
                <w:sz w:val="18"/>
                <w:szCs w:val="18"/>
                <w:lang w:eastAsia="ru-RU"/>
              </w:rPr>
              <w:t>☐</w:t>
            </w:r>
          </w:p>
        </w:tc>
        <w:tc>
          <w:tcPr>
            <w:tcW w:w="2750" w:type="pct"/>
            <w:vAlign w:val="bottom"/>
            <w:hideMark/>
          </w:tcPr>
          <w:p w:rsidR="009534E2" w:rsidRDefault="003369EB">
            <w:pPr>
              <w:rPr>
                <w:rFonts w:ascii="Times New Roman" w:hAnsi="Times New Roman" w:eastAsia="Times New Roman" w:cs="Times New Roman"/>
                <w:sz w:val="18"/>
                <w:szCs w:val="18"/>
                <w:lang w:eastAsia="ru-RU"/>
              </w:rPr>
            </w:pPr>
            <w:bookmarkStart w:name="_5c0840fd_5471_4d85_968e_2d3c0c6647da" w:id="46"/>
            <w:r>
              <w:rPr>
                <w:rFonts w:ascii="Times New Roman" w:hAnsi="Times New Roman" w:eastAsia="Times New Roman" w:cs="Times New Roman"/>
                <w:sz w:val="18"/>
                <w:szCs w:val="18"/>
                <w:lang w:eastAsia="ru-RU"/>
              </w:rPr>
              <w:t>International Financial Reporting Standards</w:t>
            </w:r>
            <w:bookmarkEnd w:id="46"/>
            <w:r>
              <w:rPr>
                <w:rFonts w:ascii="Times New Roman" w:hAnsi="Times New Roman" w:eastAsia="Times New Roman" w:cs="Times New Roman"/>
                <w:sz w:val="18"/>
                <w:szCs w:val="18"/>
                <w:lang w:eastAsia="ru-RU"/>
              </w:rPr>
              <w:t xml:space="preserve"> as issued</w:t>
            </w:r>
            <w:r>
              <w:rPr>
                <w:rFonts w:ascii="Times New Roman" w:hAnsi="Times New Roman" w:eastAsia="Times New Roman" w:cs="Times New Roman"/>
                <w:sz w:val="18"/>
                <w:szCs w:val="18"/>
                <w:lang w:eastAsia="ru-RU"/>
              </w:rPr>
              <w:br/>
              <w:t xml:space="preserve"> by the International Accounting Standards Board </w:t>
            </w:r>
            <w:r>
              <w:rPr>
                <w:rFonts w:ascii="Segoe UI Symbol" w:hAnsi="Segoe UI Symbol" w:eastAsia="Times New Roman" w:cs="Times New Roman"/>
                <w:sz w:val="18"/>
                <w:szCs w:val="18"/>
                <w:lang w:eastAsia="ru-RU"/>
              </w:rPr>
              <w:t>☒</w:t>
            </w:r>
          </w:p>
        </w:tc>
        <w:tc>
          <w:tcPr>
            <w:tcW w:w="1000" w:type="pct"/>
            <w:hideMark/>
          </w:tcPr>
          <w:p w:rsidR="009534E2" w:rsidRDefault="003369EB">
            <w:pP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val="ru-RU" w:eastAsia="ru-RU"/>
              </w:rPr>
              <w:t xml:space="preserve">Other </w:t>
            </w:r>
            <w:r>
              <w:rPr>
                <w:rFonts w:ascii="Segoe UI Symbol" w:hAnsi="Segoe UI Symbol" w:eastAsia="Times New Roman" w:cs="Times New Roman"/>
                <w:sz w:val="18"/>
                <w:szCs w:val="18"/>
                <w:lang w:eastAsia="ru-RU"/>
              </w:rPr>
              <w:t>☐</w:t>
            </w:r>
          </w:p>
        </w:tc>
      </w:tr>
      <w:bookmarkEnd w:id="45"/>
    </w:tbl>
    <w:p w:rsidR="009534E2" w:rsidRDefault="009534E2">
      <w:pPr>
        <w:rPr>
          <w:sz w:val="14"/>
          <w:szCs w:val="14"/>
        </w:rPr>
      </w:pPr>
    </w:p>
    <w:p w:rsidR="009534E2" w:rsidRDefault="003369EB">
      <w:pPr>
        <w:spacing w:after="100"/>
        <w:ind w:firstLine="461"/>
        <w:rPr>
          <w:rFonts w:ascii="Times New Roman" w:hAnsi="Times New Roman" w:eastAsia="Times New Roman" w:cs="Times New Roman"/>
          <w:sz w:val="22"/>
          <w:szCs w:val="22"/>
          <w:lang w:eastAsia="ru-RU"/>
        </w:rPr>
      </w:pPr>
      <w:r>
        <w:rPr>
          <w:rFonts w:ascii="Times New Roman" w:hAnsi="Times New Roman" w:eastAsia="Times New Roman" w:cs="Times New Roman"/>
          <w:sz w:val="18"/>
          <w:szCs w:val="18"/>
          <w:lang w:eastAsia="ru-RU"/>
        </w:rPr>
        <w:t>If “Other” has been checked in response to the previous question, indicate by check mark which financial statement item the Registrant has elected to follow: Item 17   </w:t>
      </w:r>
      <w:r>
        <w:rPr>
          <w:rFonts w:ascii="Segoe UI Symbol" w:hAnsi="Segoe UI Symbol" w:eastAsia="Times New Roman" w:cs="Times New Roman"/>
          <w:sz w:val="18"/>
          <w:szCs w:val="18"/>
          <w:lang w:eastAsia="ru-RU"/>
        </w:rPr>
        <w:t>☐ </w:t>
      </w:r>
      <w:r>
        <w:rPr>
          <w:rFonts w:ascii="Times New Roman" w:hAnsi="Times New Roman" w:eastAsia="Times New Roman" w:cs="Times New Roman"/>
          <w:sz w:val="18"/>
          <w:szCs w:val="18"/>
          <w:lang w:eastAsia="ru-RU"/>
        </w:rPr>
        <w:t xml:space="preserve">    Item 18   </w:t>
      </w:r>
      <w:r>
        <w:rPr>
          <w:rFonts w:ascii="Segoe UI Symbol" w:hAnsi="Segoe UI Symbol" w:eastAsia="Times New Roman" w:cs="Times New Roman"/>
          <w:sz w:val="18"/>
          <w:szCs w:val="18"/>
          <w:lang w:eastAsia="ru-RU"/>
        </w:rPr>
        <w:t>☐</w:t>
      </w:r>
    </w:p>
    <w:p w:rsidR="009534E2" w:rsidRDefault="003369EB">
      <w:pPr>
        <w:spacing w:after="100"/>
        <w:ind w:firstLine="461"/>
        <w:rPr>
          <w:rFonts w:ascii="Times New Roman" w:hAnsi="Wingdings" w:eastAsia="Times New Roman" w:cs="Wingdings"/>
          <w:sz w:val="18"/>
          <w:szCs w:val="18"/>
          <w:lang w:eastAsia="ru-RU"/>
        </w:rPr>
      </w:pPr>
      <w:r>
        <w:rPr>
          <w:rFonts w:ascii="Times New Roman" w:hAnsi="Times New Roman" w:eastAsia="Times New Roman" w:cs="Times New Roman"/>
          <w:sz w:val="18"/>
          <w:szCs w:val="18"/>
          <w:lang w:eastAsia="ru-RU"/>
        </w:rPr>
        <w:t>If this is an annual report, indicate by check mark whether the registrant is a shell company (as defined in Rule 12b-2 of the Exchange Act).    Yes   </w:t>
      </w:r>
      <w:r>
        <w:rPr>
          <w:rFonts w:ascii="Segoe UI Symbol" w:hAnsi="Segoe UI Symbol" w:eastAsia="Times New Roman" w:cs="Times New Roman"/>
          <w:sz w:val="18"/>
          <w:szCs w:val="18"/>
          <w:lang w:eastAsia="ru-RU"/>
        </w:rPr>
        <w:t>☐ </w:t>
      </w:r>
      <w:r>
        <w:rPr>
          <w:rFonts w:ascii="Times New Roman" w:hAnsi="Times New Roman" w:eastAsia="Times New Roman" w:cs="Times New Roman"/>
          <w:sz w:val="18"/>
          <w:szCs w:val="18"/>
          <w:lang w:eastAsia="ru-RU"/>
        </w:rPr>
        <w:t>    No   </w:t>
      </w:r>
      <w:bookmarkStart w:name="_7d8b2330_45e1_4a0a_b425_607836a59c55" w:id="47"/>
      <w:r>
        <w:rPr>
          <w:rFonts w:ascii="Segoe UI Symbol" w:hAnsi="Segoe UI Symbol" w:eastAsia="Times New Roman" w:cs="Times New Roman"/>
          <w:sz w:val="18"/>
          <w:szCs w:val="18"/>
          <w:lang w:eastAsia="ru-RU"/>
        </w:rPr>
        <w:t>☒</w:t>
      </w:r>
    </w:p>
    <w:bookmarkEnd w:displacedByCustomXml="next" w:id="47"/>
    <w:p w:rsidR="009534E2" w:rsidRDefault="009534E2">
      <w:pPr>
        <w:ind w:firstLine="461"/>
        <w:rPr>
          <w:rFonts w:ascii="Times New Roman" w:hAnsi="Wingdings" w:eastAsia="Times New Roman" w:cs="Wingdings"/>
          <w:sz w:val="10"/>
          <w:szCs w:val="10"/>
          <w:lang w:val="ru-RU" w:eastAsia="ru-RU"/>
        </w:rPr>
      </w:pPr>
    </w:p>
    <w:p w:rsidR="009534E2" w:rsidRDefault="009534E2">
      <w:pPr>
        <w:pBdr>
          <w:top w:val="single" w:color="auto" w:sz="8" w:space="1"/>
          <w:bottom w:val="single" w:color="auto" w:sz="24" w:space="1"/>
        </w:pBdr>
        <w:spacing w:after="100"/>
        <w:ind w:firstLine="461"/>
        <w:rPr>
          <w:rFonts w:ascii="Times New Roman" w:hAnsi="Wingdings" w:eastAsia="Times New Roman" w:cs="Wingdings"/>
          <w:sz w:val="2"/>
          <w:szCs w:val="2"/>
          <w:lang w:val="ru-RU" w:eastAsia="ru-RU"/>
        </w:rPr>
      </w:pPr>
    </w:p>
    <w:p w:rsidR="009534E2" w:rsidRDefault="009534E2">
      <w:pPr>
        <w:rPr>
          <w:rFonts w:eastAsia="Times New Roman"/>
          <w:sz w:val="6"/>
          <w:szCs w:val="6"/>
        </w:rPr>
      </w:pPr>
    </w:p>
    <w:p w:rsidR="009534E2" w:rsidRDefault="009534E2">
      <w:pPr>
        <w:rPr>
          <w:rFonts w:eastAsia="Times New Roman"/>
          <w:sz w:val="6"/>
          <w:szCs w:val="6"/>
        </w:rPr>
        <w:sectPr w:rsidR="009534E2">
          <w:headerReference w:type="default" r:id="rId8"/>
          <w:headerReference w:type="first" r:id="rId9"/>
          <w:footerReference w:type="first" r:id="rId10"/>
          <w:pgSz w:w="12240" w:h="15840" w:code="1"/>
          <w:pgMar w:top="720" w:right="720" w:bottom="720" w:left="720" w:header="720" w:footer="720" w:gutter="0"/>
          <w:pgNumType w:start="1"/>
          <w:cols w:space="720"/>
          <w:vAlign w:val="center"/>
          <w:docGrid w:linePitch="360"/>
        </w:sectPr>
      </w:pPr>
    </w:p>
    <w:bookmarkStart w:name="_e5128555_0fbe_41bf_8fe2_dd22ea29582e" w:displacedByCustomXml="next" w:id="48"/>
    <w:bookmarkEnd w:displacedByCustomXml="next" w:id="48"/>
    <w:p w:rsidR="009534E2" w:rsidRDefault="003369EB">
      <w:pPr>
        <w:keepNext/>
        <w:keepLines/>
        <w:spacing w:after="200"/>
        <w:ind w:firstLine="461"/>
        <w:jc w:val="center"/>
        <w:rPr>
          <w:b/>
          <w:bCs/>
        </w:rPr>
      </w:pPr>
      <w:r>
        <w:rPr>
          <w:b/>
          <w:bCs/>
        </w:rPr>
        <w:t>TABLE OF CONTENTS</w:t>
      </w:r>
      <w:bookmarkStart w:name="TOC" w:id="49"/>
      <w:bookmarkEnd w:id="49"/>
    </w:p>
    <w:tbl>
      <w:tblPr>
        <w:tblW w:w="5000" w:type="pct"/>
        <w:jc w:val="center"/>
        <w:tblCellMar>
          <w:left w:w="0" w:type="dxa"/>
          <w:right w:w="0" w:type="dxa"/>
        </w:tblCellMar>
        <w:tblLook w:val="04A0" w:firstRow="1" w:lastRow="0" w:firstColumn="1" w:lastColumn="0" w:noHBand="0" w:noVBand="1"/>
      </w:tblPr>
      <w:tblGrid>
        <w:gridCol w:w="1136"/>
        <w:gridCol w:w="333"/>
        <w:gridCol w:w="389"/>
        <w:gridCol w:w="458"/>
        <w:gridCol w:w="7968"/>
        <w:gridCol w:w="516"/>
      </w:tblGrid>
      <w:tr w:rsidR="009534E2">
        <w:trPr>
          <w:cantSplit/>
          <w:trHeight w:val="20" w:hRule="exact"/>
          <w:jc w:val="center"/>
        </w:trPr>
        <w:tc>
          <w:tcPr>
            <w:tcW w:w="512" w:type="pct"/>
          </w:tcPr>
          <w:p w:rsidR="009534E2" w:rsidRDefault="009534E2">
            <w:pPr>
              <w:rPr>
                <w:rFonts w:ascii="Times New Roman" w:hAnsi="Times New Roman" w:eastAsia="Times New Roman" w:cs="Times New Roman"/>
              </w:rPr>
            </w:pPr>
            <w:bookmarkStart w:name="_2911d6e1_3488_49c0_bbf1_bb12830f3142" w:id="50"/>
            <w:bookmarkStart w:name="_a59c4f40_0b24_4ab2_a839_857a93ad7168" w:id="51"/>
            <w:bookmarkStart w:name="_9a4e1c8f_7d3a_4bc7_9b62_f172b025825f" w:id="52"/>
            <w:bookmarkStart w:name="_878a9961_55a0_4a43_b9f7_afbd5d7bd8a5" w:id="53"/>
            <w:bookmarkEnd w:id="50"/>
          </w:p>
        </w:tc>
        <w:tc>
          <w:tcPr>
            <w:tcW w:w="150" w:type="pct"/>
            <w:vAlign w:val="bottom"/>
          </w:tcPr>
          <w:p w:rsidR="009534E2" w:rsidRDefault="009534E2">
            <w:pPr>
              <w:rPr>
                <w:rFonts w:ascii="Times New Roman" w:hAnsi="Times New Roman" w:eastAsia="Times New Roman" w:cs="Times New Roman"/>
              </w:rPr>
            </w:pPr>
          </w:p>
        </w:tc>
        <w:tc>
          <w:tcPr>
            <w:tcW w:w="175" w:type="pct"/>
            <w:vAlign w:val="bottom"/>
            <w:hideMark/>
          </w:tcPr>
          <w:p w:rsidR="009534E2" w:rsidRDefault="009534E2">
            <w:pPr>
              <w:rPr>
                <w:rFonts w:ascii="Times New Roman" w:hAnsi="Times New Roman" w:eastAsia="Times New Roman" w:cs="Times New Roman"/>
              </w:rPr>
            </w:pPr>
          </w:p>
        </w:tc>
        <w:tc>
          <w:tcPr>
            <w:tcW w:w="206" w:type="pct"/>
            <w:vAlign w:val="bottom"/>
            <w:hideMark/>
          </w:tcPr>
          <w:p w:rsidR="009534E2" w:rsidRDefault="009534E2">
            <w:pPr>
              <w:rPr>
                <w:rFonts w:ascii="Times New Roman" w:hAnsi="Times New Roman" w:eastAsia="Times New Roman" w:cs="Times New Roman"/>
              </w:rPr>
            </w:pPr>
          </w:p>
        </w:tc>
        <w:tc>
          <w:tcPr>
            <w:tcW w:w="3591" w:type="pct"/>
            <w:vAlign w:val="bottom"/>
            <w:hideMark/>
          </w:tcPr>
          <w:p w:rsidR="009534E2" w:rsidRDefault="009534E2">
            <w:pPr>
              <w:rPr>
                <w:rFonts w:ascii="Times New Roman" w:hAnsi="Times New Roman" w:eastAsia="Times New Roman" w:cs="Times New Roman"/>
              </w:rPr>
            </w:pPr>
          </w:p>
        </w:tc>
        <w:tc>
          <w:tcPr>
            <w:tcW w:w="233" w:type="pct"/>
            <w:vAlign w:val="bottom"/>
            <w:hideMark/>
          </w:tcPr>
          <w:p w:rsidR="009534E2" w:rsidRDefault="009534E2">
            <w:pPr>
              <w:rPr>
                <w:rFonts w:ascii="Times New Roman" w:hAnsi="Times New Roman" w:eastAsia="Times New Roman" w:cs="Times New Roman"/>
              </w:rPr>
            </w:pPr>
          </w:p>
        </w:tc>
      </w:tr>
      <w:tr w:rsidR="009534E2">
        <w:trPr>
          <w:cantSplit/>
          <w:jc w:val="center"/>
        </w:trPr>
        <w:tc>
          <w:tcPr>
            <w:tcW w:w="150" w:type="pct"/>
            <w:gridSpan w:val="6"/>
          </w:tcPr>
          <w:p w:rsidR="009534E2" w:rsidRDefault="00EC0AE1">
            <w:pPr>
              <w:jc w:val="center"/>
              <w:rPr>
                <w:rFonts w:ascii="Times New Roman" w:hAnsi="Times New Roman" w:eastAsia="Times New Roman" w:cs="Times New Roman"/>
                <w:lang w:val="ru-RU" w:eastAsia="ru-RU"/>
              </w:rPr>
            </w:pPr>
            <w:hyperlink w:history="1" w:anchor="PARTI_677501">
              <w:r w:rsidR="003369EB">
                <w:rPr>
                  <w:rStyle w:val="Hyperlink"/>
                  <w:rFonts w:ascii="Times New Roman" w:hAnsi="Times New Roman" w:eastAsia="Times New Roman" w:cs="Times New Roman"/>
                  <w:lang w:eastAsia="ru-RU"/>
                </w:rPr>
                <w:t>PART I</w:t>
              </w:r>
            </w:hyperlink>
          </w:p>
        </w:tc>
      </w:tr>
      <w:tr w:rsidR="009534E2">
        <w:trPr>
          <w:cantSplit/>
          <w:jc w:val="center"/>
        </w:trPr>
        <w:tc>
          <w:tcPr>
            <w:tcW w:w="512" w:type="pct"/>
          </w:tcPr>
          <w:p w:rsidR="009534E2" w:rsidRDefault="009534E2">
            <w:pPr>
              <w:ind w:left="200" w:hanging="200"/>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3972" w:type="pct"/>
            <w:gridSpan w:val="3"/>
            <w:vAlign w:val="bottom"/>
          </w:tcPr>
          <w:p w:rsidR="009534E2" w:rsidRDefault="009534E2">
            <w:pPr>
              <w:jc w:val="center"/>
              <w:rPr>
                <w:rFonts w:ascii="Times New Roman" w:hAnsi="Times New Roman" w:eastAsia="Times New Roman" w:cs="Times New Roman"/>
                <w:lang w:eastAsia="ru-RU"/>
              </w:rPr>
            </w:pPr>
          </w:p>
        </w:tc>
        <w:tc>
          <w:tcPr>
            <w:tcW w:w="233" w:type="pct"/>
            <w:vAlign w:val="bottom"/>
          </w:tcPr>
          <w:p w:rsidR="009534E2" w:rsidRDefault="009534E2">
            <w:pPr>
              <w:jc w:val="right"/>
              <w:rPr>
                <w:rFonts w:ascii="Times New Roman" w:hAnsi="Times New Roman" w:eastAsia="Times New Roman" w:cs="Times New Roman"/>
                <w:lang w:val="ru-RU" w:eastAsia="ru-RU"/>
              </w:rPr>
            </w:pPr>
          </w:p>
        </w:tc>
      </w:tr>
      <w:tr w:rsidR="009534E2">
        <w:trPr>
          <w:cantSplit/>
          <w:jc w:val="center"/>
        </w:trPr>
        <w:tc>
          <w:tcPr>
            <w:tcW w:w="512" w:type="pct"/>
            <w:hideMark/>
          </w:tcPr>
          <w:p w:rsidR="009534E2" w:rsidRDefault="00EC0AE1">
            <w:pPr>
              <w:ind w:left="200" w:hanging="200"/>
              <w:rPr>
                <w:rFonts w:ascii="Times New Roman" w:hAnsi="Times New Roman" w:eastAsia="Times New Roman" w:cs="Times New Roman"/>
                <w:lang w:val="ru-RU" w:eastAsia="ru-RU"/>
              </w:rPr>
            </w:pPr>
            <w:hyperlink w:history="1" w:anchor="ITEM1IdentityofDirectorsSeniorManagement">
              <w:r w:rsidR="003369EB">
                <w:rPr>
                  <w:rFonts w:ascii="Times New Roman" w:hAnsi="Times New Roman" w:eastAsia="MS Gothic" w:cs="Times New Roman"/>
                  <w:lang w:val="ru-RU" w:eastAsia="ru-RU"/>
                </w:rPr>
                <w:t>ITEM 1.</w:t>
              </w:r>
            </w:hyperlink>
          </w:p>
        </w:tc>
        <w:tc>
          <w:tcPr>
            <w:tcW w:w="150" w:type="pct"/>
            <w:vAlign w:val="bottom"/>
            <w:hideMark/>
          </w:tcPr>
          <w:p w:rsidR="009534E2" w:rsidRDefault="009534E2">
            <w:pPr>
              <w:rPr>
                <w:rFonts w:ascii="Times New Roman" w:hAnsi="Times New Roman" w:eastAsia="Times New Roman" w:cs="Times New Roman"/>
                <w:lang w:val="ru-RU" w:eastAsia="ru-RU"/>
              </w:rPr>
            </w:pPr>
          </w:p>
        </w:tc>
        <w:tc>
          <w:tcPr>
            <w:tcW w:w="3972" w:type="pct"/>
            <w:gridSpan w:val="3"/>
            <w:vAlign w:val="bottom"/>
            <w:hideMark/>
          </w:tcPr>
          <w:p w:rsidR="009534E2" w:rsidRDefault="00EC0AE1">
            <w:pPr>
              <w:rPr>
                <w:rFonts w:ascii="Times New Roman" w:hAnsi="Times New Roman" w:eastAsia="Times New Roman" w:cs="Times New Roman"/>
                <w:lang w:eastAsia="ru-RU"/>
              </w:rPr>
            </w:pPr>
            <w:hyperlink w:history="1" w:anchor="ITEM1IdentityofDirectorsSeniorManagement">
              <w:r w:rsidR="003369EB">
                <w:rPr>
                  <w:rStyle w:val="Hyperlink"/>
                  <w:rFonts w:ascii="Times New Roman" w:hAnsi="Times New Roman" w:eastAsia="Times New Roman" w:cs="Times New Roman"/>
                  <w:lang w:eastAsia="ru-RU"/>
                </w:rPr>
                <w:t>Identity of Directors, Senior Management and Advisers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ITEM1IdentityofDirectorsSeniorManagement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4</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ind w:left="200" w:hanging="200"/>
              <w:rPr>
                <w:rFonts w:ascii="Times New Roman" w:hAnsi="Times New Roman" w:eastAsia="Times New Roman" w:cs="Times New Roman"/>
                <w:lang w:val="ru-RU" w:eastAsia="ru-RU"/>
              </w:rPr>
            </w:pPr>
            <w:hyperlink w:history="1" w:anchor="ITEM2OfferStatisticsandExpectedTimetable">
              <w:r w:rsidR="003369EB">
                <w:rPr>
                  <w:rFonts w:ascii="Times New Roman" w:hAnsi="Times New Roman" w:eastAsia="MS Gothic" w:cs="Times New Roman"/>
                  <w:lang w:val="ru-RU" w:eastAsia="ru-RU"/>
                </w:rPr>
                <w:t>ITEM 2.</w:t>
              </w:r>
            </w:hyperlink>
          </w:p>
        </w:tc>
        <w:tc>
          <w:tcPr>
            <w:tcW w:w="150" w:type="pct"/>
            <w:vAlign w:val="bottom"/>
          </w:tcPr>
          <w:p w:rsidR="009534E2" w:rsidRDefault="009534E2">
            <w:pPr>
              <w:rPr>
                <w:rFonts w:ascii="Times New Roman" w:hAnsi="Times New Roman" w:eastAsia="Times New Roman" w:cs="Times New Roman"/>
                <w:lang w:val="ru-RU" w:eastAsia="ru-RU"/>
              </w:rPr>
            </w:pPr>
          </w:p>
        </w:tc>
        <w:tc>
          <w:tcPr>
            <w:tcW w:w="3972" w:type="pct"/>
            <w:gridSpan w:val="3"/>
            <w:vAlign w:val="bottom"/>
            <w:hideMark/>
          </w:tcPr>
          <w:p w:rsidR="009534E2" w:rsidRDefault="00EC0AE1">
            <w:pPr>
              <w:rPr>
                <w:rFonts w:ascii="Times New Roman" w:hAnsi="Times New Roman" w:eastAsia="Times New Roman" w:cs="Times New Roman"/>
                <w:lang w:eastAsia="ru-RU"/>
              </w:rPr>
            </w:pPr>
            <w:hyperlink w:history="1" w:anchor="ITEM2OfferStatisticsandExpectedTimetable">
              <w:r w:rsidR="003369EB">
                <w:rPr>
                  <w:rFonts w:ascii="Times New Roman" w:hAnsi="Times New Roman" w:eastAsia="MS Gothic" w:cs="Times New Roman"/>
                  <w:lang w:eastAsia="ru-RU"/>
                </w:rPr>
                <w:t>Offer Statistics and Expected Timetable</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ITEM2OfferStatisticsandExpectedTimetable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4</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ind w:left="200" w:hanging="200"/>
              <w:rPr>
                <w:rFonts w:ascii="Times New Roman" w:hAnsi="Times New Roman" w:eastAsia="Times New Roman" w:cs="Times New Roman"/>
                <w:lang w:val="ru-RU" w:eastAsia="ru-RU"/>
              </w:rPr>
            </w:pPr>
            <w:hyperlink w:history="1" w:anchor="ITEM3KeyInformation_859105">
              <w:r w:rsidR="003369EB">
                <w:rPr>
                  <w:rFonts w:ascii="Times New Roman" w:hAnsi="Times New Roman" w:eastAsia="MS Gothic" w:cs="Times New Roman"/>
                  <w:lang w:val="ru-RU" w:eastAsia="ru-RU"/>
                </w:rPr>
                <w:t>ITEM 3.</w:t>
              </w:r>
            </w:hyperlink>
          </w:p>
        </w:tc>
        <w:tc>
          <w:tcPr>
            <w:tcW w:w="150" w:type="pct"/>
            <w:vAlign w:val="bottom"/>
          </w:tcPr>
          <w:p w:rsidR="009534E2" w:rsidRDefault="009534E2">
            <w:pPr>
              <w:rPr>
                <w:rFonts w:ascii="Times New Roman" w:hAnsi="Times New Roman" w:eastAsia="Times New Roman" w:cs="Times New Roman"/>
                <w:lang w:val="ru-RU" w:eastAsia="ru-RU"/>
              </w:rPr>
            </w:pPr>
          </w:p>
        </w:tc>
        <w:tc>
          <w:tcPr>
            <w:tcW w:w="3972" w:type="pct"/>
            <w:gridSpan w:val="3"/>
            <w:vAlign w:val="bottom"/>
            <w:hideMark/>
          </w:tcPr>
          <w:p w:rsidR="009534E2" w:rsidRDefault="00EC0AE1">
            <w:pPr>
              <w:rPr>
                <w:rFonts w:ascii="Times New Roman" w:hAnsi="Times New Roman" w:eastAsia="Times New Roman" w:cs="Times New Roman"/>
                <w:lang w:val="ru-RU" w:eastAsia="ru-RU"/>
              </w:rPr>
            </w:pPr>
            <w:hyperlink w:history="1" w:anchor="ITEM3KeyInformation_859105">
              <w:r w:rsidR="003369EB">
                <w:rPr>
                  <w:rFonts w:ascii="Times New Roman" w:hAnsi="Times New Roman" w:eastAsia="MS Gothic" w:cs="Times New Roman"/>
                  <w:lang w:val="ru-RU" w:eastAsia="ru-RU"/>
                </w:rPr>
                <w:t>Key Information</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ITEM3KeyInformation_859105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4</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ARESERVED_464306">
              <w:r w:rsidR="003369EB">
                <w:rPr>
                  <w:rFonts w:ascii="Times New Roman" w:hAnsi="Times New Roman" w:eastAsia="MS Gothic" w:cs="Times New Roman"/>
                  <w:lang w:val="ru-RU" w:eastAsia="ru-RU"/>
                </w:rPr>
                <w:t>A.</w:t>
              </w:r>
            </w:hyperlink>
          </w:p>
        </w:tc>
        <w:tc>
          <w:tcPr>
            <w:tcW w:w="206" w:type="pct"/>
            <w:vAlign w:val="bottom"/>
            <w:hideMark/>
          </w:tcPr>
          <w:p w:rsidR="009534E2" w:rsidRDefault="003369EB">
            <w:pPr>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ARESERVED_464306">
              <w:r w:rsidR="003369EB">
                <w:rPr>
                  <w:rFonts w:ascii="Times New Roman" w:hAnsi="Times New Roman" w:eastAsia="MS Gothic" w:cs="Times New Roman"/>
                  <w:lang w:val="ru-RU" w:eastAsia="ru-RU"/>
                </w:rPr>
                <w:t>[RESERVED]</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ARESERVED_464306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4</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BCapitalizationandIndebtedness_935157">
              <w:r w:rsidR="003369EB">
                <w:rPr>
                  <w:rFonts w:ascii="Times New Roman" w:hAnsi="Times New Roman" w:eastAsia="MS Gothic" w:cs="Times New Roman"/>
                  <w:lang w:val="ru-RU" w:eastAsia="ru-RU"/>
                </w:rPr>
                <w:t>B.</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BCapitalizationandIndebtedness_935157">
              <w:r w:rsidR="003369EB">
                <w:rPr>
                  <w:rFonts w:ascii="Times New Roman" w:hAnsi="Times New Roman" w:eastAsia="MS Gothic" w:cs="Times New Roman"/>
                  <w:lang w:val="ru-RU" w:eastAsia="ru-RU"/>
                </w:rPr>
                <w:t>Capitalization and Indebtedness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BCapitalizationandIndebtedness_935157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4</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CReasonsfortheOfferandUseofProceeds_2018">
              <w:r w:rsidR="003369EB">
                <w:rPr>
                  <w:rFonts w:ascii="Times New Roman" w:hAnsi="Times New Roman" w:eastAsia="MS Gothic" w:cs="Times New Roman"/>
                  <w:lang w:val="ru-RU" w:eastAsia="ru-RU"/>
                </w:rPr>
                <w:t>C.</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eastAsia="ru-RU"/>
              </w:rPr>
            </w:pPr>
            <w:hyperlink w:history="1" w:anchor="CReasonsfortheOfferandUseofProceeds_2018">
              <w:r w:rsidR="003369EB">
                <w:rPr>
                  <w:rFonts w:ascii="Times New Roman" w:hAnsi="Times New Roman" w:eastAsia="MS Gothic" w:cs="Times New Roman"/>
                  <w:lang w:eastAsia="ru-RU"/>
                </w:rPr>
                <w:t>Reasons for the Offer and Use of Proceeds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CReasonsfortheOfferandUseofProceeds_2018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4</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DRiskFactors_731760">
              <w:r w:rsidR="003369EB">
                <w:rPr>
                  <w:rFonts w:ascii="Times New Roman" w:hAnsi="Times New Roman" w:eastAsia="MS Gothic" w:cs="Times New Roman"/>
                  <w:lang w:val="ru-RU" w:eastAsia="ru-RU"/>
                </w:rPr>
                <w:t>D.</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DRiskFactors_731760">
              <w:r w:rsidR="003369EB">
                <w:rPr>
                  <w:rFonts w:ascii="Times New Roman" w:hAnsi="Times New Roman" w:eastAsia="MS Gothic" w:cs="Times New Roman"/>
                  <w:lang w:val="ru-RU" w:eastAsia="ru-RU"/>
                </w:rPr>
                <w:t>Risk Factors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DRiskFactors_731760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4</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ind w:left="200" w:hanging="200"/>
              <w:rPr>
                <w:rFonts w:ascii="Times New Roman" w:hAnsi="Times New Roman" w:eastAsia="Times New Roman" w:cs="Times New Roman"/>
                <w:lang w:val="ru-RU" w:eastAsia="ru-RU"/>
              </w:rPr>
            </w:pPr>
            <w:hyperlink w:history="1" w:anchor="ITEM4InformationontheCompany_427105">
              <w:r w:rsidR="003369EB">
                <w:rPr>
                  <w:rFonts w:ascii="Times New Roman" w:hAnsi="Times New Roman" w:eastAsia="MS Gothic" w:cs="Times New Roman"/>
                  <w:lang w:val="ru-RU" w:eastAsia="ru-RU"/>
                </w:rPr>
                <w:t>ITEM 4.</w:t>
              </w:r>
            </w:hyperlink>
          </w:p>
        </w:tc>
        <w:tc>
          <w:tcPr>
            <w:tcW w:w="150" w:type="pct"/>
            <w:vAlign w:val="bottom"/>
          </w:tcPr>
          <w:p w:rsidR="009534E2" w:rsidRDefault="009534E2">
            <w:pPr>
              <w:rPr>
                <w:rFonts w:ascii="Times New Roman" w:hAnsi="Times New Roman" w:eastAsia="Times New Roman" w:cs="Times New Roman"/>
                <w:lang w:val="ru-RU" w:eastAsia="ru-RU"/>
              </w:rPr>
            </w:pPr>
          </w:p>
        </w:tc>
        <w:tc>
          <w:tcPr>
            <w:tcW w:w="3972" w:type="pct"/>
            <w:gridSpan w:val="3"/>
            <w:vAlign w:val="bottom"/>
            <w:hideMark/>
          </w:tcPr>
          <w:p w:rsidR="009534E2" w:rsidRDefault="00EC0AE1">
            <w:pPr>
              <w:rPr>
                <w:rFonts w:ascii="Times New Roman" w:hAnsi="Times New Roman" w:eastAsia="Times New Roman" w:cs="Times New Roman"/>
                <w:lang w:val="ru-RU" w:eastAsia="ru-RU"/>
              </w:rPr>
            </w:pPr>
            <w:hyperlink w:history="1" w:anchor="ITEM4InformationontheCompany_427105">
              <w:r w:rsidR="003369EB">
                <w:rPr>
                  <w:rFonts w:ascii="Times New Roman" w:hAnsi="Times New Roman" w:eastAsia="MS Gothic" w:cs="Times New Roman"/>
                  <w:lang w:val="ru-RU" w:eastAsia="ru-RU"/>
                </w:rPr>
                <w:t>Information on the Company</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ITEM4InformationontheCompany_427105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57</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AHistoryandDevelopmentoftheCompany_99091">
              <w:r w:rsidR="003369EB">
                <w:rPr>
                  <w:rFonts w:ascii="Times New Roman" w:hAnsi="Times New Roman" w:eastAsia="MS Gothic" w:cs="Times New Roman"/>
                  <w:lang w:val="ru-RU" w:eastAsia="ru-RU"/>
                </w:rPr>
                <w:t>A.</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eastAsia="ru-RU"/>
              </w:rPr>
            </w:pPr>
            <w:hyperlink w:history="1" w:anchor="AHistoryandDevelopmentoftheCompany_99091">
              <w:r w:rsidR="003369EB">
                <w:rPr>
                  <w:rFonts w:ascii="Times New Roman" w:hAnsi="Times New Roman" w:eastAsia="MS Gothic" w:cs="Times New Roman"/>
                  <w:lang w:eastAsia="ru-RU"/>
                </w:rPr>
                <w:t>History and Development of the Company</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AHistoryandDevelopmentoftheCompany_99091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57</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BBusinessOverview_657173">
              <w:r w:rsidR="003369EB">
                <w:rPr>
                  <w:rFonts w:ascii="Times New Roman" w:hAnsi="Times New Roman" w:eastAsia="MS Gothic" w:cs="Times New Roman"/>
                  <w:lang w:val="ru-RU" w:eastAsia="ru-RU"/>
                </w:rPr>
                <w:t>B.</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BBusinessOverview_657173">
              <w:r w:rsidR="003369EB">
                <w:rPr>
                  <w:rFonts w:ascii="Times New Roman" w:hAnsi="Times New Roman" w:eastAsia="MS Gothic" w:cs="Times New Roman"/>
                  <w:lang w:val="ru-RU" w:eastAsia="ru-RU"/>
                </w:rPr>
                <w:t>Business Overview</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BBusinessOverview_657173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59</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COrganizationalStructure_394382">
              <w:r w:rsidR="003369EB">
                <w:rPr>
                  <w:rFonts w:ascii="Times New Roman" w:hAnsi="Times New Roman" w:eastAsia="MS Gothic" w:cs="Times New Roman"/>
                  <w:lang w:val="ru-RU" w:eastAsia="ru-RU"/>
                </w:rPr>
                <w:t>C.</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COrganizationalStructure_394382">
              <w:r w:rsidR="003369EB">
                <w:rPr>
                  <w:rFonts w:ascii="Times New Roman" w:hAnsi="Times New Roman" w:eastAsia="MS Gothic" w:cs="Times New Roman"/>
                  <w:lang w:val="ru-RU" w:eastAsia="ru-RU"/>
                </w:rPr>
                <w:t>Organizational Structure</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COrganizationalStructure_394382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80</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DPropertyPlantsandEquipment_535233">
              <w:r w:rsidR="003369EB">
                <w:rPr>
                  <w:rFonts w:ascii="Times New Roman" w:hAnsi="Times New Roman" w:eastAsia="MS Gothic" w:cs="Times New Roman"/>
                  <w:lang w:val="ru-RU" w:eastAsia="ru-RU"/>
                </w:rPr>
                <w:t>D.</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DPropertyPlantsandEquipment_535233">
              <w:r w:rsidR="003369EB">
                <w:rPr>
                  <w:rFonts w:ascii="Times New Roman" w:hAnsi="Times New Roman" w:eastAsia="MS Gothic" w:cs="Times New Roman"/>
                  <w:lang w:val="ru-RU" w:eastAsia="ru-RU"/>
                </w:rPr>
                <w:t>Property, Plants and Equipment</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DPropertyPlantsandEquipment_535233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80</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ind w:left="200" w:hanging="200"/>
              <w:rPr>
                <w:rFonts w:ascii="Times New Roman" w:hAnsi="Times New Roman" w:eastAsia="Times New Roman" w:cs="Times New Roman"/>
                <w:lang w:val="ru-RU" w:eastAsia="ru-RU"/>
              </w:rPr>
            </w:pPr>
            <w:hyperlink w:history="1" w:anchor="ITEM4AUnresolvedStaffComments_981653">
              <w:r w:rsidR="003369EB">
                <w:rPr>
                  <w:rFonts w:ascii="Times New Roman" w:hAnsi="Times New Roman" w:eastAsia="MS Gothic" w:cs="Times New Roman"/>
                  <w:lang w:val="ru-RU" w:eastAsia="ru-RU"/>
                </w:rPr>
                <w:t>ITEM 4A.</w:t>
              </w:r>
            </w:hyperlink>
          </w:p>
        </w:tc>
        <w:tc>
          <w:tcPr>
            <w:tcW w:w="150" w:type="pct"/>
            <w:vAlign w:val="bottom"/>
          </w:tcPr>
          <w:p w:rsidR="009534E2" w:rsidRDefault="009534E2">
            <w:pPr>
              <w:rPr>
                <w:rFonts w:ascii="Times New Roman" w:hAnsi="Times New Roman" w:eastAsia="Times New Roman" w:cs="Times New Roman"/>
                <w:lang w:val="ru-RU" w:eastAsia="ru-RU"/>
              </w:rPr>
            </w:pPr>
          </w:p>
        </w:tc>
        <w:tc>
          <w:tcPr>
            <w:tcW w:w="3972" w:type="pct"/>
            <w:gridSpan w:val="3"/>
            <w:vAlign w:val="bottom"/>
            <w:hideMark/>
          </w:tcPr>
          <w:p w:rsidR="009534E2" w:rsidRDefault="00EC0AE1">
            <w:pPr>
              <w:rPr>
                <w:rFonts w:ascii="Times New Roman" w:hAnsi="Times New Roman" w:eastAsia="Times New Roman" w:cs="Times New Roman"/>
                <w:lang w:val="ru-RU" w:eastAsia="ru-RU"/>
              </w:rPr>
            </w:pPr>
            <w:hyperlink w:history="1" w:anchor="ITEM4AUnresolvedStaffComments_981653">
              <w:r w:rsidR="003369EB">
                <w:rPr>
                  <w:rFonts w:ascii="Times New Roman" w:hAnsi="Times New Roman" w:eastAsia="MS Gothic" w:cs="Times New Roman"/>
                  <w:lang w:val="ru-RU" w:eastAsia="ru-RU"/>
                </w:rPr>
                <w:t>Unresolved Staff Comments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ITEM4AUnresolvedStaffComments_981653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80</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ind w:left="200" w:hanging="200"/>
              <w:rPr>
                <w:rFonts w:ascii="Times New Roman" w:hAnsi="Times New Roman" w:eastAsia="Times New Roman" w:cs="Times New Roman"/>
                <w:lang w:val="ru-RU" w:eastAsia="ru-RU"/>
              </w:rPr>
            </w:pPr>
            <w:hyperlink w:history="1" w:anchor="ITEM5OperatingandFinancialReviewandProsp">
              <w:r w:rsidR="003369EB">
                <w:rPr>
                  <w:rFonts w:ascii="Times New Roman" w:hAnsi="Times New Roman" w:eastAsia="MS Gothic" w:cs="Times New Roman"/>
                  <w:lang w:val="ru-RU" w:eastAsia="ru-RU"/>
                </w:rPr>
                <w:t>ITEM 5.</w:t>
              </w:r>
            </w:hyperlink>
          </w:p>
        </w:tc>
        <w:tc>
          <w:tcPr>
            <w:tcW w:w="150" w:type="pct"/>
            <w:vAlign w:val="bottom"/>
          </w:tcPr>
          <w:p w:rsidR="009534E2" w:rsidRDefault="009534E2">
            <w:pPr>
              <w:rPr>
                <w:rFonts w:ascii="Times New Roman" w:hAnsi="Times New Roman" w:eastAsia="Times New Roman" w:cs="Times New Roman"/>
                <w:lang w:val="ru-RU" w:eastAsia="ru-RU"/>
              </w:rPr>
            </w:pPr>
          </w:p>
        </w:tc>
        <w:tc>
          <w:tcPr>
            <w:tcW w:w="3972" w:type="pct"/>
            <w:gridSpan w:val="3"/>
            <w:vAlign w:val="bottom"/>
            <w:hideMark/>
          </w:tcPr>
          <w:p w:rsidR="009534E2" w:rsidRDefault="00EC0AE1">
            <w:pPr>
              <w:rPr>
                <w:rFonts w:ascii="Times New Roman" w:hAnsi="Times New Roman" w:eastAsia="Times New Roman" w:cs="Times New Roman"/>
                <w:lang w:eastAsia="ru-RU"/>
              </w:rPr>
            </w:pPr>
            <w:hyperlink w:history="1" w:anchor="ITEM5OperatingandFinancialReviewandProsp">
              <w:r w:rsidR="003369EB">
                <w:rPr>
                  <w:rFonts w:ascii="Times New Roman" w:hAnsi="Times New Roman" w:eastAsia="MS Gothic" w:cs="Times New Roman"/>
                  <w:lang w:eastAsia="ru-RU"/>
                </w:rPr>
                <w:t>Operating and Financial Review and Prospects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ITEM5OperatingandFinancialReviewandProsp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80</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AOperatingResults_542786">
              <w:r w:rsidR="003369EB">
                <w:rPr>
                  <w:rFonts w:ascii="Times New Roman" w:hAnsi="Times New Roman" w:eastAsia="MS Gothic" w:cs="Times New Roman"/>
                  <w:lang w:val="ru-RU" w:eastAsia="ru-RU"/>
                </w:rPr>
                <w:t>A.</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AOperatingResults_542786">
              <w:r w:rsidR="003369EB">
                <w:rPr>
                  <w:rFonts w:ascii="Times New Roman" w:hAnsi="Times New Roman" w:eastAsia="MS Gothic" w:cs="Times New Roman"/>
                  <w:lang w:val="ru-RU" w:eastAsia="ru-RU"/>
                </w:rPr>
                <w:t>Operating Results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AOperatingResults_542786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80</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BLiquidityandcapitalresources_513436">
              <w:r w:rsidR="003369EB">
                <w:rPr>
                  <w:rFonts w:ascii="Times New Roman" w:hAnsi="Times New Roman" w:eastAsia="MS Gothic" w:cs="Times New Roman"/>
                  <w:lang w:val="ru-RU" w:eastAsia="ru-RU"/>
                </w:rPr>
                <w:t>B.</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BLiquidityandcapitalresources_513436">
              <w:r w:rsidR="003369EB">
                <w:rPr>
                  <w:rFonts w:ascii="Times New Roman" w:hAnsi="Times New Roman" w:eastAsia="MS Gothic" w:cs="Times New Roman"/>
                  <w:lang w:val="ru-RU" w:eastAsia="ru-RU"/>
                </w:rPr>
                <w:t>Liquidity and Capital Resources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BLiquidityandcapitalresources_513436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103</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CResearchanddevelopmentpatentsandlicense">
              <w:r w:rsidR="003369EB">
                <w:rPr>
                  <w:rFonts w:ascii="Times New Roman" w:hAnsi="Times New Roman" w:eastAsia="MS Gothic" w:cs="Times New Roman"/>
                  <w:lang w:val="ru-RU" w:eastAsia="ru-RU"/>
                </w:rPr>
                <w:t>C.</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eastAsia="ru-RU"/>
              </w:rPr>
            </w:pPr>
            <w:hyperlink w:history="1" w:anchor="CResearchanddevelopmentpatentsandlicense">
              <w:r w:rsidR="003369EB">
                <w:rPr>
                  <w:rFonts w:ascii="Times New Roman" w:hAnsi="Times New Roman" w:eastAsia="MS Gothic" w:cs="Times New Roman"/>
                  <w:lang w:eastAsia="ru-RU"/>
                </w:rPr>
                <w:t>Research and Development, Patents and Licenses, etc.</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CResearchanddevelopmentpatentsandlicense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105</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DTrendinformation_369026">
              <w:r w:rsidR="003369EB">
                <w:rPr>
                  <w:rFonts w:ascii="Times New Roman" w:hAnsi="Times New Roman" w:eastAsia="MS Gothic" w:cs="Times New Roman"/>
                  <w:lang w:val="ru-RU" w:eastAsia="ru-RU"/>
                </w:rPr>
                <w:t>D.</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DTrendinformation_369026">
              <w:r w:rsidR="003369EB">
                <w:rPr>
                  <w:rFonts w:ascii="Times New Roman" w:hAnsi="Times New Roman" w:eastAsia="MS Gothic" w:cs="Times New Roman"/>
                  <w:lang w:val="ru-RU" w:eastAsia="ru-RU"/>
                </w:rPr>
                <w:t>Trend Information</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DTrendinformation_369026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106</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ECriticalAccountingEstimates_525036">
              <w:r w:rsidR="003369EB">
                <w:rPr>
                  <w:rFonts w:ascii="Times New Roman" w:hAnsi="Times New Roman" w:eastAsia="MS Gothic" w:cs="Times New Roman"/>
                  <w:lang w:val="ru-RU" w:eastAsia="ru-RU"/>
                </w:rPr>
                <w:t>E.</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ECriticalAccountingEstimates_525036">
              <w:r w:rsidR="003369EB">
                <w:rPr>
                  <w:rFonts w:ascii="Times New Roman" w:hAnsi="Times New Roman" w:eastAsia="MS Gothic" w:cs="Times New Roman"/>
                  <w:lang w:val="ru-RU" w:eastAsia="ru-RU"/>
                </w:rPr>
                <w:t>Critical Accounting Estimates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ECriticalAccountingEstimates_525036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107</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ind w:left="200" w:hanging="200"/>
              <w:rPr>
                <w:rFonts w:ascii="Times New Roman" w:hAnsi="Times New Roman" w:eastAsia="Times New Roman" w:cs="Times New Roman"/>
                <w:lang w:val="ru-RU" w:eastAsia="ru-RU"/>
              </w:rPr>
            </w:pPr>
            <w:hyperlink w:history="1" w:anchor="ITEM6DirectorsSeniorManagementandEmploye">
              <w:r w:rsidR="003369EB">
                <w:rPr>
                  <w:rFonts w:ascii="Times New Roman" w:hAnsi="Times New Roman" w:eastAsia="MS Gothic" w:cs="Times New Roman"/>
                  <w:lang w:val="ru-RU" w:eastAsia="ru-RU"/>
                </w:rPr>
                <w:t>ITEM 6.</w:t>
              </w:r>
            </w:hyperlink>
          </w:p>
        </w:tc>
        <w:tc>
          <w:tcPr>
            <w:tcW w:w="150" w:type="pct"/>
            <w:vAlign w:val="bottom"/>
          </w:tcPr>
          <w:p w:rsidR="009534E2" w:rsidRDefault="009534E2">
            <w:pPr>
              <w:rPr>
                <w:rFonts w:ascii="Times New Roman" w:hAnsi="Times New Roman" w:eastAsia="Times New Roman" w:cs="Times New Roman"/>
                <w:lang w:val="ru-RU" w:eastAsia="ru-RU"/>
              </w:rPr>
            </w:pPr>
          </w:p>
        </w:tc>
        <w:tc>
          <w:tcPr>
            <w:tcW w:w="3972" w:type="pct"/>
            <w:gridSpan w:val="3"/>
            <w:vAlign w:val="bottom"/>
            <w:hideMark/>
          </w:tcPr>
          <w:p w:rsidR="009534E2" w:rsidRDefault="00EC0AE1">
            <w:pPr>
              <w:rPr>
                <w:rFonts w:ascii="Times New Roman" w:hAnsi="Times New Roman" w:eastAsia="Times New Roman" w:cs="Times New Roman"/>
                <w:lang w:eastAsia="ru-RU"/>
              </w:rPr>
            </w:pPr>
            <w:hyperlink w:history="1" w:anchor="ITEM6DirectorsSeniorManagementandEmploye">
              <w:r w:rsidR="003369EB">
                <w:rPr>
                  <w:rFonts w:ascii="Times New Roman" w:hAnsi="Times New Roman" w:eastAsia="MS Gothic" w:cs="Times New Roman"/>
                  <w:lang w:eastAsia="ru-RU"/>
                </w:rPr>
                <w:t>Directors, Senior Management and Employees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ITEM6DirectorsSeniorManagementandEmploye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109</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ADirectorsandSeniorManagement_195268">
              <w:r w:rsidR="003369EB">
                <w:rPr>
                  <w:rFonts w:ascii="Times New Roman" w:hAnsi="Times New Roman" w:eastAsia="MS Gothic" w:cs="Times New Roman"/>
                  <w:lang w:val="ru-RU" w:eastAsia="ru-RU"/>
                </w:rPr>
                <w:t>A.</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ADirectorsandSeniorManagement_195268">
              <w:r w:rsidR="003369EB">
                <w:rPr>
                  <w:rFonts w:ascii="Times New Roman" w:hAnsi="Times New Roman" w:eastAsia="MS Gothic" w:cs="Times New Roman"/>
                  <w:lang w:val="ru-RU" w:eastAsia="ru-RU"/>
                </w:rPr>
                <w:t>Directors and Senior Management</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ADirectorsandSeniorManagement_195268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109</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BCompensation_244633">
              <w:r w:rsidR="003369EB">
                <w:rPr>
                  <w:rFonts w:ascii="Times New Roman" w:hAnsi="Times New Roman" w:eastAsia="MS Gothic" w:cs="Times New Roman"/>
                  <w:lang w:val="ru-RU" w:eastAsia="ru-RU"/>
                </w:rPr>
                <w:t>B.</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BCompensation_244633">
              <w:r w:rsidR="003369EB">
                <w:rPr>
                  <w:rFonts w:ascii="Times New Roman" w:hAnsi="Times New Roman" w:eastAsia="MS Gothic" w:cs="Times New Roman"/>
                  <w:lang w:val="ru-RU" w:eastAsia="ru-RU"/>
                </w:rPr>
                <w:t>Compensation</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BCompensation_244633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110</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CBoardPractices_505978">
              <w:r w:rsidR="003369EB">
                <w:rPr>
                  <w:rFonts w:ascii="Times New Roman" w:hAnsi="Times New Roman" w:eastAsia="MS Gothic" w:cs="Times New Roman"/>
                  <w:lang w:val="ru-RU" w:eastAsia="ru-RU"/>
                </w:rPr>
                <w:t>C.</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CBoardPractices_505978">
              <w:r w:rsidR="003369EB">
                <w:rPr>
                  <w:rFonts w:ascii="Times New Roman" w:hAnsi="Times New Roman" w:eastAsia="MS Gothic" w:cs="Times New Roman"/>
                  <w:lang w:val="ru-RU" w:eastAsia="ru-RU"/>
                </w:rPr>
                <w:t>Board Practices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CBoardPractices_505978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113</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DEmployees_262427">
              <w:r w:rsidR="003369EB">
                <w:rPr>
                  <w:rFonts w:ascii="Times New Roman" w:hAnsi="Times New Roman" w:eastAsia="MS Gothic" w:cs="Times New Roman"/>
                  <w:lang w:val="ru-RU" w:eastAsia="ru-RU"/>
                </w:rPr>
                <w:t>D.</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DEmployees_262427">
              <w:r w:rsidR="003369EB">
                <w:rPr>
                  <w:rFonts w:ascii="Times New Roman" w:hAnsi="Times New Roman" w:eastAsia="MS Gothic" w:cs="Times New Roman"/>
                  <w:lang w:val="ru-RU" w:eastAsia="ru-RU"/>
                </w:rPr>
                <w:t>Employees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DEmployees_262427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115</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EShareOwnership_963004">
              <w:r w:rsidR="003369EB">
                <w:rPr>
                  <w:rFonts w:ascii="Times New Roman" w:hAnsi="Times New Roman" w:eastAsia="MS Gothic" w:cs="Times New Roman"/>
                  <w:lang w:val="ru-RU" w:eastAsia="ru-RU"/>
                </w:rPr>
                <w:t>E.</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EShareOwnership_963004">
              <w:r w:rsidR="003369EB">
                <w:rPr>
                  <w:rFonts w:ascii="Times New Roman" w:hAnsi="Times New Roman" w:eastAsia="MS Gothic" w:cs="Times New Roman"/>
                  <w:lang w:val="ru-RU" w:eastAsia="ru-RU"/>
                </w:rPr>
                <w:t>Share Ownership</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EShareOwnership_963004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115</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ind w:left="200" w:hanging="200"/>
              <w:rPr>
                <w:rFonts w:ascii="Times New Roman" w:hAnsi="Times New Roman" w:eastAsia="Times New Roman" w:cs="Times New Roman"/>
                <w:lang w:val="ru-RU" w:eastAsia="ru-RU"/>
              </w:rPr>
            </w:pPr>
            <w:hyperlink w:history="1" w:anchor="ITEM7MajorShareholdersandRelatedPartyTra">
              <w:r w:rsidR="003369EB">
                <w:rPr>
                  <w:rFonts w:ascii="Times New Roman" w:hAnsi="Times New Roman" w:eastAsia="MS Gothic" w:cs="Times New Roman"/>
                  <w:lang w:val="ru-RU" w:eastAsia="ru-RU"/>
                </w:rPr>
                <w:t>ITEM 7.</w:t>
              </w:r>
            </w:hyperlink>
          </w:p>
        </w:tc>
        <w:tc>
          <w:tcPr>
            <w:tcW w:w="150" w:type="pct"/>
            <w:vAlign w:val="bottom"/>
          </w:tcPr>
          <w:p w:rsidR="009534E2" w:rsidRDefault="009534E2">
            <w:pPr>
              <w:rPr>
                <w:rFonts w:ascii="Times New Roman" w:hAnsi="Times New Roman" w:eastAsia="Times New Roman" w:cs="Times New Roman"/>
                <w:lang w:val="ru-RU" w:eastAsia="ru-RU"/>
              </w:rPr>
            </w:pPr>
          </w:p>
        </w:tc>
        <w:tc>
          <w:tcPr>
            <w:tcW w:w="3972" w:type="pct"/>
            <w:gridSpan w:val="3"/>
            <w:vAlign w:val="bottom"/>
            <w:hideMark/>
          </w:tcPr>
          <w:p w:rsidR="009534E2" w:rsidRDefault="00EC0AE1">
            <w:pPr>
              <w:rPr>
                <w:rFonts w:ascii="Times New Roman" w:hAnsi="Times New Roman" w:eastAsia="Times New Roman" w:cs="Times New Roman"/>
                <w:lang w:eastAsia="ru-RU"/>
              </w:rPr>
            </w:pPr>
            <w:hyperlink w:history="1" w:anchor="ITEM7MajorShareholdersandRelatedPartyTra">
              <w:r w:rsidR="003369EB">
                <w:rPr>
                  <w:rFonts w:ascii="Times New Roman" w:hAnsi="Times New Roman" w:eastAsia="MS Gothic" w:cs="Times New Roman"/>
                  <w:lang w:eastAsia="ru-RU"/>
                </w:rPr>
                <w:t>Major Shareholders and Related Party Transactions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ITEM7MajorShareholdersandRelatedPartyTra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116</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AMajorShareholders_58879">
              <w:r w:rsidR="003369EB">
                <w:rPr>
                  <w:rFonts w:ascii="Times New Roman" w:hAnsi="Times New Roman" w:eastAsia="MS Gothic" w:cs="Times New Roman"/>
                  <w:lang w:val="ru-RU" w:eastAsia="ru-RU"/>
                </w:rPr>
                <w:t>A.</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AMajorShareholders_58879">
              <w:r w:rsidR="003369EB">
                <w:rPr>
                  <w:rFonts w:ascii="Times New Roman" w:hAnsi="Times New Roman" w:eastAsia="MS Gothic" w:cs="Times New Roman"/>
                  <w:lang w:val="ru-RU" w:eastAsia="ru-RU"/>
                </w:rPr>
                <w:t>Major Shareholders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AMajorShareholders_58879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116</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BRelatedPartyTransactions_628716">
              <w:r w:rsidR="003369EB">
                <w:rPr>
                  <w:rFonts w:ascii="Times New Roman" w:hAnsi="Times New Roman" w:eastAsia="MS Gothic" w:cs="Times New Roman"/>
                  <w:lang w:val="ru-RU" w:eastAsia="ru-RU"/>
                </w:rPr>
                <w:t>B.</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BRelatedPartyTransactions_628716">
              <w:r w:rsidR="003369EB">
                <w:rPr>
                  <w:rFonts w:ascii="Times New Roman" w:hAnsi="Times New Roman" w:eastAsia="MS Gothic" w:cs="Times New Roman"/>
                  <w:lang w:val="ru-RU" w:eastAsia="ru-RU"/>
                </w:rPr>
                <w:t>Related Party Transactions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BRelatedPartyTransactions_628716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116</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CInterestsofExpertsandCounsel_576233">
              <w:r w:rsidR="003369EB">
                <w:rPr>
                  <w:rFonts w:ascii="Times New Roman" w:hAnsi="Times New Roman" w:eastAsia="MS Gothic" w:cs="Times New Roman"/>
                  <w:lang w:val="ru-RU" w:eastAsia="ru-RU"/>
                </w:rPr>
                <w:t>C.</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CInterestsofExpertsandCounsel_576233">
              <w:r w:rsidR="003369EB">
                <w:rPr>
                  <w:rFonts w:ascii="Times New Roman" w:hAnsi="Times New Roman" w:eastAsia="MS Gothic" w:cs="Times New Roman"/>
                  <w:lang w:eastAsia="ru-RU"/>
                </w:rPr>
                <w:t>Interests of Experts and Counsel</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CInterestsofExpertsandCounsel_576233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117</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rPr>
                <w:rFonts w:ascii="Times New Roman" w:hAnsi="Times New Roman" w:eastAsia="Times New Roman" w:cs="Times New Roman"/>
                <w:lang w:val="ru-RU" w:eastAsia="ru-RU"/>
              </w:rPr>
            </w:pPr>
            <w:hyperlink w:history="1" w:anchor="ITEM8FinancialInformation_847039">
              <w:r w:rsidR="003369EB">
                <w:rPr>
                  <w:rFonts w:ascii="Times New Roman" w:hAnsi="Times New Roman" w:eastAsia="MS Gothic" w:cs="Times New Roman"/>
                  <w:lang w:val="ru-RU" w:eastAsia="ru-RU"/>
                </w:rPr>
                <w:t>ITEM 8.</w:t>
              </w:r>
            </w:hyperlink>
          </w:p>
        </w:tc>
        <w:tc>
          <w:tcPr>
            <w:tcW w:w="150" w:type="pct"/>
            <w:vAlign w:val="bottom"/>
          </w:tcPr>
          <w:p w:rsidR="009534E2" w:rsidRDefault="009534E2">
            <w:pPr>
              <w:rPr>
                <w:rFonts w:ascii="Times New Roman" w:hAnsi="Times New Roman" w:eastAsia="Times New Roman" w:cs="Times New Roman"/>
                <w:lang w:val="ru-RU" w:eastAsia="ru-RU"/>
              </w:rPr>
            </w:pPr>
          </w:p>
        </w:tc>
        <w:tc>
          <w:tcPr>
            <w:tcW w:w="3972" w:type="pct"/>
            <w:gridSpan w:val="3"/>
            <w:vAlign w:val="bottom"/>
            <w:hideMark/>
          </w:tcPr>
          <w:p w:rsidR="009534E2" w:rsidRDefault="00EC0AE1">
            <w:pPr>
              <w:rPr>
                <w:rFonts w:ascii="Times New Roman" w:hAnsi="Times New Roman" w:eastAsia="Times New Roman" w:cs="Times New Roman"/>
                <w:lang w:val="ru-RU" w:eastAsia="ru-RU"/>
              </w:rPr>
            </w:pPr>
            <w:hyperlink w:history="1" w:anchor="ITEM8FinancialInformation_847039">
              <w:r w:rsidR="003369EB">
                <w:rPr>
                  <w:rFonts w:ascii="Times New Roman" w:hAnsi="Times New Roman" w:eastAsia="MS Gothic" w:cs="Times New Roman"/>
                  <w:lang w:val="ru-RU" w:eastAsia="ru-RU"/>
                </w:rPr>
                <w:t>Financial Information</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ITEM8FinancialInformation_847039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117</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AConsolidatedFinancialStatementsandOther">
              <w:r w:rsidR="003369EB">
                <w:rPr>
                  <w:rFonts w:ascii="Times New Roman" w:hAnsi="Times New Roman" w:eastAsia="MS Gothic" w:cs="Times New Roman"/>
                  <w:lang w:val="ru-RU" w:eastAsia="ru-RU"/>
                </w:rPr>
                <w:t>A.</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AConsolidatedFinancialStatementsandOther">
              <w:r w:rsidR="003369EB">
                <w:rPr>
                  <w:rFonts w:ascii="Times New Roman" w:hAnsi="Times New Roman" w:eastAsia="MS Gothic" w:cs="Times New Roman"/>
                  <w:lang w:eastAsia="ru-RU"/>
                </w:rPr>
                <w:t>Consolidated Financial Statements and Other Financial Information</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AConsolidatedFinancialStatementsandOther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117</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BSignificantChanges_201217">
              <w:r w:rsidR="003369EB">
                <w:rPr>
                  <w:rFonts w:ascii="Times New Roman" w:hAnsi="Times New Roman" w:eastAsia="MS Gothic" w:cs="Times New Roman"/>
                  <w:lang w:val="ru-RU" w:eastAsia="ru-RU"/>
                </w:rPr>
                <w:t>B.</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BSignificantChanges_201217">
              <w:r w:rsidR="003369EB">
                <w:rPr>
                  <w:rFonts w:ascii="Times New Roman" w:hAnsi="Times New Roman" w:eastAsia="MS Gothic" w:cs="Times New Roman"/>
                  <w:lang w:val="ru-RU" w:eastAsia="ru-RU"/>
                </w:rPr>
                <w:t>Significant Changes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BSignificantChanges_201217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117</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rPr>
                <w:rFonts w:ascii="Times New Roman" w:hAnsi="Times New Roman" w:eastAsia="Times New Roman" w:cs="Times New Roman"/>
                <w:lang w:eastAsia="ru-RU"/>
              </w:rPr>
            </w:pPr>
            <w:hyperlink w:history="1" w:anchor="ITEM9TheOfferandListing_300489">
              <w:r w:rsidR="003369EB">
                <w:rPr>
                  <w:rFonts w:ascii="Times New Roman" w:hAnsi="Times New Roman" w:eastAsia="MS Gothic" w:cs="Times New Roman"/>
                  <w:lang w:eastAsia="ru-RU"/>
                </w:rPr>
                <w:t>ITEM 9.</w:t>
              </w:r>
            </w:hyperlink>
          </w:p>
        </w:tc>
        <w:tc>
          <w:tcPr>
            <w:tcW w:w="150" w:type="pct"/>
            <w:vAlign w:val="bottom"/>
          </w:tcPr>
          <w:p w:rsidR="009534E2" w:rsidRDefault="009534E2">
            <w:pPr>
              <w:rPr>
                <w:rFonts w:ascii="Times New Roman" w:hAnsi="Times New Roman" w:eastAsia="Times New Roman" w:cs="Times New Roman"/>
                <w:lang w:val="ru-RU" w:eastAsia="ru-RU"/>
              </w:rPr>
            </w:pPr>
          </w:p>
        </w:tc>
        <w:tc>
          <w:tcPr>
            <w:tcW w:w="3972" w:type="pct"/>
            <w:gridSpan w:val="3"/>
            <w:vAlign w:val="bottom"/>
            <w:hideMark/>
          </w:tcPr>
          <w:p w:rsidR="009534E2" w:rsidRDefault="00EC0AE1">
            <w:pPr>
              <w:rPr>
                <w:rFonts w:ascii="Times New Roman" w:hAnsi="Times New Roman" w:eastAsia="Times New Roman" w:cs="Times New Roman"/>
                <w:lang w:eastAsia="ru-RU"/>
              </w:rPr>
            </w:pPr>
            <w:hyperlink w:history="1" w:anchor="ITEM9TheOfferandListing_300489">
              <w:r w:rsidR="003369EB">
                <w:rPr>
                  <w:rFonts w:ascii="Times New Roman" w:hAnsi="Times New Roman" w:eastAsia="MS Gothic" w:cs="Times New Roman"/>
                  <w:lang w:eastAsia="ru-RU"/>
                </w:rPr>
                <w:t>The Offer and Listing</w:t>
              </w:r>
            </w:hyperlink>
          </w:p>
        </w:tc>
        <w:tc>
          <w:tcPr>
            <w:tcW w:w="233" w:type="pct"/>
            <w:vAlign w:val="bottom"/>
            <w:hideMark/>
          </w:tcPr>
          <w:p w:rsidR="009534E2" w:rsidRDefault="003369EB">
            <w:pPr>
              <w:jc w:val="right"/>
              <w:rPr>
                <w:rFonts w:ascii="Times New Roman" w:hAnsi="Times New Roman" w:eastAsia="Times New Roman" w:cs="Times New Roman"/>
                <w:lang w:eastAsia="ru-RU"/>
              </w:rPr>
            </w:pPr>
            <w:r>
              <w:rPr>
                <w:rFonts w:ascii="Times New Roman" w:hAnsi="Times New Roman" w:eastAsia="Times New Roman" w:cs="Times New Roman"/>
                <w:lang w:eastAsia="ru-RU"/>
              </w:rPr>
              <w:fldChar w:fldCharType="begin"/>
            </w:r>
            <w:r>
              <w:rPr>
                <w:rFonts w:ascii="Times New Roman" w:hAnsi="Times New Roman" w:eastAsia="Times New Roman" w:cs="Times New Roman"/>
                <w:lang w:eastAsia="ru-RU"/>
              </w:rPr>
              <w:instrText xml:space="preserve"> PAGEREF  ITEM9TheOfferandListing_300489  \* MERGEFORMAT </w:instrText>
            </w:r>
            <w:r>
              <w:rPr>
                <w:rFonts w:ascii="Times New Roman" w:hAnsi="Times New Roman" w:eastAsia="Times New Roman" w:cs="Times New Roman"/>
                <w:lang w:eastAsia="ru-RU"/>
              </w:rPr>
              <w:fldChar w:fldCharType="separate"/>
            </w:r>
            <w:r w:rsidR="00A27544">
              <w:rPr>
                <w:rFonts w:ascii="Times New Roman" w:hAnsi="Times New Roman" w:eastAsia="Times New Roman" w:cs="Times New Roman"/>
                <w:noProof/>
                <w:lang w:eastAsia="ru-RU"/>
              </w:rPr>
              <w:t>118</w:t>
            </w:r>
            <w:r>
              <w:rPr>
                <w:rFonts w:ascii="Times New Roman" w:hAnsi="Times New Roman" w:eastAsia="Times New Roman" w:cs="Times New Roman"/>
                <w:lang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AOfferandListingDetails_658540">
              <w:r w:rsidR="003369EB">
                <w:rPr>
                  <w:rFonts w:ascii="Times New Roman" w:hAnsi="Times New Roman" w:eastAsia="MS Gothic" w:cs="Times New Roman"/>
                  <w:lang w:val="ru-RU" w:eastAsia="ru-RU"/>
                </w:rPr>
                <w:t>A.</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AOfferandListingDetails_658540">
              <w:r w:rsidR="003369EB">
                <w:rPr>
                  <w:rFonts w:ascii="Times New Roman" w:hAnsi="Times New Roman" w:eastAsia="MS Gothic" w:cs="Times New Roman"/>
                  <w:lang w:val="ru-RU" w:eastAsia="ru-RU"/>
                </w:rPr>
                <w:t>Offer and Listing Details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AOfferandListingDetails_658540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118</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BPlanofDistribution_249456">
              <w:r w:rsidR="003369EB">
                <w:rPr>
                  <w:rFonts w:ascii="Times New Roman" w:hAnsi="Times New Roman" w:eastAsia="MS Gothic" w:cs="Times New Roman"/>
                  <w:lang w:val="ru-RU" w:eastAsia="ru-RU"/>
                </w:rPr>
                <w:t>B.</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BPlanofDistribution_249456">
              <w:r w:rsidR="003369EB">
                <w:rPr>
                  <w:rFonts w:ascii="Times New Roman" w:hAnsi="Times New Roman" w:eastAsia="MS Gothic" w:cs="Times New Roman"/>
                  <w:lang w:val="ru-RU" w:eastAsia="ru-RU"/>
                </w:rPr>
                <w:t>Plan of Distribution</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BPlanofDistribution_249456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118</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CMarkets_619882">
              <w:r w:rsidR="003369EB">
                <w:rPr>
                  <w:rFonts w:ascii="Times New Roman" w:hAnsi="Times New Roman" w:eastAsia="MS Gothic" w:cs="Times New Roman"/>
                  <w:lang w:val="ru-RU" w:eastAsia="ru-RU"/>
                </w:rPr>
                <w:t>C.</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CMarkets_619882">
              <w:r w:rsidR="003369EB">
                <w:rPr>
                  <w:rFonts w:ascii="Times New Roman" w:hAnsi="Times New Roman" w:eastAsia="MS Gothic" w:cs="Times New Roman"/>
                  <w:lang w:val="ru-RU" w:eastAsia="ru-RU"/>
                </w:rPr>
                <w:t>Markets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CMarkets_619882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118</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DSellingShareholders_842452">
              <w:r w:rsidR="003369EB">
                <w:rPr>
                  <w:rFonts w:ascii="Times New Roman" w:hAnsi="Times New Roman" w:eastAsia="MS Gothic" w:cs="Times New Roman"/>
                  <w:lang w:val="ru-RU" w:eastAsia="ru-RU"/>
                </w:rPr>
                <w:t>D.</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DSellingShareholders_842452">
              <w:r w:rsidR="003369EB">
                <w:rPr>
                  <w:rFonts w:ascii="Times New Roman" w:hAnsi="Times New Roman" w:eastAsia="MS Gothic" w:cs="Times New Roman"/>
                  <w:lang w:val="ru-RU" w:eastAsia="ru-RU"/>
                </w:rPr>
                <w:t>Selling Shareholders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DSellingShareholders_842452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118</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EDilution_619245">
              <w:r w:rsidR="003369EB">
                <w:rPr>
                  <w:rFonts w:ascii="Times New Roman" w:hAnsi="Times New Roman" w:eastAsia="MS Gothic" w:cs="Times New Roman"/>
                  <w:lang w:val="ru-RU" w:eastAsia="ru-RU"/>
                </w:rPr>
                <w:t>E.</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EDilution_619245">
              <w:r w:rsidR="003369EB">
                <w:rPr>
                  <w:rFonts w:ascii="Times New Roman" w:hAnsi="Times New Roman" w:eastAsia="MS Gothic" w:cs="Times New Roman"/>
                  <w:lang w:val="ru-RU" w:eastAsia="ru-RU"/>
                </w:rPr>
                <w:t>Dilution</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EDilution_619245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118</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FExpensesoftheIssue_756883">
              <w:r w:rsidR="003369EB">
                <w:rPr>
                  <w:rFonts w:ascii="Times New Roman" w:hAnsi="Times New Roman" w:eastAsia="MS Gothic" w:cs="Times New Roman"/>
                  <w:lang w:val="ru-RU" w:eastAsia="ru-RU"/>
                </w:rPr>
                <w:t>F.</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FExpensesoftheIssue_756883">
              <w:r w:rsidR="003369EB">
                <w:rPr>
                  <w:rFonts w:ascii="Times New Roman" w:hAnsi="Times New Roman" w:eastAsia="MS Gothic" w:cs="Times New Roman"/>
                  <w:lang w:val="ru-RU" w:eastAsia="ru-RU"/>
                </w:rPr>
                <w:t>Expenses of the Issue</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FExpensesoftheIssue_756883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118</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rPr>
                <w:rFonts w:ascii="Times New Roman" w:hAnsi="Times New Roman" w:eastAsia="Times New Roman" w:cs="Times New Roman"/>
                <w:lang w:eastAsia="ru-RU"/>
              </w:rPr>
            </w:pPr>
            <w:hyperlink w:history="1" w:anchor="ITEM10AdditionalInformation_704734">
              <w:r w:rsidR="003369EB">
                <w:rPr>
                  <w:rFonts w:ascii="Times New Roman" w:hAnsi="Times New Roman" w:eastAsia="MS Gothic" w:cs="Times New Roman"/>
                  <w:lang w:eastAsia="ru-RU"/>
                </w:rPr>
                <w:t>ITEM 10.</w:t>
              </w:r>
            </w:hyperlink>
          </w:p>
        </w:tc>
        <w:tc>
          <w:tcPr>
            <w:tcW w:w="150" w:type="pct"/>
            <w:vAlign w:val="bottom"/>
          </w:tcPr>
          <w:p w:rsidR="009534E2" w:rsidRDefault="009534E2">
            <w:pPr>
              <w:rPr>
                <w:rFonts w:ascii="Times New Roman" w:hAnsi="Times New Roman" w:eastAsia="Times New Roman" w:cs="Times New Roman"/>
                <w:lang w:val="ru-RU" w:eastAsia="ru-RU"/>
              </w:rPr>
            </w:pPr>
          </w:p>
        </w:tc>
        <w:tc>
          <w:tcPr>
            <w:tcW w:w="3972" w:type="pct"/>
            <w:gridSpan w:val="3"/>
            <w:vAlign w:val="bottom"/>
            <w:hideMark/>
          </w:tcPr>
          <w:p w:rsidR="009534E2" w:rsidRDefault="00EC0AE1">
            <w:pPr>
              <w:rPr>
                <w:rFonts w:ascii="Times New Roman" w:hAnsi="Times New Roman" w:eastAsia="Times New Roman" w:cs="Times New Roman"/>
                <w:lang w:val="ru-RU" w:eastAsia="ru-RU"/>
              </w:rPr>
            </w:pPr>
            <w:hyperlink w:history="1" w:anchor="ITEM10AdditionalInformation_704734">
              <w:r w:rsidR="003369EB">
                <w:rPr>
                  <w:rFonts w:ascii="Times New Roman" w:hAnsi="Times New Roman" w:eastAsia="MS Gothic" w:cs="Times New Roman"/>
                  <w:lang w:val="ru-RU" w:eastAsia="ru-RU"/>
                </w:rPr>
                <w:t>Additional Information</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ITEM10AdditionalInformation_704734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119</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AShareCapital_499485">
              <w:r w:rsidR="003369EB">
                <w:rPr>
                  <w:rFonts w:ascii="Times New Roman" w:hAnsi="Times New Roman" w:eastAsia="MS Gothic" w:cs="Times New Roman"/>
                  <w:lang w:val="ru-RU" w:eastAsia="ru-RU"/>
                </w:rPr>
                <w:t>A.</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AShareCapital_499485">
              <w:r w:rsidR="003369EB">
                <w:rPr>
                  <w:rFonts w:ascii="Times New Roman" w:hAnsi="Times New Roman" w:eastAsia="MS Gothic" w:cs="Times New Roman"/>
                  <w:lang w:val="ru-RU" w:eastAsia="ru-RU"/>
                </w:rPr>
                <w:t>Share Capital</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AShareCapital_499485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119</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BMemorandumandArticlesofAssociation_9618">
              <w:r w:rsidR="003369EB">
                <w:rPr>
                  <w:rFonts w:ascii="Times New Roman" w:hAnsi="Times New Roman" w:eastAsia="MS Gothic" w:cs="Times New Roman"/>
                  <w:lang w:val="ru-RU" w:eastAsia="ru-RU"/>
                </w:rPr>
                <w:t>B.</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BMemorandumandArticlesofAssociation_9618">
              <w:r w:rsidR="003369EB">
                <w:rPr>
                  <w:rFonts w:ascii="Times New Roman" w:hAnsi="Times New Roman" w:eastAsia="MS Gothic" w:cs="Times New Roman"/>
                  <w:lang w:eastAsia="ru-RU"/>
                </w:rPr>
                <w:t>Memorandum and Articles of Association</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BMemorandumandArticlesofAssociation_9618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119</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CMaterialContracts_119435">
              <w:r w:rsidR="003369EB">
                <w:rPr>
                  <w:rFonts w:ascii="Times New Roman" w:hAnsi="Times New Roman" w:eastAsia="MS Gothic" w:cs="Times New Roman"/>
                  <w:lang w:val="ru-RU" w:eastAsia="ru-RU"/>
                </w:rPr>
                <w:t>C.</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CMaterialContracts_119435">
              <w:r w:rsidR="003369EB">
                <w:rPr>
                  <w:rFonts w:ascii="Times New Roman" w:hAnsi="Times New Roman" w:eastAsia="MS Gothic" w:cs="Times New Roman"/>
                  <w:lang w:val="ru-RU" w:eastAsia="ru-RU"/>
                </w:rPr>
                <w:t>Material Contracts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CMaterialContracts_119435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123</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DExchangeControls_359512">
              <w:r w:rsidR="003369EB">
                <w:rPr>
                  <w:rFonts w:ascii="Times New Roman" w:hAnsi="Times New Roman" w:eastAsia="MS Gothic" w:cs="Times New Roman"/>
                  <w:lang w:val="ru-RU" w:eastAsia="ru-RU"/>
                </w:rPr>
                <w:t>D.</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DExchangeControls_359512">
              <w:r w:rsidR="003369EB">
                <w:rPr>
                  <w:rFonts w:ascii="Times New Roman" w:hAnsi="Times New Roman" w:eastAsia="MS Gothic" w:cs="Times New Roman"/>
                  <w:lang w:val="ru-RU" w:eastAsia="ru-RU"/>
                </w:rPr>
                <w:t>Exchange Controls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DExchangeControls_359512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124</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ETaxation_645776">
              <w:r w:rsidR="003369EB">
                <w:rPr>
                  <w:rFonts w:ascii="Times New Roman" w:hAnsi="Times New Roman" w:eastAsia="MS Gothic" w:cs="Times New Roman"/>
                  <w:lang w:val="ru-RU" w:eastAsia="ru-RU"/>
                </w:rPr>
                <w:t>E.</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ETaxation_645776">
              <w:r w:rsidR="003369EB">
                <w:rPr>
                  <w:rFonts w:ascii="Times New Roman" w:hAnsi="Times New Roman" w:eastAsia="MS Gothic" w:cs="Times New Roman"/>
                  <w:lang w:val="ru-RU" w:eastAsia="ru-RU"/>
                </w:rPr>
                <w:t>Taxation</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ETaxation_645776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124</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FDividendandPayingAgents_181501">
              <w:r w:rsidR="003369EB">
                <w:rPr>
                  <w:rFonts w:ascii="Times New Roman" w:hAnsi="Times New Roman" w:eastAsia="MS Gothic" w:cs="Times New Roman"/>
                  <w:lang w:val="ru-RU" w:eastAsia="ru-RU"/>
                </w:rPr>
                <w:t>F.</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FDividendandPayingAgents_181501">
              <w:r w:rsidR="003369EB">
                <w:rPr>
                  <w:rFonts w:ascii="Times New Roman" w:hAnsi="Times New Roman" w:eastAsia="MS Gothic" w:cs="Times New Roman"/>
                  <w:lang w:val="ru-RU" w:eastAsia="ru-RU"/>
                </w:rPr>
                <w:t>Dividends and Paying Agents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FDividendandPayingAgents_181501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142</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GStatementsbyExperts_995455">
              <w:r w:rsidR="003369EB">
                <w:rPr>
                  <w:rFonts w:ascii="Times New Roman" w:hAnsi="Times New Roman" w:eastAsia="MS Gothic" w:cs="Times New Roman"/>
                  <w:lang w:val="ru-RU" w:eastAsia="ru-RU"/>
                </w:rPr>
                <w:t>G.</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GStatementsbyExperts_995455">
              <w:r w:rsidR="003369EB">
                <w:rPr>
                  <w:rFonts w:ascii="Times New Roman" w:hAnsi="Times New Roman" w:eastAsia="MS Gothic" w:cs="Times New Roman"/>
                  <w:lang w:val="ru-RU" w:eastAsia="ru-RU"/>
                </w:rPr>
                <w:t>Statements by Experts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GStatementsbyExperts_995455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142</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HDocumentsonDisplay_844562">
              <w:r w:rsidR="003369EB">
                <w:rPr>
                  <w:rFonts w:ascii="Times New Roman" w:hAnsi="Times New Roman" w:eastAsia="MS Gothic" w:cs="Times New Roman"/>
                  <w:lang w:val="ru-RU" w:eastAsia="ru-RU"/>
                </w:rPr>
                <w:t>H.</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HDocumentsonDisplay_844562">
              <w:r w:rsidR="003369EB">
                <w:rPr>
                  <w:rFonts w:ascii="Times New Roman" w:hAnsi="Times New Roman" w:eastAsia="MS Gothic" w:cs="Times New Roman"/>
                  <w:lang w:val="ru-RU" w:eastAsia="ru-RU"/>
                </w:rPr>
                <w:t>Documents on Display</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HDocumentsonDisplay_844562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142</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ISubsidiaryInformation_851181">
              <w:r w:rsidR="003369EB">
                <w:rPr>
                  <w:rFonts w:ascii="Times New Roman" w:hAnsi="Times New Roman" w:eastAsia="MS Gothic" w:cs="Times New Roman"/>
                  <w:lang w:val="ru-RU" w:eastAsia="ru-RU"/>
                </w:rPr>
                <w:t>I.</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ISubsidiaryInformation_851181">
              <w:r w:rsidR="003369EB">
                <w:rPr>
                  <w:rFonts w:ascii="Times New Roman" w:hAnsi="Times New Roman" w:eastAsia="MS Gothic" w:cs="Times New Roman"/>
                  <w:lang w:val="ru-RU" w:eastAsia="ru-RU"/>
                </w:rPr>
                <w:t>Subsidiary Information</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ISubsidiaryInformation_851181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143</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rPr>
                <w:rFonts w:ascii="Times New Roman" w:hAnsi="Times New Roman" w:eastAsia="Times New Roman" w:cs="Times New Roman"/>
                <w:lang w:eastAsia="ru-RU"/>
              </w:rPr>
            </w:pPr>
            <w:hyperlink w:history="1" w:anchor="ITEM11QuantitativeandQualitativeDisclosu">
              <w:r w:rsidR="003369EB">
                <w:rPr>
                  <w:rFonts w:ascii="Times New Roman" w:hAnsi="Times New Roman" w:eastAsia="MS Gothic" w:cs="Times New Roman"/>
                  <w:lang w:eastAsia="ru-RU"/>
                </w:rPr>
                <w:t>ITEM 11.</w:t>
              </w:r>
            </w:hyperlink>
          </w:p>
        </w:tc>
        <w:tc>
          <w:tcPr>
            <w:tcW w:w="150" w:type="pct"/>
            <w:vAlign w:val="bottom"/>
          </w:tcPr>
          <w:p w:rsidR="009534E2" w:rsidRDefault="009534E2">
            <w:pPr>
              <w:rPr>
                <w:rFonts w:ascii="Times New Roman" w:hAnsi="Times New Roman" w:eastAsia="Times New Roman" w:cs="Times New Roman"/>
                <w:lang w:val="ru-RU" w:eastAsia="ru-RU"/>
              </w:rPr>
            </w:pPr>
          </w:p>
        </w:tc>
        <w:tc>
          <w:tcPr>
            <w:tcW w:w="3972" w:type="pct"/>
            <w:gridSpan w:val="3"/>
            <w:vAlign w:val="bottom"/>
            <w:hideMark/>
          </w:tcPr>
          <w:p w:rsidR="009534E2" w:rsidRDefault="00EC0AE1">
            <w:pPr>
              <w:rPr>
                <w:rFonts w:ascii="Times New Roman" w:hAnsi="Times New Roman" w:eastAsia="Times New Roman" w:cs="Times New Roman"/>
                <w:lang w:val="ru-RU" w:eastAsia="ru-RU"/>
              </w:rPr>
            </w:pPr>
            <w:hyperlink w:history="1" w:anchor="ITEM11QuantitativeandQualitativeDisclosu">
              <w:r w:rsidR="003369EB">
                <w:rPr>
                  <w:rFonts w:ascii="Times New Roman" w:hAnsi="Times New Roman" w:eastAsia="MS Gothic" w:cs="Times New Roman"/>
                  <w:lang w:eastAsia="ru-RU"/>
                </w:rPr>
                <w:t>Quantitative and Qualitative Disclosures About Market Risk</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ITEM11QuantitativeandQualitativeDisclosu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143</w:t>
            </w:r>
            <w:r>
              <w:rPr>
                <w:rFonts w:ascii="Times New Roman" w:hAnsi="Times New Roman" w:eastAsia="Times New Roman" w:cs="Times New Roman"/>
                <w:lang w:val="ru-RU" w:eastAsia="ru-RU"/>
              </w:rPr>
              <w:fldChar w:fldCharType="end"/>
            </w:r>
          </w:p>
        </w:tc>
      </w:tr>
      <w:bookmarkEnd w:id="51"/>
      <w:bookmarkEnd w:id="52"/>
    </w:tbl>
    <w:p w:rsidR="009534E2" w:rsidRDefault="009534E2">
      <w:pPr>
        <w:rPr>
          <w:sz w:val="2"/>
        </w:rPr>
      </w:pPr>
    </w:p>
    <w:p w:rsidR="009534E2" w:rsidRDefault="003369EB">
      <w:r>
        <w:br w:type="page"/>
      </w:r>
    </w:p>
    <w:tbl>
      <w:tblPr>
        <w:tblW w:w="5000" w:type="pct"/>
        <w:jc w:val="center"/>
        <w:tblCellMar>
          <w:left w:w="0" w:type="dxa"/>
          <w:right w:w="0" w:type="dxa"/>
        </w:tblCellMar>
        <w:tblLook w:val="04A0" w:firstRow="1" w:lastRow="0" w:firstColumn="1" w:lastColumn="0" w:noHBand="0" w:noVBand="1"/>
      </w:tblPr>
      <w:tblGrid>
        <w:gridCol w:w="1136"/>
        <w:gridCol w:w="333"/>
        <w:gridCol w:w="389"/>
        <w:gridCol w:w="458"/>
        <w:gridCol w:w="7968"/>
        <w:gridCol w:w="516"/>
      </w:tblGrid>
      <w:tr w:rsidR="009534E2">
        <w:trPr>
          <w:cantSplit/>
          <w:trHeight w:val="20" w:hRule="exact"/>
          <w:jc w:val="center"/>
        </w:trPr>
        <w:tc>
          <w:tcPr>
            <w:tcW w:w="512" w:type="pct"/>
            <w:tcBorders>
              <w:top w:val="nil"/>
              <w:left w:val="nil"/>
              <w:bottom w:val="nil"/>
              <w:right w:val="nil"/>
            </w:tcBorders>
          </w:tcPr>
          <w:p w:rsidR="009534E2" w:rsidRDefault="009534E2">
            <w:pPr>
              <w:keepNext/>
              <w:rPr>
                <w:sz w:val="2"/>
              </w:rPr>
            </w:pPr>
            <w:bookmarkStart w:name="_cb845a6c_8294_4a70_9066_76466338b830" w:id="54"/>
            <w:bookmarkStart w:name="_ef36a6bf_3803_4f2c_8f2a_425c0bc71503" w:id="55"/>
            <w:bookmarkStart w:name="_7ad6cf6e_7574_4457_82da_d14f4d5e7f5a" w:id="56"/>
            <w:bookmarkEnd w:id="53"/>
          </w:p>
        </w:tc>
        <w:tc>
          <w:tcPr>
            <w:tcW w:w="150" w:type="pct"/>
            <w:tcBorders>
              <w:top w:val="nil"/>
              <w:left w:val="nil"/>
              <w:bottom w:val="nil"/>
              <w:right w:val="nil"/>
            </w:tcBorders>
            <w:vAlign w:val="bottom"/>
          </w:tcPr>
          <w:p w:rsidR="009534E2" w:rsidRDefault="009534E2">
            <w:pPr>
              <w:keepNext/>
              <w:rPr>
                <w:sz w:val="2"/>
              </w:rPr>
            </w:pPr>
          </w:p>
        </w:tc>
        <w:tc>
          <w:tcPr>
            <w:tcW w:w="175" w:type="pct"/>
            <w:tcBorders>
              <w:top w:val="nil"/>
              <w:left w:val="nil"/>
              <w:bottom w:val="nil"/>
              <w:right w:val="nil"/>
            </w:tcBorders>
            <w:vAlign w:val="bottom"/>
            <w:hideMark/>
          </w:tcPr>
          <w:p w:rsidR="009534E2" w:rsidRDefault="009534E2">
            <w:pPr>
              <w:keepNext/>
              <w:rPr>
                <w:sz w:val="2"/>
              </w:rPr>
            </w:pPr>
          </w:p>
        </w:tc>
        <w:tc>
          <w:tcPr>
            <w:tcW w:w="206" w:type="pct"/>
            <w:tcBorders>
              <w:top w:val="nil"/>
              <w:left w:val="nil"/>
              <w:bottom w:val="nil"/>
              <w:right w:val="nil"/>
            </w:tcBorders>
            <w:vAlign w:val="bottom"/>
          </w:tcPr>
          <w:p w:rsidR="009534E2" w:rsidRDefault="009534E2">
            <w:pPr>
              <w:keepNext/>
              <w:rPr>
                <w:sz w:val="2"/>
              </w:rPr>
            </w:pPr>
          </w:p>
        </w:tc>
        <w:tc>
          <w:tcPr>
            <w:tcW w:w="3591" w:type="pct"/>
            <w:tcBorders>
              <w:top w:val="nil"/>
              <w:left w:val="nil"/>
              <w:bottom w:val="nil"/>
              <w:right w:val="nil"/>
            </w:tcBorders>
            <w:vAlign w:val="bottom"/>
            <w:hideMark/>
          </w:tcPr>
          <w:p w:rsidR="009534E2" w:rsidRDefault="009534E2">
            <w:pPr>
              <w:keepNext/>
              <w:rPr>
                <w:sz w:val="2"/>
              </w:rPr>
            </w:pPr>
          </w:p>
        </w:tc>
        <w:tc>
          <w:tcPr>
            <w:tcW w:w="233" w:type="pct"/>
            <w:tcBorders>
              <w:top w:val="nil"/>
              <w:left w:val="nil"/>
              <w:bottom w:val="nil"/>
              <w:right w:val="nil"/>
            </w:tcBorders>
            <w:vAlign w:val="bottom"/>
            <w:hideMark/>
          </w:tcPr>
          <w:p w:rsidR="009534E2" w:rsidRDefault="009534E2">
            <w:pPr>
              <w:keepNext/>
              <w:rPr>
                <w:sz w:val="2"/>
              </w:rPr>
            </w:pPr>
          </w:p>
        </w:tc>
      </w:tr>
      <w:tr w:rsidR="009534E2">
        <w:trPr>
          <w:cantSplit/>
          <w:jc w:val="center"/>
        </w:trPr>
        <w:tc>
          <w:tcPr>
            <w:tcW w:w="512" w:type="pct"/>
            <w:hideMark/>
          </w:tcPr>
          <w:p w:rsidR="009534E2" w:rsidRDefault="00EC0AE1">
            <w:pPr>
              <w:rPr>
                <w:rFonts w:ascii="Times New Roman" w:hAnsi="Times New Roman" w:eastAsia="Times New Roman" w:cs="Times New Roman"/>
                <w:lang w:val="ru-RU" w:eastAsia="ru-RU"/>
              </w:rPr>
            </w:pPr>
            <w:hyperlink w:history="1" w:anchor="ITEM12DescriptionofSecuritiesOtherThanEq">
              <w:r w:rsidR="003369EB">
                <w:rPr>
                  <w:rFonts w:ascii="Times New Roman" w:hAnsi="Times New Roman" w:eastAsia="MS Gothic" w:cs="Times New Roman"/>
                  <w:lang w:val="ru-RU" w:eastAsia="ru-RU"/>
                </w:rPr>
                <w:t>ITEM 12.</w:t>
              </w:r>
            </w:hyperlink>
          </w:p>
        </w:tc>
        <w:tc>
          <w:tcPr>
            <w:tcW w:w="150" w:type="pct"/>
            <w:vAlign w:val="bottom"/>
          </w:tcPr>
          <w:p w:rsidR="009534E2" w:rsidRDefault="009534E2">
            <w:pPr>
              <w:rPr>
                <w:rFonts w:ascii="Times New Roman" w:hAnsi="Times New Roman" w:eastAsia="Times New Roman" w:cs="Times New Roman"/>
                <w:lang w:val="ru-RU" w:eastAsia="ru-RU"/>
              </w:rPr>
            </w:pPr>
          </w:p>
        </w:tc>
        <w:tc>
          <w:tcPr>
            <w:tcW w:w="3972" w:type="pct"/>
            <w:gridSpan w:val="3"/>
            <w:vAlign w:val="bottom"/>
            <w:hideMark/>
          </w:tcPr>
          <w:p w:rsidR="009534E2" w:rsidRDefault="00EC0AE1">
            <w:pPr>
              <w:rPr>
                <w:rFonts w:ascii="Times New Roman" w:hAnsi="Times New Roman" w:eastAsia="Times New Roman" w:cs="Times New Roman"/>
                <w:lang w:val="ru-RU" w:eastAsia="ru-RU"/>
              </w:rPr>
            </w:pPr>
            <w:hyperlink w:history="1" w:anchor="ITEM12DescriptionofSecuritiesOtherThanEq">
              <w:r w:rsidR="003369EB">
                <w:rPr>
                  <w:rFonts w:ascii="Times New Roman" w:hAnsi="Times New Roman" w:eastAsia="MS Gothic" w:cs="Times New Roman"/>
                  <w:lang w:eastAsia="ru-RU"/>
                </w:rPr>
                <w:t>Description of Securities Other Than Equity Securities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ITEM12DescriptionofSecuritiesOtherThanEq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146</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ADebtSecurities_830882">
              <w:r w:rsidR="003369EB">
                <w:rPr>
                  <w:rFonts w:ascii="Times New Roman" w:hAnsi="Times New Roman" w:eastAsia="MS Gothic" w:cs="Times New Roman"/>
                  <w:lang w:val="ru-RU" w:eastAsia="ru-RU"/>
                </w:rPr>
                <w:t>A.</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ADebtSecurities_830882">
              <w:r w:rsidR="003369EB">
                <w:rPr>
                  <w:rFonts w:ascii="Times New Roman" w:hAnsi="Times New Roman" w:eastAsia="MS Gothic" w:cs="Times New Roman"/>
                  <w:lang w:val="ru-RU" w:eastAsia="ru-RU"/>
                </w:rPr>
                <w:t>Debt Securities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ADebtSecurities_830882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146</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BWarrantsandRights_927271">
              <w:r w:rsidR="003369EB">
                <w:rPr>
                  <w:rFonts w:ascii="Times New Roman" w:hAnsi="Times New Roman" w:eastAsia="MS Gothic" w:cs="Times New Roman"/>
                  <w:lang w:val="ru-RU" w:eastAsia="ru-RU"/>
                </w:rPr>
                <w:t>B.</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BWarrantsandRights_927271">
              <w:r w:rsidR="003369EB">
                <w:rPr>
                  <w:rFonts w:ascii="Times New Roman" w:hAnsi="Times New Roman" w:eastAsia="MS Gothic" w:cs="Times New Roman"/>
                  <w:lang w:val="ru-RU" w:eastAsia="ru-RU"/>
                </w:rPr>
                <w:t>Warrants and Rights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BWarrantsandRights_927271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146</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COtherSecurities_437374">
              <w:r w:rsidR="003369EB">
                <w:rPr>
                  <w:rFonts w:ascii="Times New Roman" w:hAnsi="Times New Roman" w:eastAsia="MS Gothic" w:cs="Times New Roman"/>
                  <w:lang w:val="ru-RU" w:eastAsia="ru-RU"/>
                </w:rPr>
                <w:t>C.</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COtherSecurities_437374">
              <w:r w:rsidR="003369EB">
                <w:rPr>
                  <w:rFonts w:ascii="Times New Roman" w:hAnsi="Times New Roman" w:eastAsia="MS Gothic" w:cs="Times New Roman"/>
                  <w:lang w:val="ru-RU" w:eastAsia="ru-RU"/>
                </w:rPr>
                <w:t>Other Securities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COtherSecurities_437374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146</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rPr>
                <w:rFonts w:ascii="Times New Roman" w:hAnsi="Times New Roman" w:eastAsia="Times New Roman" w:cs="Times New Roman"/>
                <w:lang w:val="ru-RU" w:eastAsia="ru-RU"/>
              </w:rPr>
            </w:pPr>
          </w:p>
        </w:tc>
        <w:tc>
          <w:tcPr>
            <w:tcW w:w="150" w:type="pct"/>
            <w:vAlign w:val="bottom"/>
          </w:tcPr>
          <w:p w:rsidR="009534E2" w:rsidRDefault="009534E2">
            <w:pPr>
              <w:rPr>
                <w:rFonts w:ascii="Times New Roman" w:hAnsi="Times New Roman" w:eastAsia="Times New Roman" w:cs="Times New Roman"/>
                <w:lang w:val="ru-RU" w:eastAsia="ru-RU"/>
              </w:rPr>
            </w:pPr>
          </w:p>
        </w:tc>
        <w:tc>
          <w:tcPr>
            <w:tcW w:w="175" w:type="pct"/>
            <w:vAlign w:val="bottom"/>
            <w:hideMark/>
          </w:tcPr>
          <w:p w:rsidR="009534E2" w:rsidRDefault="00EC0AE1">
            <w:pPr>
              <w:rPr>
                <w:rFonts w:ascii="Times New Roman" w:hAnsi="Times New Roman" w:eastAsia="Times New Roman" w:cs="Times New Roman"/>
                <w:lang w:val="ru-RU" w:eastAsia="ru-RU"/>
              </w:rPr>
            </w:pPr>
            <w:hyperlink w:history="1" w:anchor="DAmericanDepositaryShares_723136">
              <w:r w:rsidR="003369EB">
                <w:rPr>
                  <w:rFonts w:ascii="Times New Roman" w:hAnsi="Times New Roman" w:eastAsia="MS Gothic" w:cs="Times New Roman"/>
                  <w:lang w:val="ru-RU" w:eastAsia="ru-RU"/>
                </w:rPr>
                <w:t>D.</w:t>
              </w:r>
            </w:hyperlink>
          </w:p>
        </w:tc>
        <w:tc>
          <w:tcPr>
            <w:tcW w:w="206" w:type="pct"/>
            <w:vAlign w:val="bottom"/>
          </w:tcPr>
          <w:p w:rsidR="009534E2" w:rsidRDefault="009534E2">
            <w:pPr>
              <w:rPr>
                <w:rFonts w:ascii="Times New Roman" w:hAnsi="Times New Roman" w:eastAsia="Times New Roman" w:cs="Times New Roman"/>
                <w:lang w:val="ru-RU" w:eastAsia="ru-RU"/>
              </w:rPr>
            </w:pPr>
          </w:p>
        </w:tc>
        <w:tc>
          <w:tcPr>
            <w:tcW w:w="3591" w:type="pct"/>
            <w:vAlign w:val="bottom"/>
            <w:hideMark/>
          </w:tcPr>
          <w:p w:rsidR="009534E2" w:rsidRDefault="00EC0AE1">
            <w:pPr>
              <w:rPr>
                <w:rFonts w:ascii="Times New Roman" w:hAnsi="Times New Roman" w:eastAsia="Times New Roman" w:cs="Times New Roman"/>
                <w:lang w:val="ru-RU" w:eastAsia="ru-RU"/>
              </w:rPr>
            </w:pPr>
            <w:hyperlink w:history="1" w:anchor="DAmericanDepositaryShares_723136">
              <w:r w:rsidR="003369EB">
                <w:rPr>
                  <w:rFonts w:ascii="Times New Roman" w:hAnsi="Times New Roman" w:eastAsia="MS Gothic" w:cs="Times New Roman"/>
                  <w:lang w:val="ru-RU" w:eastAsia="ru-RU"/>
                </w:rPr>
                <w:t>American Depositary Shares</w:t>
              </w:r>
            </w:hyperlink>
          </w:p>
        </w:tc>
        <w:tc>
          <w:tcPr>
            <w:tcW w:w="233" w:type="pct"/>
            <w:vAlign w:val="bottom"/>
            <w:hideMark/>
          </w:tcPr>
          <w:p w:rsidR="009534E2" w:rsidRDefault="003369EB">
            <w:pPr>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DAmericanDepositaryShares_723136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146</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keepNext/>
              <w:rPr>
                <w:rFonts w:ascii="Times New Roman" w:hAnsi="Times New Roman" w:eastAsia="Times New Roman" w:cs="Times New Roman"/>
                <w:lang w:val="ru-RU" w:eastAsia="ru-RU"/>
              </w:rPr>
            </w:pPr>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tcPr>
          <w:p w:rsidR="009534E2" w:rsidRDefault="009534E2">
            <w:pPr>
              <w:keepNext/>
              <w:jc w:val="center"/>
              <w:rPr>
                <w:rFonts w:ascii="Times New Roman" w:hAnsi="Times New Roman" w:eastAsia="Times New Roman" w:cs="Times New Roman"/>
                <w:lang w:eastAsia="ru-RU"/>
              </w:rPr>
            </w:pPr>
          </w:p>
        </w:tc>
        <w:tc>
          <w:tcPr>
            <w:tcW w:w="233" w:type="pct"/>
            <w:vAlign w:val="bottom"/>
          </w:tcPr>
          <w:p w:rsidR="009534E2" w:rsidRDefault="009534E2">
            <w:pPr>
              <w:keepNext/>
              <w:jc w:val="right"/>
              <w:rPr>
                <w:rFonts w:ascii="Times New Roman" w:hAnsi="Times New Roman" w:eastAsia="Times New Roman" w:cs="Times New Roman"/>
                <w:lang w:val="ru-RU" w:eastAsia="ru-RU"/>
              </w:rPr>
            </w:pPr>
          </w:p>
        </w:tc>
      </w:tr>
      <w:tr w:rsidR="009534E2">
        <w:trPr>
          <w:cantSplit/>
          <w:jc w:val="center"/>
        </w:trPr>
        <w:tc>
          <w:tcPr>
            <w:tcW w:w="150" w:type="pct"/>
            <w:gridSpan w:val="6"/>
          </w:tcPr>
          <w:p w:rsidR="009534E2" w:rsidRDefault="00EC0AE1">
            <w:pPr>
              <w:keepNext/>
              <w:jc w:val="center"/>
              <w:rPr>
                <w:rFonts w:ascii="Times New Roman" w:hAnsi="Times New Roman" w:eastAsia="Times New Roman" w:cs="Times New Roman"/>
                <w:lang w:val="ru-RU" w:eastAsia="ru-RU"/>
              </w:rPr>
            </w:pPr>
            <w:hyperlink w:history="1" w:anchor="PARTII_37024">
              <w:r w:rsidR="003369EB">
                <w:rPr>
                  <w:rStyle w:val="Hyperlink"/>
                  <w:rFonts w:ascii="Times New Roman" w:hAnsi="Times New Roman" w:eastAsia="Times New Roman" w:cs="Times New Roman"/>
                  <w:lang w:eastAsia="ru-RU"/>
                </w:rPr>
                <w:t>PART II</w:t>
              </w:r>
            </w:hyperlink>
          </w:p>
        </w:tc>
      </w:tr>
      <w:tr w:rsidR="009534E2">
        <w:trPr>
          <w:cantSplit/>
          <w:jc w:val="center"/>
        </w:trPr>
        <w:tc>
          <w:tcPr>
            <w:tcW w:w="512" w:type="pct"/>
          </w:tcPr>
          <w:p w:rsidR="009534E2" w:rsidRDefault="009534E2">
            <w:pPr>
              <w:keepNext/>
              <w:rPr>
                <w:rFonts w:ascii="Times New Roman" w:hAnsi="Times New Roman" w:eastAsia="Times New Roman" w:cs="Times New Roman"/>
                <w:lang w:val="ru-RU" w:eastAsia="ru-RU"/>
              </w:rPr>
            </w:pPr>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tcPr>
          <w:p w:rsidR="009534E2" w:rsidRDefault="009534E2">
            <w:pPr>
              <w:keepNext/>
              <w:rPr>
                <w:rFonts w:ascii="Times New Roman" w:hAnsi="Times New Roman" w:eastAsia="Times New Roman" w:cs="Times New Roman"/>
                <w:lang w:eastAsia="ru-RU"/>
              </w:rPr>
            </w:pPr>
          </w:p>
        </w:tc>
        <w:tc>
          <w:tcPr>
            <w:tcW w:w="233" w:type="pct"/>
            <w:vAlign w:val="bottom"/>
          </w:tcPr>
          <w:p w:rsidR="009534E2" w:rsidRDefault="009534E2">
            <w:pPr>
              <w:keepNext/>
              <w:jc w:val="right"/>
              <w:rPr>
                <w:rFonts w:ascii="Times New Roman" w:hAnsi="Times New Roman" w:eastAsia="Times New Roman" w:cs="Times New Roman"/>
                <w:lang w:val="ru-RU" w:eastAsia="ru-RU"/>
              </w:rPr>
            </w:pPr>
          </w:p>
        </w:tc>
      </w:tr>
      <w:tr w:rsidR="009534E2">
        <w:trPr>
          <w:cantSplit/>
          <w:jc w:val="center"/>
        </w:trPr>
        <w:tc>
          <w:tcPr>
            <w:tcW w:w="512" w:type="pct"/>
            <w:hideMark/>
          </w:tcPr>
          <w:p w:rsidR="009534E2" w:rsidRDefault="00EC0AE1">
            <w:pPr>
              <w:keepNext/>
              <w:rPr>
                <w:rFonts w:ascii="Times New Roman" w:hAnsi="Times New Roman" w:eastAsia="Times New Roman" w:cs="Times New Roman"/>
                <w:lang w:val="ru-RU" w:eastAsia="ru-RU"/>
              </w:rPr>
            </w:pPr>
            <w:hyperlink w:history="1" w:anchor="ITEM13DefaultsDividendArrearagesandDelin">
              <w:r w:rsidR="003369EB">
                <w:rPr>
                  <w:rFonts w:ascii="Times New Roman" w:hAnsi="Times New Roman" w:eastAsia="MS Gothic" w:cs="Times New Roman"/>
                  <w:lang w:val="ru-RU" w:eastAsia="ru-RU"/>
                </w:rPr>
                <w:t>ITEM 13.</w:t>
              </w:r>
            </w:hyperlink>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hideMark/>
          </w:tcPr>
          <w:p w:rsidR="009534E2" w:rsidRDefault="00EC0AE1">
            <w:pPr>
              <w:keepNext/>
              <w:rPr>
                <w:rFonts w:ascii="Times New Roman" w:hAnsi="Times New Roman" w:eastAsia="Times New Roman" w:cs="Times New Roman"/>
                <w:lang w:val="ru-RU" w:eastAsia="ru-RU"/>
              </w:rPr>
            </w:pPr>
            <w:hyperlink w:history="1" w:anchor="ITEM13DefaultsDividendArrearagesandDelin">
              <w:r w:rsidR="003369EB">
                <w:rPr>
                  <w:rFonts w:ascii="Times New Roman" w:hAnsi="Times New Roman" w:eastAsia="MS Gothic" w:cs="Times New Roman"/>
                  <w:lang w:eastAsia="ru-RU"/>
                </w:rPr>
                <w:t>Defaults, Dividend Arrearages and Delinquencies</w:t>
              </w:r>
            </w:hyperlink>
          </w:p>
        </w:tc>
        <w:tc>
          <w:tcPr>
            <w:tcW w:w="233" w:type="pct"/>
            <w:vAlign w:val="bottom"/>
            <w:hideMark/>
          </w:tcPr>
          <w:p w:rsidR="009534E2" w:rsidRDefault="003369EB">
            <w:pPr>
              <w:keepNext/>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ITEM13DefaultsDividendArrearagesandDelin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147</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keepNext/>
              <w:rPr>
                <w:rFonts w:ascii="Times New Roman" w:hAnsi="Times New Roman" w:eastAsia="Times New Roman" w:cs="Times New Roman"/>
                <w:lang w:val="ru-RU" w:eastAsia="ru-RU"/>
              </w:rPr>
            </w:pPr>
            <w:hyperlink w:history="1" w:anchor="ITEM14MaterialModificationstotheRightsof">
              <w:r w:rsidR="003369EB">
                <w:rPr>
                  <w:rFonts w:ascii="Times New Roman" w:hAnsi="Times New Roman" w:eastAsia="MS Gothic" w:cs="Times New Roman"/>
                  <w:lang w:val="ru-RU" w:eastAsia="ru-RU"/>
                </w:rPr>
                <w:t>ITEM 14.</w:t>
              </w:r>
            </w:hyperlink>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hideMark/>
          </w:tcPr>
          <w:p w:rsidR="009534E2" w:rsidRDefault="00EC0AE1">
            <w:pPr>
              <w:keepNext/>
              <w:rPr>
                <w:rFonts w:ascii="Times New Roman" w:hAnsi="Times New Roman" w:eastAsia="Times New Roman" w:cs="Times New Roman"/>
                <w:lang w:val="ru-RU" w:eastAsia="ru-RU"/>
              </w:rPr>
            </w:pPr>
            <w:hyperlink w:history="1" w:anchor="ITEM14MaterialModificationstotheRightsof">
              <w:r w:rsidR="003369EB">
                <w:rPr>
                  <w:rFonts w:ascii="Times New Roman" w:hAnsi="Times New Roman" w:eastAsia="MS Gothic" w:cs="Times New Roman"/>
                  <w:lang w:eastAsia="ru-RU"/>
                </w:rPr>
                <w:t>Material Modifications to the Rights of Security Holders and Use of Proceeds</w:t>
              </w:r>
            </w:hyperlink>
          </w:p>
        </w:tc>
        <w:tc>
          <w:tcPr>
            <w:tcW w:w="233" w:type="pct"/>
            <w:vAlign w:val="bottom"/>
            <w:hideMark/>
          </w:tcPr>
          <w:p w:rsidR="009534E2" w:rsidRDefault="003369EB">
            <w:pPr>
              <w:keepNext/>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ITEM14MaterialModificationstotheRightsof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147</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keepNext/>
              <w:rPr>
                <w:rFonts w:ascii="Times New Roman" w:hAnsi="Times New Roman" w:eastAsia="Times New Roman" w:cs="Times New Roman"/>
                <w:lang w:val="ru-RU" w:eastAsia="ru-RU"/>
              </w:rPr>
            </w:pPr>
            <w:hyperlink w:history="1" w:anchor="ITEM15ControlsandProcedures_616151">
              <w:r w:rsidR="003369EB">
                <w:rPr>
                  <w:rFonts w:ascii="Times New Roman" w:hAnsi="Times New Roman" w:eastAsia="MS Gothic" w:cs="Times New Roman"/>
                  <w:lang w:val="ru-RU" w:eastAsia="ru-RU"/>
                </w:rPr>
                <w:t>ITEM 15.</w:t>
              </w:r>
            </w:hyperlink>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hideMark/>
          </w:tcPr>
          <w:p w:rsidR="009534E2" w:rsidRDefault="00EC0AE1">
            <w:pPr>
              <w:keepNext/>
              <w:rPr>
                <w:rFonts w:ascii="Times New Roman" w:hAnsi="Times New Roman" w:eastAsia="Times New Roman" w:cs="Times New Roman"/>
                <w:lang w:val="ru-RU" w:eastAsia="ru-RU"/>
              </w:rPr>
            </w:pPr>
            <w:hyperlink w:history="1" w:anchor="ITEM15ControlsandProcedures_616151">
              <w:r w:rsidR="003369EB">
                <w:rPr>
                  <w:rFonts w:ascii="Times New Roman" w:hAnsi="Times New Roman" w:eastAsia="MS Gothic" w:cs="Times New Roman"/>
                  <w:lang w:val="ru-RU" w:eastAsia="ru-RU"/>
                </w:rPr>
                <w:t>Controls and Procedures</w:t>
              </w:r>
            </w:hyperlink>
          </w:p>
        </w:tc>
        <w:tc>
          <w:tcPr>
            <w:tcW w:w="233" w:type="pct"/>
            <w:vAlign w:val="bottom"/>
            <w:hideMark/>
          </w:tcPr>
          <w:p w:rsidR="009534E2" w:rsidRDefault="003369EB">
            <w:pPr>
              <w:keepNext/>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ITEM15ControlsandProcedures_616151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147</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keepNext/>
              <w:rPr>
                <w:rFonts w:ascii="Times New Roman" w:hAnsi="Times New Roman" w:eastAsia="Times New Roman" w:cs="Times New Roman"/>
                <w:lang w:val="ru-RU" w:eastAsia="ru-RU"/>
              </w:rPr>
            </w:pPr>
            <w:hyperlink w:history="1" w:anchor="ITEM16RESERVED_674567">
              <w:r w:rsidR="003369EB">
                <w:rPr>
                  <w:rFonts w:ascii="Times New Roman" w:hAnsi="Times New Roman" w:eastAsia="MS Gothic" w:cs="Times New Roman"/>
                  <w:lang w:val="ru-RU" w:eastAsia="ru-RU"/>
                </w:rPr>
                <w:t>ITEM 16.</w:t>
              </w:r>
            </w:hyperlink>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hideMark/>
          </w:tcPr>
          <w:p w:rsidR="009534E2" w:rsidRDefault="00EC0AE1">
            <w:pPr>
              <w:keepNext/>
              <w:rPr>
                <w:rFonts w:ascii="Times New Roman" w:hAnsi="Times New Roman" w:eastAsia="Times New Roman" w:cs="Times New Roman"/>
                <w:lang w:val="ru-RU" w:eastAsia="ru-RU"/>
              </w:rPr>
            </w:pPr>
            <w:hyperlink w:history="1" w:anchor="ITEM16RESERVED_674567">
              <w:r w:rsidR="003369EB">
                <w:rPr>
                  <w:rFonts w:ascii="Times New Roman" w:hAnsi="Times New Roman" w:eastAsia="MS Gothic" w:cs="Times New Roman"/>
                  <w:lang w:val="ru-RU" w:eastAsia="ru-RU"/>
                </w:rPr>
                <w:t>[RESERVED]</w:t>
              </w:r>
            </w:hyperlink>
          </w:p>
        </w:tc>
        <w:tc>
          <w:tcPr>
            <w:tcW w:w="233" w:type="pct"/>
            <w:vAlign w:val="bottom"/>
            <w:hideMark/>
          </w:tcPr>
          <w:p w:rsidR="009534E2" w:rsidRDefault="003369EB">
            <w:pPr>
              <w:keepNext/>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ITEM16RESERVED_674567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149</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keepNext/>
              <w:rPr>
                <w:rFonts w:ascii="Times New Roman" w:hAnsi="Times New Roman" w:eastAsia="Times New Roman" w:cs="Times New Roman"/>
                <w:lang w:val="ru-RU" w:eastAsia="ru-RU"/>
              </w:rPr>
            </w:pPr>
            <w:hyperlink w:history="1" w:anchor="ITEM16AAuditCommitteeFinancialExpert_182">
              <w:r w:rsidR="003369EB">
                <w:rPr>
                  <w:rFonts w:ascii="Times New Roman" w:hAnsi="Times New Roman" w:eastAsia="MS Gothic" w:cs="Times New Roman"/>
                  <w:lang w:val="ru-RU" w:eastAsia="ru-RU"/>
                </w:rPr>
                <w:t>ITEM 16A.</w:t>
              </w:r>
            </w:hyperlink>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hideMark/>
          </w:tcPr>
          <w:p w:rsidR="009534E2" w:rsidRDefault="00EC0AE1">
            <w:pPr>
              <w:keepNext/>
              <w:rPr>
                <w:rFonts w:ascii="Times New Roman" w:hAnsi="Times New Roman" w:eastAsia="Times New Roman" w:cs="Times New Roman"/>
                <w:lang w:val="ru-RU" w:eastAsia="ru-RU"/>
              </w:rPr>
            </w:pPr>
            <w:hyperlink w:history="1" w:anchor="ITEM16AAuditCommitteeFinancialExpert_182">
              <w:r w:rsidR="003369EB">
                <w:rPr>
                  <w:rFonts w:ascii="Times New Roman" w:hAnsi="Times New Roman" w:eastAsia="MS Gothic" w:cs="Times New Roman"/>
                  <w:lang w:val="ru-RU" w:eastAsia="ru-RU"/>
                </w:rPr>
                <w:t>Audit Committee Financial Expert</w:t>
              </w:r>
            </w:hyperlink>
          </w:p>
        </w:tc>
        <w:tc>
          <w:tcPr>
            <w:tcW w:w="233" w:type="pct"/>
            <w:vAlign w:val="bottom"/>
            <w:hideMark/>
          </w:tcPr>
          <w:p w:rsidR="009534E2" w:rsidRDefault="003369EB">
            <w:pPr>
              <w:keepNext/>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ITEM16AAuditCommitteeFinancialExpert_182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149</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keepNext/>
              <w:rPr>
                <w:rFonts w:ascii="Times New Roman" w:hAnsi="Times New Roman" w:eastAsia="Times New Roman" w:cs="Times New Roman"/>
                <w:lang w:val="ru-RU" w:eastAsia="ru-RU"/>
              </w:rPr>
            </w:pPr>
            <w:hyperlink w:history="1" w:anchor="ITEM16BCodeofEthics_390299">
              <w:r w:rsidR="003369EB">
                <w:rPr>
                  <w:rFonts w:ascii="Times New Roman" w:hAnsi="Times New Roman" w:eastAsia="MS Gothic" w:cs="Times New Roman"/>
                  <w:lang w:val="ru-RU" w:eastAsia="ru-RU"/>
                </w:rPr>
                <w:t>ITEM 16B.</w:t>
              </w:r>
            </w:hyperlink>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hideMark/>
          </w:tcPr>
          <w:p w:rsidR="009534E2" w:rsidRDefault="00EC0AE1">
            <w:pPr>
              <w:keepNext/>
              <w:rPr>
                <w:rFonts w:ascii="Times New Roman" w:hAnsi="Times New Roman" w:eastAsia="Times New Roman" w:cs="Times New Roman"/>
                <w:lang w:val="ru-RU" w:eastAsia="ru-RU"/>
              </w:rPr>
            </w:pPr>
            <w:hyperlink w:history="1" w:anchor="ITEM16BCodeofEthics_390299">
              <w:r w:rsidR="003369EB">
                <w:rPr>
                  <w:rFonts w:ascii="Times New Roman" w:hAnsi="Times New Roman" w:eastAsia="MS Gothic" w:cs="Times New Roman"/>
                  <w:lang w:val="ru-RU" w:eastAsia="ru-RU"/>
                </w:rPr>
                <w:t>Code of Ethics</w:t>
              </w:r>
            </w:hyperlink>
          </w:p>
        </w:tc>
        <w:tc>
          <w:tcPr>
            <w:tcW w:w="233" w:type="pct"/>
            <w:vAlign w:val="bottom"/>
            <w:hideMark/>
          </w:tcPr>
          <w:p w:rsidR="009534E2" w:rsidRDefault="003369EB">
            <w:pPr>
              <w:keepNext/>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ITEM16BCodeofEthics_390299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150</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keepNext/>
              <w:rPr>
                <w:rFonts w:ascii="Times New Roman" w:hAnsi="Times New Roman" w:eastAsia="Times New Roman" w:cs="Times New Roman"/>
                <w:lang w:val="ru-RU" w:eastAsia="ru-RU"/>
              </w:rPr>
            </w:pPr>
            <w:hyperlink w:history="1" w:anchor="ITEM16CPrincipalAccountantFeesandService">
              <w:r w:rsidR="003369EB">
                <w:rPr>
                  <w:rFonts w:ascii="Times New Roman" w:hAnsi="Times New Roman" w:eastAsia="MS Gothic" w:cs="Times New Roman"/>
                  <w:lang w:val="ru-RU" w:eastAsia="ru-RU"/>
                </w:rPr>
                <w:t>ITEM 16C.</w:t>
              </w:r>
            </w:hyperlink>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hideMark/>
          </w:tcPr>
          <w:p w:rsidR="009534E2" w:rsidRDefault="00EC0AE1">
            <w:pPr>
              <w:keepNext/>
              <w:rPr>
                <w:rFonts w:ascii="Times New Roman" w:hAnsi="Times New Roman" w:eastAsia="Times New Roman" w:cs="Times New Roman"/>
                <w:lang w:val="ru-RU" w:eastAsia="ru-RU"/>
              </w:rPr>
            </w:pPr>
            <w:hyperlink w:history="1" w:anchor="ITEM16CPrincipalAccountantFeesandService">
              <w:r w:rsidR="003369EB">
                <w:rPr>
                  <w:rFonts w:ascii="Times New Roman" w:hAnsi="Times New Roman" w:eastAsia="MS Gothic" w:cs="Times New Roman"/>
                  <w:lang w:eastAsia="ru-RU"/>
                </w:rPr>
                <w:t>Principal Accountant Fees and Services</w:t>
              </w:r>
            </w:hyperlink>
          </w:p>
        </w:tc>
        <w:tc>
          <w:tcPr>
            <w:tcW w:w="233" w:type="pct"/>
            <w:vAlign w:val="bottom"/>
            <w:hideMark/>
          </w:tcPr>
          <w:p w:rsidR="009534E2" w:rsidRDefault="003369EB">
            <w:pPr>
              <w:keepNext/>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ITEM16CPrincipalAccountantFeesandService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150</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keepNext/>
              <w:rPr>
                <w:rFonts w:ascii="Times New Roman" w:hAnsi="Times New Roman" w:eastAsia="Times New Roman" w:cs="Times New Roman"/>
                <w:lang w:val="ru-RU" w:eastAsia="ru-RU"/>
              </w:rPr>
            </w:pPr>
            <w:hyperlink w:history="1" w:anchor="ITEM16DExemptionsfromtheListingStandards">
              <w:r w:rsidR="003369EB">
                <w:rPr>
                  <w:rFonts w:ascii="Times New Roman" w:hAnsi="Times New Roman" w:eastAsia="MS Gothic" w:cs="Times New Roman"/>
                  <w:lang w:val="ru-RU" w:eastAsia="ru-RU"/>
                </w:rPr>
                <w:t>ITEM 16D.</w:t>
              </w:r>
            </w:hyperlink>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hideMark/>
          </w:tcPr>
          <w:p w:rsidR="009534E2" w:rsidRDefault="00EC0AE1">
            <w:pPr>
              <w:keepNext/>
              <w:rPr>
                <w:rFonts w:ascii="Times New Roman" w:hAnsi="Times New Roman" w:eastAsia="Times New Roman" w:cs="Times New Roman"/>
                <w:lang w:val="ru-RU" w:eastAsia="ru-RU"/>
              </w:rPr>
            </w:pPr>
            <w:hyperlink w:history="1" w:anchor="ITEM16DExemptionsfromtheListingStandards">
              <w:r w:rsidR="003369EB">
                <w:rPr>
                  <w:rFonts w:ascii="Times New Roman" w:hAnsi="Times New Roman" w:eastAsia="MS Gothic" w:cs="Times New Roman"/>
                  <w:lang w:eastAsia="ru-RU"/>
                </w:rPr>
                <w:t>Exemptions from the Listing Standards for Audit Committees</w:t>
              </w:r>
            </w:hyperlink>
          </w:p>
        </w:tc>
        <w:tc>
          <w:tcPr>
            <w:tcW w:w="233" w:type="pct"/>
            <w:vAlign w:val="bottom"/>
            <w:hideMark/>
          </w:tcPr>
          <w:p w:rsidR="009534E2" w:rsidRDefault="003369EB">
            <w:pPr>
              <w:keepNext/>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ITEM16DExemptionsfromtheListingStandards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150</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keepNext/>
              <w:rPr>
                <w:rFonts w:ascii="Times New Roman" w:hAnsi="Times New Roman" w:eastAsia="Times New Roman" w:cs="Times New Roman"/>
                <w:lang w:val="ru-RU" w:eastAsia="ru-RU"/>
              </w:rPr>
            </w:pPr>
            <w:hyperlink w:history="1" w:anchor="ITEM16EPurchasesofEquitySecuritiesbytheI">
              <w:r w:rsidR="003369EB">
                <w:rPr>
                  <w:rFonts w:ascii="Times New Roman" w:hAnsi="Times New Roman" w:eastAsia="MS Gothic" w:cs="Times New Roman"/>
                  <w:lang w:val="ru-RU" w:eastAsia="ru-RU"/>
                </w:rPr>
                <w:t>ITEM 16E.</w:t>
              </w:r>
            </w:hyperlink>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hideMark/>
          </w:tcPr>
          <w:p w:rsidR="009534E2" w:rsidRDefault="00EC0AE1">
            <w:pPr>
              <w:keepNext/>
              <w:rPr>
                <w:rFonts w:ascii="Times New Roman" w:hAnsi="Times New Roman" w:eastAsia="Times New Roman" w:cs="Times New Roman"/>
                <w:lang w:val="ru-RU" w:eastAsia="ru-RU"/>
              </w:rPr>
            </w:pPr>
            <w:hyperlink w:history="1" w:anchor="ITEM16EPurchasesofEquitySecuritiesbytheI">
              <w:r w:rsidR="003369EB">
                <w:rPr>
                  <w:rFonts w:ascii="Times New Roman" w:hAnsi="Times New Roman" w:eastAsia="MS Gothic" w:cs="Times New Roman"/>
                  <w:lang w:eastAsia="ru-RU"/>
                </w:rPr>
                <w:t>Purchases of Equity Securities by the Issuer and Affiliated Purchasers</w:t>
              </w:r>
            </w:hyperlink>
          </w:p>
        </w:tc>
        <w:tc>
          <w:tcPr>
            <w:tcW w:w="233" w:type="pct"/>
            <w:vAlign w:val="bottom"/>
            <w:hideMark/>
          </w:tcPr>
          <w:p w:rsidR="009534E2" w:rsidRDefault="003369EB">
            <w:pPr>
              <w:keepNext/>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ITEM16EPurchasesofEquitySecuritiesbytheI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150</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keepNext/>
              <w:rPr>
                <w:rFonts w:ascii="Times New Roman" w:hAnsi="Times New Roman" w:eastAsia="Times New Roman" w:cs="Times New Roman"/>
                <w:lang w:val="ru-RU" w:eastAsia="ru-RU"/>
              </w:rPr>
            </w:pPr>
            <w:hyperlink w:history="1" w:anchor="ITEM16FChangeinRegistrantsCertifyingAcco">
              <w:r w:rsidR="003369EB">
                <w:rPr>
                  <w:rFonts w:ascii="Times New Roman" w:hAnsi="Times New Roman" w:eastAsia="MS Gothic" w:cs="Times New Roman"/>
                  <w:lang w:val="ru-RU" w:eastAsia="ru-RU"/>
                </w:rPr>
                <w:t>ITEM 16F.</w:t>
              </w:r>
            </w:hyperlink>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hideMark/>
          </w:tcPr>
          <w:p w:rsidR="009534E2" w:rsidRDefault="00EC0AE1">
            <w:pPr>
              <w:keepNext/>
              <w:rPr>
                <w:rFonts w:ascii="Times New Roman" w:hAnsi="Times New Roman" w:eastAsia="Times New Roman" w:cs="Times New Roman"/>
                <w:lang w:val="ru-RU" w:eastAsia="ru-RU"/>
              </w:rPr>
            </w:pPr>
            <w:hyperlink w:history="1" w:anchor="ITEM16FChangeinRegistrantsCertifyingAcco">
              <w:r w:rsidR="003369EB">
                <w:rPr>
                  <w:rFonts w:ascii="Times New Roman" w:hAnsi="Times New Roman" w:eastAsia="MS Gothic" w:cs="Times New Roman"/>
                  <w:lang w:eastAsia="ru-RU"/>
                </w:rPr>
                <w:t>Change in Registrant’s Certifying Accountant</w:t>
              </w:r>
            </w:hyperlink>
          </w:p>
        </w:tc>
        <w:tc>
          <w:tcPr>
            <w:tcW w:w="233" w:type="pct"/>
            <w:vAlign w:val="bottom"/>
            <w:hideMark/>
          </w:tcPr>
          <w:p w:rsidR="009534E2" w:rsidRDefault="003369EB">
            <w:pPr>
              <w:keepNext/>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ITEM16FChangeinRegistrantsCertifyingAcco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150</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keepNext/>
              <w:rPr>
                <w:rFonts w:ascii="Times New Roman" w:hAnsi="Times New Roman" w:eastAsia="Times New Roman" w:cs="Times New Roman"/>
                <w:lang w:val="ru-RU" w:eastAsia="ru-RU"/>
              </w:rPr>
            </w:pPr>
            <w:hyperlink w:history="1" w:anchor="ITEM16GCorporateGovernance_119895">
              <w:r w:rsidR="003369EB">
                <w:rPr>
                  <w:rFonts w:ascii="Times New Roman" w:hAnsi="Times New Roman" w:eastAsia="MS Gothic" w:cs="Times New Roman"/>
                  <w:lang w:val="ru-RU" w:eastAsia="ru-RU"/>
                </w:rPr>
                <w:t>ITEM 16G.</w:t>
              </w:r>
            </w:hyperlink>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hideMark/>
          </w:tcPr>
          <w:p w:rsidR="009534E2" w:rsidRDefault="00EC0AE1">
            <w:pPr>
              <w:keepNext/>
              <w:rPr>
                <w:rFonts w:ascii="Times New Roman" w:hAnsi="Times New Roman" w:eastAsia="Times New Roman" w:cs="Times New Roman"/>
                <w:lang w:val="ru-RU" w:eastAsia="ru-RU"/>
              </w:rPr>
            </w:pPr>
            <w:hyperlink w:history="1" w:anchor="ITEM16GCorporateGovernance_119895">
              <w:r w:rsidR="003369EB">
                <w:rPr>
                  <w:rFonts w:ascii="Times New Roman" w:hAnsi="Times New Roman" w:eastAsia="MS Gothic" w:cs="Times New Roman"/>
                  <w:lang w:val="ru-RU" w:eastAsia="ru-RU"/>
                </w:rPr>
                <w:t>Corporate Governance</w:t>
              </w:r>
            </w:hyperlink>
          </w:p>
        </w:tc>
        <w:tc>
          <w:tcPr>
            <w:tcW w:w="233" w:type="pct"/>
            <w:vAlign w:val="bottom"/>
            <w:hideMark/>
          </w:tcPr>
          <w:p w:rsidR="009534E2" w:rsidRDefault="003369EB">
            <w:pPr>
              <w:keepNext/>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ITEM16GCorporateGovernance_119895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151</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keepNext/>
              <w:rPr>
                <w:rFonts w:ascii="Times New Roman" w:hAnsi="Times New Roman" w:eastAsia="Times New Roman" w:cs="Times New Roman"/>
                <w:lang w:val="ru-RU" w:eastAsia="ru-RU"/>
              </w:rPr>
            </w:pPr>
            <w:hyperlink w:history="1" w:anchor="ITEM16HMineSafetyDisclosure_595813">
              <w:r w:rsidR="003369EB">
                <w:rPr>
                  <w:rFonts w:ascii="Times New Roman" w:hAnsi="Times New Roman" w:eastAsia="MS Gothic" w:cs="Times New Roman"/>
                  <w:lang w:val="ru-RU" w:eastAsia="ru-RU"/>
                </w:rPr>
                <w:t>ITEM 16H.</w:t>
              </w:r>
            </w:hyperlink>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hideMark/>
          </w:tcPr>
          <w:p w:rsidR="009534E2" w:rsidRDefault="00EC0AE1">
            <w:pPr>
              <w:keepNext/>
              <w:rPr>
                <w:rFonts w:ascii="Times New Roman" w:hAnsi="Times New Roman" w:eastAsia="Times New Roman" w:cs="Times New Roman"/>
                <w:lang w:val="ru-RU" w:eastAsia="ru-RU"/>
              </w:rPr>
            </w:pPr>
            <w:hyperlink w:history="1" w:anchor="ITEM16HMineSafetyDisclosure_595813">
              <w:r w:rsidR="003369EB">
                <w:rPr>
                  <w:rFonts w:ascii="Times New Roman" w:hAnsi="Times New Roman" w:eastAsia="MS Gothic" w:cs="Times New Roman"/>
                  <w:lang w:val="ru-RU" w:eastAsia="ru-RU"/>
                </w:rPr>
                <w:t>Mine Safety Disclosure</w:t>
              </w:r>
            </w:hyperlink>
          </w:p>
        </w:tc>
        <w:tc>
          <w:tcPr>
            <w:tcW w:w="233" w:type="pct"/>
            <w:vAlign w:val="bottom"/>
            <w:hideMark/>
          </w:tcPr>
          <w:p w:rsidR="009534E2" w:rsidRDefault="003369EB">
            <w:pPr>
              <w:keepNext/>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ITEM16HMineSafetyDisclosure_595813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152</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keepNext/>
              <w:rPr>
                <w:rFonts w:ascii="Times New Roman" w:hAnsi="Times New Roman" w:eastAsia="Times New Roman" w:cs="Times New Roman"/>
                <w:lang w:val="ru-RU" w:eastAsia="ru-RU"/>
              </w:rPr>
            </w:pPr>
            <w:hyperlink w:history="1" w:anchor="ITEM16IDisclosureRegardingForeignJurisdi">
              <w:r w:rsidR="003369EB">
                <w:rPr>
                  <w:rFonts w:ascii="Times New Roman" w:hAnsi="Times New Roman" w:eastAsia="MS Gothic" w:cs="Times New Roman"/>
                  <w:lang w:val="ru-RU" w:eastAsia="ru-RU"/>
                </w:rPr>
                <w:t>ITEM 16I.</w:t>
              </w:r>
            </w:hyperlink>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hideMark/>
          </w:tcPr>
          <w:p w:rsidR="009534E2" w:rsidRDefault="00EC0AE1">
            <w:pPr>
              <w:keepNext/>
              <w:rPr>
                <w:rFonts w:ascii="Times New Roman" w:hAnsi="Times New Roman" w:eastAsia="Times New Roman" w:cs="Times New Roman"/>
                <w:lang w:val="ru-RU" w:eastAsia="ru-RU"/>
              </w:rPr>
            </w:pPr>
            <w:hyperlink w:history="1" w:anchor="ITEM16IDisclosureRegardingForeignJurisdi">
              <w:r w:rsidR="003369EB">
                <w:rPr>
                  <w:rFonts w:ascii="Times New Roman" w:hAnsi="Times New Roman" w:eastAsia="MS Gothic" w:cs="Times New Roman"/>
                  <w:lang w:val="ru-RU" w:eastAsia="ru-RU"/>
                </w:rPr>
                <w:t>Disclosure Regarding Foreign Jurisdictions that Prevent Inspections</w:t>
              </w:r>
            </w:hyperlink>
          </w:p>
        </w:tc>
        <w:tc>
          <w:tcPr>
            <w:tcW w:w="233" w:type="pct"/>
            <w:vAlign w:val="bottom"/>
            <w:hideMark/>
          </w:tcPr>
          <w:p w:rsidR="009534E2" w:rsidRDefault="003369EB">
            <w:pPr>
              <w:keepNext/>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ITEM16IDisclosureRegardingForeignJurisdi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152</w:t>
            </w:r>
            <w:r>
              <w:rPr>
                <w:rFonts w:ascii="Times New Roman" w:hAnsi="Times New Roman" w:eastAsia="Times New Roman" w:cs="Times New Roman"/>
                <w:lang w:val="ru-RU" w:eastAsia="ru-RU"/>
              </w:rPr>
              <w:fldChar w:fldCharType="end"/>
            </w:r>
          </w:p>
        </w:tc>
      </w:tr>
      <w:tr w:rsidR="009534E2">
        <w:trPr>
          <w:cantSplit/>
          <w:jc w:val="center"/>
        </w:trPr>
        <w:tc>
          <w:tcPr>
            <w:tcW w:w="512" w:type="pct"/>
          </w:tcPr>
          <w:p w:rsidR="009534E2" w:rsidRDefault="009534E2">
            <w:pPr>
              <w:keepNext/>
              <w:rPr>
                <w:rFonts w:ascii="Times New Roman" w:hAnsi="Times New Roman" w:eastAsia="Times New Roman" w:cs="Times New Roman"/>
                <w:lang w:val="ru-RU" w:eastAsia="ru-RU"/>
              </w:rPr>
            </w:pPr>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tcPr>
          <w:p w:rsidR="009534E2" w:rsidRDefault="009534E2">
            <w:pPr>
              <w:keepNext/>
              <w:rPr>
                <w:rFonts w:ascii="Times New Roman" w:hAnsi="Times New Roman" w:eastAsia="Times New Roman" w:cs="Times New Roman"/>
                <w:lang w:val="ru-RU" w:eastAsia="ru-RU"/>
              </w:rPr>
            </w:pPr>
          </w:p>
        </w:tc>
        <w:tc>
          <w:tcPr>
            <w:tcW w:w="233" w:type="pct"/>
            <w:vAlign w:val="bottom"/>
          </w:tcPr>
          <w:p w:rsidR="009534E2" w:rsidRDefault="009534E2">
            <w:pPr>
              <w:keepNext/>
              <w:jc w:val="right"/>
              <w:rPr>
                <w:rFonts w:ascii="Times New Roman" w:hAnsi="Times New Roman" w:eastAsia="Times New Roman" w:cs="Times New Roman"/>
                <w:lang w:val="ru-RU" w:eastAsia="ru-RU"/>
              </w:rPr>
            </w:pPr>
          </w:p>
        </w:tc>
      </w:tr>
      <w:tr w:rsidR="009534E2">
        <w:trPr>
          <w:cantSplit/>
          <w:jc w:val="center"/>
        </w:trPr>
        <w:tc>
          <w:tcPr>
            <w:tcW w:w="150" w:type="pct"/>
            <w:gridSpan w:val="6"/>
          </w:tcPr>
          <w:p w:rsidR="009534E2" w:rsidRDefault="00EC0AE1">
            <w:pPr>
              <w:keepNext/>
              <w:jc w:val="center"/>
              <w:rPr>
                <w:rFonts w:ascii="Times New Roman" w:hAnsi="Times New Roman" w:eastAsia="Times New Roman" w:cs="Times New Roman"/>
                <w:lang w:val="ru-RU" w:eastAsia="ru-RU"/>
              </w:rPr>
            </w:pPr>
            <w:hyperlink w:history="1" w:anchor="PARTIII_271444">
              <w:r w:rsidR="003369EB">
                <w:rPr>
                  <w:rStyle w:val="Hyperlink"/>
                  <w:rFonts w:ascii="Times New Roman" w:hAnsi="Times New Roman" w:eastAsia="Times New Roman" w:cs="Times New Roman"/>
                  <w:lang w:val="ru-RU" w:eastAsia="ru-RU"/>
                </w:rPr>
                <w:t>PART III</w:t>
              </w:r>
            </w:hyperlink>
          </w:p>
        </w:tc>
      </w:tr>
      <w:tr w:rsidR="009534E2">
        <w:trPr>
          <w:cantSplit/>
          <w:jc w:val="center"/>
        </w:trPr>
        <w:tc>
          <w:tcPr>
            <w:tcW w:w="512" w:type="pct"/>
          </w:tcPr>
          <w:p w:rsidR="009534E2" w:rsidRDefault="009534E2">
            <w:pPr>
              <w:keepNext/>
              <w:rPr>
                <w:rFonts w:ascii="Times New Roman" w:hAnsi="Times New Roman" w:eastAsia="Times New Roman" w:cs="Times New Roman"/>
                <w:lang w:val="ru-RU" w:eastAsia="ru-RU"/>
              </w:rPr>
            </w:pPr>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tcPr>
          <w:p w:rsidR="009534E2" w:rsidRDefault="009534E2">
            <w:pPr>
              <w:keepNext/>
              <w:rPr>
                <w:rFonts w:ascii="Times New Roman" w:hAnsi="Times New Roman" w:eastAsia="Times New Roman" w:cs="Times New Roman"/>
                <w:lang w:val="ru-RU" w:eastAsia="ru-RU"/>
              </w:rPr>
            </w:pPr>
          </w:p>
        </w:tc>
        <w:tc>
          <w:tcPr>
            <w:tcW w:w="233" w:type="pct"/>
            <w:vAlign w:val="bottom"/>
          </w:tcPr>
          <w:p w:rsidR="009534E2" w:rsidRDefault="009534E2">
            <w:pPr>
              <w:keepNext/>
              <w:jc w:val="right"/>
              <w:rPr>
                <w:rFonts w:ascii="Times New Roman" w:hAnsi="Times New Roman" w:eastAsia="Times New Roman" w:cs="Times New Roman"/>
                <w:lang w:val="ru-RU" w:eastAsia="ru-RU"/>
              </w:rPr>
            </w:pPr>
          </w:p>
        </w:tc>
      </w:tr>
      <w:tr w:rsidR="009534E2">
        <w:trPr>
          <w:cantSplit/>
          <w:jc w:val="center"/>
        </w:trPr>
        <w:tc>
          <w:tcPr>
            <w:tcW w:w="512" w:type="pct"/>
            <w:hideMark/>
          </w:tcPr>
          <w:p w:rsidR="009534E2" w:rsidRDefault="00EC0AE1">
            <w:pPr>
              <w:keepNext/>
              <w:rPr>
                <w:rFonts w:ascii="Times New Roman" w:hAnsi="Times New Roman" w:eastAsia="Times New Roman" w:cs="Times New Roman"/>
                <w:lang w:val="ru-RU" w:eastAsia="ru-RU"/>
              </w:rPr>
            </w:pPr>
            <w:hyperlink w:history="1" w:anchor="ITEM17FinancialStatements_659221">
              <w:r w:rsidR="003369EB">
                <w:rPr>
                  <w:rFonts w:ascii="Times New Roman" w:hAnsi="Times New Roman" w:eastAsia="MS Gothic" w:cs="Times New Roman"/>
                  <w:lang w:val="ru-RU" w:eastAsia="ru-RU"/>
                </w:rPr>
                <w:t>ITEM 17.</w:t>
              </w:r>
            </w:hyperlink>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hideMark/>
          </w:tcPr>
          <w:p w:rsidR="009534E2" w:rsidRDefault="00EC0AE1">
            <w:pPr>
              <w:keepNext/>
              <w:rPr>
                <w:rFonts w:ascii="Times New Roman" w:hAnsi="Times New Roman" w:eastAsia="Times New Roman" w:cs="Times New Roman"/>
                <w:lang w:val="ru-RU" w:eastAsia="ru-RU"/>
              </w:rPr>
            </w:pPr>
            <w:hyperlink w:history="1" w:anchor="ITEM17FinancialStatements_659221">
              <w:r w:rsidR="003369EB">
                <w:rPr>
                  <w:rFonts w:ascii="Times New Roman" w:hAnsi="Times New Roman" w:eastAsia="MS Gothic" w:cs="Times New Roman"/>
                  <w:lang w:val="ru-RU" w:eastAsia="ru-RU"/>
                </w:rPr>
                <w:t>Financial Statements</w:t>
              </w:r>
            </w:hyperlink>
          </w:p>
        </w:tc>
        <w:tc>
          <w:tcPr>
            <w:tcW w:w="233" w:type="pct"/>
            <w:vAlign w:val="bottom"/>
            <w:hideMark/>
          </w:tcPr>
          <w:p w:rsidR="009534E2" w:rsidRDefault="003369EB">
            <w:pPr>
              <w:keepNext/>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ITEM17FinancialStatements_659221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152</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keepNext/>
              <w:rPr>
                <w:rFonts w:ascii="Times New Roman" w:hAnsi="Times New Roman" w:eastAsia="Times New Roman" w:cs="Times New Roman"/>
                <w:lang w:val="ru-RU" w:eastAsia="ru-RU"/>
              </w:rPr>
            </w:pPr>
            <w:hyperlink w:history="1" w:anchor="ITEM18FinancialStatements_174569">
              <w:r w:rsidR="003369EB">
                <w:rPr>
                  <w:rFonts w:ascii="Times New Roman" w:hAnsi="Times New Roman" w:eastAsia="MS Gothic" w:cs="Times New Roman"/>
                  <w:lang w:val="ru-RU" w:eastAsia="ru-RU"/>
                </w:rPr>
                <w:t>ITEM 18.</w:t>
              </w:r>
            </w:hyperlink>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hideMark/>
          </w:tcPr>
          <w:p w:rsidR="009534E2" w:rsidRDefault="00EC0AE1">
            <w:pPr>
              <w:keepNext/>
              <w:rPr>
                <w:rFonts w:ascii="Times New Roman" w:hAnsi="Times New Roman" w:eastAsia="Times New Roman" w:cs="Times New Roman"/>
                <w:lang w:val="ru-RU" w:eastAsia="ru-RU"/>
              </w:rPr>
            </w:pPr>
            <w:hyperlink w:history="1" w:anchor="ITEM18FinancialStatements_174569">
              <w:r w:rsidR="003369EB">
                <w:rPr>
                  <w:rFonts w:ascii="Times New Roman" w:hAnsi="Times New Roman" w:eastAsia="MS Gothic" w:cs="Times New Roman"/>
                  <w:lang w:val="ru-RU" w:eastAsia="ru-RU"/>
                </w:rPr>
                <w:t>Financial Statements</w:t>
              </w:r>
            </w:hyperlink>
          </w:p>
        </w:tc>
        <w:tc>
          <w:tcPr>
            <w:tcW w:w="233" w:type="pct"/>
            <w:vAlign w:val="bottom"/>
            <w:hideMark/>
          </w:tcPr>
          <w:p w:rsidR="009534E2" w:rsidRDefault="003369EB">
            <w:pPr>
              <w:keepNext/>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ITEM18FinancialStatements_174569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153</w:t>
            </w:r>
            <w:r>
              <w:rPr>
                <w:rFonts w:ascii="Times New Roman" w:hAnsi="Times New Roman" w:eastAsia="Times New Roman" w:cs="Times New Roman"/>
                <w:lang w:val="ru-RU" w:eastAsia="ru-RU"/>
              </w:rPr>
              <w:fldChar w:fldCharType="end"/>
            </w:r>
          </w:p>
        </w:tc>
      </w:tr>
      <w:tr w:rsidR="009534E2">
        <w:trPr>
          <w:cantSplit/>
          <w:jc w:val="center"/>
        </w:trPr>
        <w:tc>
          <w:tcPr>
            <w:tcW w:w="512" w:type="pct"/>
            <w:hideMark/>
          </w:tcPr>
          <w:p w:rsidR="009534E2" w:rsidRDefault="00EC0AE1">
            <w:pPr>
              <w:keepNext/>
              <w:rPr>
                <w:rFonts w:ascii="Times New Roman" w:hAnsi="Times New Roman" w:eastAsia="Times New Roman" w:cs="Times New Roman"/>
                <w:lang w:val="ru-RU" w:eastAsia="ru-RU"/>
              </w:rPr>
            </w:pPr>
            <w:hyperlink w:history="1" w:anchor="ITEM19Exhibits_974563">
              <w:r w:rsidR="003369EB">
                <w:rPr>
                  <w:rFonts w:ascii="Times New Roman" w:hAnsi="Times New Roman" w:eastAsia="MS Gothic" w:cs="Times New Roman"/>
                  <w:lang w:val="ru-RU" w:eastAsia="ru-RU"/>
                </w:rPr>
                <w:t>ITEM 19.</w:t>
              </w:r>
            </w:hyperlink>
          </w:p>
        </w:tc>
        <w:tc>
          <w:tcPr>
            <w:tcW w:w="150" w:type="pct"/>
            <w:vAlign w:val="bottom"/>
          </w:tcPr>
          <w:p w:rsidR="009534E2" w:rsidRDefault="009534E2">
            <w:pPr>
              <w:keepNext/>
              <w:rPr>
                <w:rFonts w:ascii="Times New Roman" w:hAnsi="Times New Roman" w:eastAsia="Times New Roman" w:cs="Times New Roman"/>
                <w:lang w:val="ru-RU" w:eastAsia="ru-RU"/>
              </w:rPr>
            </w:pPr>
          </w:p>
        </w:tc>
        <w:tc>
          <w:tcPr>
            <w:tcW w:w="3972" w:type="pct"/>
            <w:gridSpan w:val="3"/>
            <w:vAlign w:val="bottom"/>
            <w:hideMark/>
          </w:tcPr>
          <w:p w:rsidR="009534E2" w:rsidRDefault="00EC0AE1">
            <w:pPr>
              <w:keepNext/>
              <w:rPr>
                <w:rFonts w:ascii="Times New Roman" w:hAnsi="Times New Roman" w:eastAsia="Times New Roman" w:cs="Times New Roman"/>
                <w:lang w:val="ru-RU" w:eastAsia="ru-RU"/>
              </w:rPr>
            </w:pPr>
            <w:hyperlink w:history="1" w:anchor="ITEM19Exhibits_974563">
              <w:r w:rsidR="003369EB">
                <w:rPr>
                  <w:rFonts w:ascii="Times New Roman" w:hAnsi="Times New Roman" w:eastAsia="MS Gothic" w:cs="Times New Roman"/>
                  <w:lang w:val="ru-RU" w:eastAsia="ru-RU"/>
                </w:rPr>
                <w:t>Exhibits</w:t>
              </w:r>
            </w:hyperlink>
          </w:p>
        </w:tc>
        <w:tc>
          <w:tcPr>
            <w:tcW w:w="233" w:type="pct"/>
            <w:vAlign w:val="bottom"/>
            <w:hideMark/>
          </w:tcPr>
          <w:p w:rsidR="009534E2" w:rsidRDefault="003369EB">
            <w:pPr>
              <w:keepNext/>
              <w:jc w:val="right"/>
              <w:rPr>
                <w:rFonts w:ascii="Times New Roman" w:hAnsi="Times New Roman" w:eastAsia="Times New Roman" w:cs="Times New Roman"/>
                <w:lang w:val="ru-RU" w:eastAsia="ru-RU"/>
              </w:rPr>
            </w:pPr>
            <w:r>
              <w:rPr>
                <w:rFonts w:ascii="Times New Roman" w:hAnsi="Times New Roman" w:eastAsia="Times New Roman" w:cs="Times New Roman"/>
                <w:lang w:val="ru-RU" w:eastAsia="ru-RU"/>
              </w:rPr>
              <w:fldChar w:fldCharType="begin"/>
            </w:r>
            <w:r>
              <w:rPr>
                <w:rFonts w:ascii="Times New Roman" w:hAnsi="Times New Roman" w:eastAsia="Times New Roman" w:cs="Times New Roman"/>
                <w:lang w:val="ru-RU" w:eastAsia="ru-RU"/>
              </w:rPr>
              <w:instrText xml:space="preserve"> PAGEREF  ITEM19Exhibits_974563  \* MERGEFORMAT </w:instrText>
            </w:r>
            <w:r>
              <w:rPr>
                <w:rFonts w:ascii="Times New Roman" w:hAnsi="Times New Roman" w:eastAsia="Times New Roman" w:cs="Times New Roman"/>
                <w:lang w:val="ru-RU" w:eastAsia="ru-RU"/>
              </w:rPr>
              <w:fldChar w:fldCharType="separate"/>
            </w:r>
            <w:r w:rsidR="00A27544">
              <w:rPr>
                <w:rFonts w:ascii="Times New Roman" w:hAnsi="Times New Roman" w:eastAsia="Times New Roman" w:cs="Times New Roman"/>
                <w:noProof/>
                <w:lang w:val="ru-RU" w:eastAsia="ru-RU"/>
              </w:rPr>
              <w:t>154</w:t>
            </w:r>
            <w:r>
              <w:rPr>
                <w:rFonts w:ascii="Times New Roman" w:hAnsi="Times New Roman" w:eastAsia="Times New Roman" w:cs="Times New Roman"/>
                <w:lang w:val="ru-RU" w:eastAsia="ru-RU"/>
              </w:rPr>
              <w:fldChar w:fldCharType="end"/>
            </w:r>
          </w:p>
        </w:tc>
      </w:tr>
    </w:tbl>
    <w:p w:rsidR="009534E2" w:rsidRDefault="00EC0AE1"/>
    <w:bookmarkEnd w:displacedByCustomXml="next" w:id="56"/>
    <w:bookmarkEnd w:displacedByCustomXml="next" w:id="55"/>
    <w:bookmarkEnd w:displacedByCustomXml="next" w:id="54"/>
    <w:p w:rsidR="009534E2" w:rsidRDefault="003369EB">
      <w:pPr>
        <w:rPr>
          <w:rFonts w:eastAsia="Times New Roman"/>
        </w:rPr>
      </w:pPr>
      <w:r>
        <w:rPr>
          <w:rFonts w:eastAsia="Times New Roman"/>
        </w:rPr>
        <w:br w:type="page"/>
      </w:r>
    </w:p>
    <w:p w:rsidR="009534E2" w:rsidRDefault="003369EB">
      <w:pPr>
        <w:keepNext/>
        <w:spacing w:after="160"/>
        <w:jc w:val="center"/>
        <w:rPr>
          <w:rFonts w:eastAsia="Times New Roman" w:asciiTheme="majorHAnsi" w:hAnsiTheme="majorHAnsi" w:cstheme="majorHAnsi"/>
        </w:rPr>
      </w:pPr>
      <w:r>
        <w:rPr>
          <w:rFonts w:eastAsia="Times New Roman" w:asciiTheme="majorHAnsi" w:hAnsiTheme="majorHAnsi" w:cstheme="majorHAnsi"/>
          <w:b/>
          <w:bCs/>
          <w:lang w:eastAsia="ru-RU"/>
        </w:rPr>
        <w:t>SPECIAL NOTE REGARDING FORWARD-LOOKING STATEMENTS</w:t>
      </w:r>
    </w:p>
    <w:p w:rsidR="009534E2" w:rsidRDefault="003369EB">
      <w:pPr>
        <w:keepNext/>
        <w:spacing w:after="160"/>
        <w:ind w:firstLine="461"/>
        <w:rPr>
          <w:rFonts w:eastAsia="Times New Roman" w:asciiTheme="majorHAnsi" w:hAnsiTheme="majorHAnsi" w:cstheme="majorHAnsi"/>
        </w:rPr>
      </w:pPr>
      <w:r>
        <w:rPr>
          <w:rFonts w:eastAsia="Times New Roman" w:asciiTheme="majorHAnsi" w:hAnsiTheme="majorHAnsi" w:cstheme="majorHAnsi"/>
          <w:lang w:eastAsia="ru-RU"/>
        </w:rPr>
        <w:t>This annual report contains forward-looking statements that reflect our current expectations and views of future events and other matters that are "forward-looking" within the meaning.of the US Private Securities Litigation Reform Act of 1995. Some of these forward-looking statements can be identified by terms and phrases such as “anticipate”, “should”, “likely”, “foresee”, “believe”, “estimate”, “expect”, “intend”, “continue”, “could”, “may”, “plan”, “project”, “predict”, “will”, and similar expressions. These forward-looking statements include statements relating to:</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our goals and strategies;</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the impact of the ongoing geopolitical tensions and conflicts on the macroeconomic environment in the Russian Federation and related sanctions imposed;</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the impact of the COVID-19 pandemic and related public health measures on our business, merchants, customers, and employees;</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our ability to maintain and grow our payment volumes;</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our ability to maintain and grow the size of our physical and virtual distribution network;</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our ability to maintain and increase our market share in our key payment segments;</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our ability to successfully introduce new products and services;</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our ability to successfully execute our business strategy, including in respect of ROWI (formerly known as Factoring PLUS, rebranded in 2021),Flocktory and RealWeb and our ability to recoup our investments made in such businesses or other projects that we develop from time to time;</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our ability to maintain our relationships with our merchants, agents and partners;</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the expected growth of QIWI Wallet and alternative methods of payment;</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our ability to continue to develop new and attractive products and services;</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our future business development, results of operations and financial condition;</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our ability to continue to develop new technologies and upgrade our existing technologies;</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competition in our industry;</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the impact of the restrictions imposed on us by the CBR in December 7, 2020, in particular with respect to payments to foreign merchants;</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developments in the betting industry in the Russian Federation and its regulation;</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any litigation we are involved in;</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projected revenue, profits, earnings and other estimated financial information; and</w:t>
      </w:r>
    </w:p>
    <w:p w:rsidR="009534E2" w:rsidRDefault="003369EB">
      <w:pPr>
        <w:pStyle w:val="ListParagraph"/>
        <w:numPr>
          <w:ilvl w:val="0"/>
          <w:numId w:val="46"/>
        </w:numPr>
        <w:spacing w:after="160"/>
        <w:ind w:left="821"/>
        <w:rPr>
          <w:rFonts w:eastAsia="Times New Roman" w:asciiTheme="majorHAnsi" w:hAnsiTheme="majorHAnsi" w:cstheme="majorHAnsi"/>
        </w:rPr>
      </w:pPr>
      <w:r>
        <w:rPr>
          <w:rFonts w:eastAsia="Times New Roman" w:asciiTheme="majorHAnsi" w:hAnsiTheme="majorHAnsi" w:cstheme="majorHAnsi"/>
          <w:lang w:eastAsia="ru-RU"/>
        </w:rPr>
        <w:t>developments in, or changes, to the laws, regulation and governmental policies governing our business and industry.</w:t>
      </w:r>
    </w:p>
    <w:p w:rsidR="009534E2" w:rsidRDefault="003369EB">
      <w:pPr>
        <w:spacing w:after="160"/>
        <w:ind w:firstLine="461"/>
        <w:rPr>
          <w:rFonts w:eastAsia="Times New Roman" w:asciiTheme="majorHAnsi" w:hAnsiTheme="majorHAnsi" w:cstheme="majorHAnsi"/>
        </w:rPr>
      </w:pPr>
      <w:r>
        <w:rPr>
          <w:rFonts w:eastAsia="Times New Roman" w:asciiTheme="majorHAnsi" w:hAnsiTheme="majorHAnsi" w:cstheme="majorHAnsi"/>
          <w:lang w:eastAsia="ru-RU"/>
        </w:rPr>
        <w:t>The preceding list is not intended to be an exhaustive list of all of our forward-looking statements. These forward-looking statements are based on our beliefs, assumptions and expectations of future performance, taking into account the information currently available to us. These statements are only predictions based upon our current expectations and projections about future events. There are important factors that could cause our actual results, level of activity, performance or achievements to differ materially from the results, level of activity, performance or achievements expressed or implied by the forward-looking statements. In particular, you should consider the risks described in Item 3.D “Risk Factors” in this annual report.</w:t>
      </w:r>
    </w:p>
    <w:p w:rsidR="009534E2" w:rsidRDefault="003369EB">
      <w:pPr>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These forward-looking statements speak only as of the date of this annual report. Except as required by law, we undertake no obligation to publicly update or revise any forward-looking statements, whether as a result of new information, future events or otherwise.</w:t>
      </w:r>
    </w:p>
    <w:p w:rsidR="009534E2" w:rsidRDefault="003369EB">
      <w:pPr>
        <w:spacing w:after="200"/>
        <w:rPr>
          <w:rFonts w:eastAsia="Times New Roman" w:asciiTheme="majorHAnsi" w:hAnsiTheme="majorHAnsi" w:cstheme="majorHAnsi"/>
          <w:b/>
          <w:bCs/>
          <w:lang w:eastAsia="ru-RU"/>
        </w:rPr>
      </w:pPr>
      <w:r>
        <w:rPr>
          <w:rFonts w:eastAsia="Times New Roman" w:asciiTheme="majorHAnsi" w:hAnsiTheme="majorHAnsi" w:cstheme="majorHAnsi"/>
          <w:b/>
          <w:bCs/>
          <w:lang w:eastAsia="ru-RU"/>
        </w:rPr>
        <w:br w:type="page"/>
      </w:r>
    </w:p>
    <w:p w:rsidR="009534E2" w:rsidRDefault="003369EB">
      <w:pPr>
        <w:spacing w:after="200"/>
        <w:jc w:val="center"/>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PART I</w:t>
      </w:r>
      <w:bookmarkStart w:name="PARTI_677501" w:id="57"/>
      <w:bookmarkEnd w:id="57"/>
    </w:p>
    <w:p w:rsidR="009534E2" w:rsidRDefault="003369EB">
      <w:pPr>
        <w:keepNext/>
        <w:tabs>
          <w:tab w:val="left" w:pos="938"/>
        </w:tabs>
        <w:spacing w:after="200"/>
        <w:ind w:left="720" w:hanging="72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eastAsia="ru-RU"/>
        </w:rPr>
        <w:t>Identity of Directors, Senior Management and Advisers.</w:t>
      </w:r>
      <w:bookmarkStart w:name="ITEM1IdentityofDirectorsSeniorManagement" w:id="58"/>
      <w:bookmarkEnd w:id="58"/>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val="ru-RU" w:eastAsia="ru-RU"/>
        </w:rPr>
        <w:t>Not applicable.</w:t>
      </w:r>
    </w:p>
    <w:p w:rsidR="009534E2" w:rsidRDefault="003369EB">
      <w:pPr>
        <w:keepNext/>
        <w:tabs>
          <w:tab w:val="left" w:pos="938"/>
        </w:tabs>
        <w:spacing w:after="200"/>
        <w:ind w:left="720" w:hanging="72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2.</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eastAsia="ru-RU"/>
        </w:rPr>
        <w:t>Offer Statistics and Expected Timetable.</w:t>
      </w:r>
      <w:bookmarkStart w:name="ITEM2OfferStatisticsandExpectedTimetable" w:id="59"/>
      <w:bookmarkEnd w:id="59"/>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val="ru-RU" w:eastAsia="ru-RU"/>
        </w:rPr>
        <w:t>Not applicable.</w:t>
      </w:r>
    </w:p>
    <w:p w:rsidR="009534E2" w:rsidRDefault="003369EB">
      <w:pPr>
        <w:keepNext/>
        <w:tabs>
          <w:tab w:val="left" w:pos="938"/>
        </w:tabs>
        <w:spacing w:after="200"/>
        <w:ind w:left="720" w:hanging="720"/>
        <w:rPr>
          <w:rFonts w:eastAsia="Times New Roman" w:asciiTheme="majorHAnsi" w:hAnsiTheme="majorHAnsi" w:cstheme="majorHAnsi"/>
          <w:b/>
          <w:bCs/>
          <w:lang w:val="ru-RU" w:eastAsia="ru-RU"/>
        </w:rPr>
      </w:pPr>
      <w:r>
        <w:rPr>
          <w:rFonts w:eastAsia="Times New Roman" w:asciiTheme="majorHAnsi" w:hAnsiTheme="majorHAnsi" w:cstheme="majorHAnsi"/>
          <w:b/>
          <w:bCs/>
          <w:lang w:val="ru-RU" w:eastAsia="ru-RU"/>
        </w:rPr>
        <w:t>ITEM 3.</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Key Information.</w:t>
      </w:r>
      <w:bookmarkStart w:name="ITEM3KeyInformation_859105" w:id="60"/>
      <w:bookmarkEnd w:id="60"/>
    </w:p>
    <w:p w:rsidRPr="00AA425A" w:rsidR="009534E2" w:rsidRDefault="003369EB">
      <w:pPr>
        <w:keepNext/>
        <w:tabs>
          <w:tab w:val="left" w:pos="938"/>
        </w:tabs>
        <w:spacing w:after="200"/>
        <w:ind w:left="720" w:hanging="720"/>
        <w:rPr>
          <w:rFonts w:eastAsia="Times New Roman" w:asciiTheme="majorHAnsi" w:hAnsiTheme="majorHAnsi" w:cstheme="majorHAnsi"/>
          <w:b/>
          <w:bCs/>
        </w:rPr>
      </w:pPr>
      <w:r w:rsidRPr="00AA425A">
        <w:rPr>
          <w:rFonts w:eastAsia="Times New Roman" w:asciiTheme="majorHAnsi" w:hAnsiTheme="majorHAnsi" w:cstheme="majorHAnsi"/>
          <w:b/>
          <w:bCs/>
        </w:rPr>
        <w:t>Exchange Rate Information</w:t>
      </w:r>
    </w:p>
    <w:p w:rsidRPr="00AA425A" w:rsidR="009534E2" w:rsidRDefault="003369EB">
      <w:pPr>
        <w:keepNext/>
        <w:tabs>
          <w:tab w:val="left" w:pos="938"/>
        </w:tabs>
        <w:spacing w:after="200"/>
        <w:ind w:firstLine="461"/>
        <w:rPr>
          <w:rFonts w:eastAsia="Times New Roman" w:asciiTheme="majorHAnsi" w:hAnsiTheme="majorHAnsi" w:cstheme="majorHAnsi"/>
        </w:rPr>
      </w:pPr>
      <w:r w:rsidRPr="00AA425A">
        <w:rPr>
          <w:rFonts w:eastAsia="Times New Roman" w:asciiTheme="majorHAnsi" w:hAnsiTheme="majorHAnsi" w:cstheme="majorHAnsi"/>
        </w:rPr>
        <w:t xml:space="preserve">We have presented our most recent annual results of operations in US dollars for the convenience of the reader. Unless otherwise noted, all conversions from RUB to U.S. dollars and from U.S. dollars to RUB in this Annual Report were made at a rate of RUB 70.3375 to $1.00, the official exchange rate quoted by the Central Bank of the Russian Federation as of December 31, 2022. No representation is made that the RUB amounts could have been, or could be, converted into U.S. dollars at such rate. </w:t>
      </w:r>
    </w:p>
    <w:p w:rsidRPr="00AA425A" w:rsidR="009534E2" w:rsidRDefault="003369EB">
      <w:pPr>
        <w:keepNext/>
        <w:tabs>
          <w:tab w:val="left" w:pos="938"/>
        </w:tabs>
        <w:spacing w:after="200"/>
        <w:ind w:firstLine="461"/>
        <w:rPr>
          <w:rFonts w:eastAsia="Times New Roman" w:asciiTheme="majorHAnsi" w:hAnsiTheme="majorHAnsi" w:cstheme="majorHAnsi"/>
        </w:rPr>
      </w:pPr>
      <w:r w:rsidRPr="00AA425A">
        <w:rPr>
          <w:rFonts w:eastAsia="Times New Roman" w:asciiTheme="majorHAnsi" w:hAnsiTheme="majorHAnsi" w:cstheme="majorHAnsi"/>
        </w:rPr>
        <w:t>As of March 29, 2023 the exchange rate was RUB 76.5939 to $1.00, comparable to that as of December 31, 2022.</w:t>
      </w:r>
    </w:p>
    <w:p w:rsidRPr="00AA425A" w:rsidR="009534E2" w:rsidRDefault="003369EB">
      <w:pPr>
        <w:keepNext/>
        <w:tabs>
          <w:tab w:val="left" w:pos="938"/>
        </w:tabs>
        <w:spacing w:after="200"/>
        <w:ind w:firstLine="461"/>
        <w:rPr>
          <w:rFonts w:eastAsia="Times New Roman" w:asciiTheme="majorHAnsi" w:hAnsiTheme="majorHAnsi" w:cstheme="majorHAnsi"/>
        </w:rPr>
      </w:pPr>
      <w:r w:rsidRPr="00AA425A">
        <w:rPr>
          <w:rFonts w:eastAsia="Times New Roman" w:asciiTheme="majorHAnsi" w:hAnsiTheme="majorHAnsi" w:cstheme="majorHAnsi"/>
        </w:rPr>
        <w:t xml:space="preserve">See Item 3 Risk Factors “ –– </w:t>
      </w:r>
      <w:r w:rsidRPr="00AA425A">
        <w:rPr>
          <w:rFonts w:eastAsia="Times New Roman" w:asciiTheme="majorHAnsi" w:hAnsiTheme="majorHAnsi" w:cstheme="majorHAnsi"/>
          <w:i/>
          <w:iCs/>
        </w:rPr>
        <w:t>We are subject to fluctuations in currency exchange rates</w:t>
      </w:r>
      <w:r w:rsidRPr="00AA425A">
        <w:rPr>
          <w:rFonts w:eastAsia="Times New Roman" w:asciiTheme="majorHAnsi" w:hAnsiTheme="majorHAnsi" w:cstheme="majorHAnsi"/>
        </w:rPr>
        <w:t>,” for a discussion of the foreign currency exchange rate risks and uncertainties our business faces.</w:t>
      </w:r>
    </w:p>
    <w:p w:rsidR="009534E2" w:rsidRDefault="003369EB">
      <w:pPr>
        <w:keepNext/>
        <w:tabs>
          <w:tab w:val="left" w:pos="479"/>
        </w:tabs>
        <w:spacing w:after="200"/>
        <w:ind w:left="720" w:hanging="720"/>
        <w:rPr>
          <w:rFonts w:eastAsia="Times New Roman" w:asciiTheme="majorHAnsi" w:hAnsiTheme="majorHAnsi" w:cstheme="majorHAnsi"/>
          <w:bCs/>
        </w:rPr>
      </w:pPr>
      <w:r>
        <w:rPr>
          <w:rFonts w:eastAsia="Times New Roman" w:asciiTheme="majorHAnsi" w:hAnsiTheme="majorHAnsi" w:cstheme="majorHAnsi"/>
          <w:b/>
          <w:bCs/>
          <w:lang w:val="ru-RU" w:eastAsia="ru-RU"/>
        </w:rPr>
        <w:t>A.</w:t>
      </w:r>
      <w:r>
        <w:rPr>
          <w:rFonts w:eastAsia="Times New Roman" w:asciiTheme="majorHAnsi" w:hAnsiTheme="majorHAnsi" w:cstheme="majorHAnsi"/>
          <w:b/>
          <w:bCs/>
          <w:lang w:val="ru-RU" w:eastAsia="ru-RU"/>
        </w:rPr>
        <w:tab/>
        <w:t>[RESERVED]</w:t>
      </w:r>
      <w:bookmarkStart w:name="ARESERVED_464306" w:id="61"/>
      <w:bookmarkEnd w:id="61"/>
    </w:p>
    <w:p w:rsidR="009534E2" w:rsidRDefault="003369EB">
      <w:pPr>
        <w:keepNext/>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B.</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Capitalization and Indebtedness.</w:t>
      </w:r>
      <w:bookmarkStart w:name="BCapitalizationandIndebtedness_935157" w:id="62"/>
      <w:bookmarkEnd w:id="62"/>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val="ru-RU" w:eastAsia="ru-RU"/>
        </w:rPr>
        <w:t>Not applicable.</w:t>
      </w:r>
    </w:p>
    <w:p w:rsidR="009534E2" w:rsidRDefault="003369EB">
      <w:pPr>
        <w:keepNext/>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C.</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eastAsia="ru-RU"/>
        </w:rPr>
        <w:t>Reasons for the Offer and Use of Proceeds.</w:t>
      </w:r>
      <w:bookmarkStart w:name="CReasonsfortheOfferandUseofProceeds_2018" w:id="63"/>
      <w:bookmarkEnd w:id="63"/>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val="ru-RU" w:eastAsia="ru-RU"/>
        </w:rPr>
        <w:t>Not applicable.</w:t>
      </w:r>
    </w:p>
    <w:p w:rsidR="009534E2" w:rsidRDefault="003369EB">
      <w:pPr>
        <w:keepNext/>
        <w:tabs>
          <w:tab w:val="left" w:pos="479"/>
        </w:tabs>
        <w:spacing w:after="200"/>
        <w:ind w:left="461" w:hanging="461"/>
        <w:rPr>
          <w:rFonts w:eastAsia="Times New Roman" w:asciiTheme="majorHAnsi" w:hAnsiTheme="majorHAnsi" w:cstheme="majorHAnsi"/>
          <w:sz w:val="24"/>
        </w:rPr>
      </w:pPr>
      <w:r>
        <w:rPr>
          <w:rFonts w:eastAsia="Times New Roman" w:asciiTheme="majorHAnsi" w:hAnsiTheme="majorHAnsi" w:cstheme="majorHAnsi"/>
          <w:b/>
          <w:lang w:val="ru-RU" w:eastAsia="ru-RU"/>
        </w:rPr>
        <w:t>D.</w:t>
      </w:r>
      <w:r>
        <w:rPr>
          <w:rFonts w:eastAsia="Times New Roman" w:asciiTheme="majorHAnsi" w:hAnsiTheme="majorHAnsi" w:cstheme="majorHAnsi"/>
          <w:sz w:val="24"/>
          <w:lang w:val="ru-RU" w:eastAsia="ru-RU"/>
        </w:rPr>
        <w:tab/>
      </w:r>
      <w:r>
        <w:rPr>
          <w:rFonts w:eastAsia="Times New Roman" w:asciiTheme="majorHAnsi" w:hAnsiTheme="majorHAnsi" w:cstheme="majorHAnsi"/>
          <w:b/>
          <w:lang w:val="ru-RU" w:eastAsia="ru-RU"/>
        </w:rPr>
        <w:t>Risk Factors</w:t>
      </w:r>
      <w:bookmarkStart w:name="DRiskFactors_731760" w:id="64"/>
      <w:bookmarkEnd w:id="64"/>
    </w:p>
    <w:p w:rsidR="009534E2" w:rsidRDefault="003369EB">
      <w:pPr>
        <w:spacing w:after="200"/>
        <w:ind w:firstLine="461"/>
        <w:rPr>
          <w:rFonts w:eastAsia="Times New Roman" w:asciiTheme="majorHAnsi" w:hAnsiTheme="majorHAnsi" w:cstheme="majorHAnsi"/>
          <w:i/>
          <w:lang w:eastAsia="ru-RU"/>
        </w:rPr>
      </w:pPr>
      <w:r>
        <w:rPr>
          <w:rFonts w:eastAsia="Times New Roman" w:asciiTheme="majorHAnsi" w:hAnsiTheme="majorHAnsi" w:cstheme="majorHAnsi"/>
          <w:i/>
          <w:lang w:eastAsia="ru-RU"/>
        </w:rPr>
        <w:t xml:space="preserve">In conducting our business, we face many risks that may interfere with our business objectives. Some of these risks relate to our operational processes, while others relate to our business environment. It is important to understand the nature of these risks. </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i/>
          <w:lang w:eastAsia="ru-RU"/>
        </w:rPr>
        <w:t>If any of the following risks actually occurs, it may materially harm our business, results of operations or financial condition.</w:t>
      </w:r>
    </w:p>
    <w:p w:rsidR="009534E2" w:rsidRDefault="003369EB">
      <w:pPr>
        <w:keepNext/>
        <w:spacing w:after="200"/>
        <w:ind w:left="360" w:hanging="360"/>
        <w:rPr>
          <w:rFonts w:eastAsia="Times New Roman" w:asciiTheme="majorHAnsi" w:hAnsiTheme="majorHAnsi" w:cstheme="majorHAnsi"/>
        </w:rPr>
      </w:pPr>
      <w:r>
        <w:rPr>
          <w:rFonts w:eastAsia="Times New Roman" w:asciiTheme="majorHAnsi" w:hAnsiTheme="majorHAnsi" w:cstheme="majorHAnsi"/>
          <w:b/>
          <w:lang w:eastAsia="ru-RU"/>
        </w:rPr>
        <w:t>Risk Factors Summary</w:t>
      </w:r>
    </w:p>
    <w:p w:rsidR="009534E2" w:rsidRDefault="003369EB">
      <w:pPr>
        <w:spacing w:after="200"/>
        <w:ind w:firstLine="461"/>
        <w:rPr>
          <w:rFonts w:eastAsia="Times New Roman" w:asciiTheme="majorHAnsi" w:hAnsiTheme="majorHAnsi" w:cstheme="majorHAnsi"/>
          <w:lang w:val="en-GB"/>
        </w:rPr>
      </w:pPr>
      <w:r>
        <w:rPr>
          <w:rFonts w:eastAsia="Times New Roman" w:asciiTheme="majorHAnsi" w:hAnsiTheme="majorHAnsi" w:cstheme="majorHAnsi"/>
          <w:lang w:eastAsia="ru-RU"/>
        </w:rPr>
        <w:t>In conducting our business, we face many risks that may interfere with our business objectives. Some of these risks relate to our operational processes, while others relate to our business environment. It is important to understand the nature of these risks and the impact they may have on our business, financial condition and operating results. Set forth below is a summary of the principal risks associated with an investment in our ADSs:</w:t>
      </w:r>
    </w:p>
    <w:p w:rsidR="009534E2" w:rsidRDefault="003369EB">
      <w:pPr>
        <w:keepNext/>
        <w:keepLines/>
        <w:spacing w:after="200"/>
        <w:rPr>
          <w:rFonts w:eastAsia="Times New Roman" w:asciiTheme="majorHAnsi" w:hAnsiTheme="majorHAnsi" w:cstheme="majorHAnsi"/>
          <w:lang w:eastAsia="zh-CN" w:bidi="he-IL"/>
        </w:rPr>
      </w:pPr>
      <w:r>
        <w:rPr>
          <w:rFonts w:eastAsia="Times New Roman" w:asciiTheme="majorHAnsi" w:hAnsiTheme="majorHAnsi" w:cstheme="majorHAnsi"/>
          <w:b/>
          <w:i/>
          <w:lang w:eastAsia="zh-CN" w:bidi="he-IL"/>
        </w:rPr>
        <w:t>Risks Relating to Current Geopolitical Environment</w:t>
      </w:r>
    </w:p>
    <w:p w:rsidR="009534E2" w:rsidRDefault="003369EB">
      <w:pPr>
        <w:pStyle w:val="ListParagraph"/>
        <w:numPr>
          <w:ilvl w:val="0"/>
          <w:numId w:val="37"/>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The conflict between Russia and Ukraine, and particularly its 2022 escalation, the US, EU, UK and other countries’ sanctions that have been imposed in connection therewith, the resulting negative implications on the Russian economy, and the measures that are being adopted by Russia in response, could adversely impact our operations and financial condition;</w:t>
      </w:r>
    </w:p>
    <w:p w:rsidR="009534E2" w:rsidRDefault="003369EB">
      <w:pPr>
        <w:pStyle w:val="ListParagraph"/>
        <w:numPr>
          <w:ilvl w:val="0"/>
          <w:numId w:val="37"/>
        </w:numPr>
        <w:ind w:left="1080"/>
        <w:rPr>
          <w:rFonts w:eastAsia="Times New Roman" w:asciiTheme="majorHAnsi" w:hAnsiTheme="majorHAnsi" w:cstheme="majorHAnsi"/>
        </w:rPr>
      </w:pPr>
      <w:r>
        <w:rPr>
          <w:rFonts w:eastAsia="Times New Roman" w:asciiTheme="majorHAnsi" w:hAnsiTheme="majorHAnsi" w:cstheme="majorHAnsi"/>
        </w:rPr>
        <w:t>Holders of our ADSs currently have limited or no liquidity in our ADSs. Following the trading halt introduced on our ADSs by Nasdaq, Nasdaq informed us of its determination to delist our securities. Although we requested a hearing to appeal the delisting determination, there can be no assurance that Nasdaq will reverse its decision and when or if the trading will be resumed. Trading in our ADSs on the Moscow Exchange is subject to certain limitations;</w:t>
      </w:r>
    </w:p>
    <w:p w:rsidR="009534E2" w:rsidRDefault="003369EB">
      <w:pPr>
        <w:pStyle w:val="ListParagraph"/>
        <w:numPr>
          <w:ilvl w:val="0"/>
          <w:numId w:val="37"/>
        </w:numPr>
        <w:ind w:left="1080"/>
        <w:rPr>
          <w:rFonts w:eastAsia="Times New Roman" w:asciiTheme="majorHAnsi" w:hAnsiTheme="majorHAnsi" w:cstheme="majorHAnsi"/>
          <w:lang w:eastAsia="zh-CN" w:bidi="he-IL"/>
        </w:rPr>
      </w:pPr>
      <w:r>
        <w:rPr>
          <w:rFonts w:eastAsia="Times New Roman" w:asciiTheme="majorHAnsi" w:hAnsiTheme="majorHAnsi" w:cstheme="majorHAnsi"/>
          <w:lang w:eastAsia="zh-CN" w:bidi="he-IL"/>
        </w:rPr>
        <w:t>A vast majority of major Western businesses, including a number of companies whose products are important to our business, have withdrawn from, suspended, wound down or substantially scaled back activities in Russia;</w:t>
      </w:r>
    </w:p>
    <w:p w:rsidR="009534E2" w:rsidRDefault="003369EB">
      <w:pPr>
        <w:pStyle w:val="ListParagraph"/>
        <w:numPr>
          <w:ilvl w:val="0"/>
          <w:numId w:val="37"/>
        </w:numPr>
        <w:spacing w:after="240"/>
        <w:ind w:left="1080"/>
        <w:rPr>
          <w:rFonts w:eastAsia="Times New Roman" w:asciiTheme="majorHAnsi" w:hAnsiTheme="majorHAnsi" w:cstheme="majorHAnsi"/>
          <w:lang w:eastAsia="zh-CN" w:bidi="he-IL"/>
        </w:rPr>
      </w:pPr>
      <w:r>
        <w:rPr>
          <w:rFonts w:eastAsia="Times New Roman" w:asciiTheme="majorHAnsi" w:hAnsiTheme="majorHAnsi" w:cstheme="majorHAnsi"/>
          <w:lang w:eastAsia="zh-CN" w:bidi="he-IL"/>
        </w:rPr>
        <w:t>Due to the rapidly evolving and complex sanctions regulations we may fail to follow specific government prescriptions in jurisdictions where we have operations and such failure could result in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lang w:eastAsia="zh-CN" w:bidi="he-IL"/>
        </w:rPr>
      </w:pPr>
      <w:r>
        <w:rPr>
          <w:rFonts w:eastAsia="Times New Roman" w:asciiTheme="majorHAnsi" w:hAnsiTheme="majorHAnsi" w:cstheme="majorHAnsi"/>
          <w:b/>
          <w:i/>
          <w:lang w:eastAsia="zh-CN" w:bidi="he-IL"/>
        </w:rPr>
        <w:t>Risks Relating to Our Business and Our Assets</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The financial services industry is highly competitive, and we have a vast number of competitors that are larger and have greater financial and other resources;</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Qiwi Bank operates in a highly regulated environment and increased regulatory scrutiny could have an adverse effect on our business, financial condition and results of operations;</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We have become subject to lawsuits in connection with the abrupt decrease in our share price caused by our disclosure of the restrictions introduced by the CBR with respect to Qiwi Bank's operations in December 2020;</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Throughout the recent years, we have been deriving a substantial portion of our revenues from merchants in the betting industry, but we have recently experienced a loss of a significant portion of such revenue stream due to changes in regulation and market conditions, the negative repercussions of which on our business and financial results may continue to build up;</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Our profitability level depends on our ability to maintain or increase our payment services average net revenue yield;</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If we cannot keep pace with rapid developments and change in our industry and provide new services to our clients, or if any of the new products we roll out are unsuccessful, the use of our services could decline, and we could experience a decline in revenue and an inability to recoup costs;</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We are subject to the economic risk and business cycles of our merchants, partners and agents and the overall level of consumer spending;</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If customer or merchant confidence in our business deteriorates, our business, financial condition and results of operations could be adversely affected;</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A decline in the use of cash as a means of payment or a decline in the use of kiosks and terminals may result in a reduced demand for our services;</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We are subject to extensive government regulation;</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Events outside of our control, including public health crises and political instability, may negatively affect consumer spending and our business;</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We may not be able to complete or integrate successfully any potential future acquisitions, partnerships or joint ventures;</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Our compliance processes, procedures and controls with respect to the rules and regulations that apply to our business may prove insufficient;</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Our systems and our third-party providers' systems may fail due to factors beyond our control, which could interrupt our service, cause us to lose business and increase our costs;</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Unauthorized or improper disclosure of data, whether through cybersecurity breaches, computer viruses or otherwise, could expose us to direct loss, liability, protracted and costly litigation and damage our reputation;</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Customer complaints, actual or perceived failures of our customer service function or negative publicity about our customer service could materially adversely affect the attractiveness of our services;</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Our services have been and may continue to be used for fraudulent, illegal or improper purposes, which could expose us to additional liability and harm our business;</w:t>
      </w:r>
    </w:p>
    <w:p w:rsidR="009534E2" w:rsidRDefault="003369EB">
      <w:pPr>
        <w:pStyle w:val="ListParagraph"/>
        <w:numPr>
          <w:ilvl w:val="0"/>
          <w:numId w:val="38"/>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Our business is exposed to counterparty and credit risks;</w:t>
      </w:r>
    </w:p>
    <w:p w:rsidR="009534E2" w:rsidRDefault="003369EB">
      <w:pPr>
        <w:pStyle w:val="ListParagraph"/>
        <w:numPr>
          <w:ilvl w:val="0"/>
          <w:numId w:val="38"/>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We are subject to fluctuations in currency exchange rates;</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lang w:eastAsia="ru-RU"/>
        </w:rPr>
        <w:t>Regulatory authorities in Russia and Kazakhstan could determine that we hold a dominant position in our markets, and could impose limitations on our operational flexibility, which may adversely affect our business, financial condition and results of operations.</w:t>
      </w:r>
    </w:p>
    <w:p w:rsidR="009534E2" w:rsidRDefault="003369EB">
      <w:pPr>
        <w:pStyle w:val="ListParagraph"/>
        <w:numPr>
          <w:ilvl w:val="0"/>
          <w:numId w:val="38"/>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We may not be able to successfully protect our intellectual property and may be subject to infringement claims;</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rPr>
        <w:t>We may use open source software in a manner that could be harmful to our business.</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rPr>
        <w:t>Certain Russian companies are required to use primarily domestic Russia-produced software and hardware;</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rPr>
        <w:t>We do not have and may be unable to obtain sufficient insurance to protect ourselves from business risks;</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rPr>
        <w:t>In a dynamic industry like ours, the ability to attract, recruit, retain and develop qualified personnel is critical to our success and growth;</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rPr>
        <w:t>Our operations may be constrained if we cannot attract or service future debt financing;</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rPr>
        <w:t>We may experience difficulties with conducting transactions denominated in US dollars, euros and other currencies;</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rPr>
        <w:t>Our bond portfolio could decline in value, which may result in financial losses and have a negative effect on our compliance with banking prudential ratios;</w:t>
      </w:r>
    </w:p>
    <w:p w:rsidR="009534E2" w:rsidRDefault="003369EB">
      <w:pPr>
        <w:pStyle w:val="ListParagraph"/>
        <w:numPr>
          <w:ilvl w:val="0"/>
          <w:numId w:val="38"/>
        </w:numPr>
        <w:ind w:left="1080"/>
        <w:rPr>
          <w:rFonts w:eastAsia="Times New Roman" w:asciiTheme="majorHAnsi" w:hAnsiTheme="majorHAnsi" w:cstheme="majorHAnsi"/>
        </w:rPr>
      </w:pPr>
      <w:r>
        <w:rPr>
          <w:rFonts w:eastAsia="Times New Roman" w:asciiTheme="majorHAnsi" w:hAnsiTheme="majorHAnsi" w:cstheme="majorHAnsi"/>
        </w:rPr>
        <w:t>We may not be able to expand into new geographical markets, or develop our existing international operations successfully, which could limit our ability to grow and increase our profitability;</w:t>
      </w:r>
    </w:p>
    <w:p w:rsidR="009534E2" w:rsidRDefault="003369EB">
      <w:pPr>
        <w:pStyle w:val="ListParagraph"/>
        <w:numPr>
          <w:ilvl w:val="0"/>
          <w:numId w:val="38"/>
        </w:numPr>
        <w:spacing w:after="240"/>
        <w:ind w:left="1080"/>
        <w:rPr>
          <w:rFonts w:eastAsia="Times New Roman" w:asciiTheme="majorHAnsi" w:hAnsiTheme="majorHAnsi" w:cstheme="majorHAnsi"/>
        </w:rPr>
      </w:pPr>
      <w:r>
        <w:rPr>
          <w:rFonts w:eastAsia="Times New Roman" w:asciiTheme="majorHAnsi" w:hAnsiTheme="majorHAnsi" w:cstheme="majorHAnsi"/>
        </w:rPr>
        <w:t>We may not be able to meet changing expectations from investors, customers, regulators, and other stakeholders regarding environmental, social, and governance ("ESG") issues, which may negatively affect our reputation and therefore our business and financial results;</w:t>
      </w:r>
    </w:p>
    <w:p w:rsidR="009534E2" w:rsidRDefault="003369EB">
      <w:pPr>
        <w:keepNext/>
        <w:keepLines/>
        <w:spacing w:after="200"/>
        <w:rPr>
          <w:rFonts w:eastAsia="Times New Roman" w:asciiTheme="majorHAnsi" w:hAnsiTheme="majorHAnsi" w:cstheme="majorHAnsi"/>
          <w:lang w:eastAsia="zh-CN" w:bidi="he-IL"/>
        </w:rPr>
      </w:pPr>
      <w:r>
        <w:rPr>
          <w:rFonts w:eastAsia="Times New Roman" w:asciiTheme="majorHAnsi" w:hAnsiTheme="majorHAnsi" w:cstheme="majorHAnsi"/>
          <w:b/>
          <w:i/>
          <w:lang w:eastAsia="zh-CN" w:bidi="he-IL"/>
        </w:rPr>
        <w:t>Risks Relating to Corporate Governance Matters and Organizational Structure</w:t>
      </w:r>
    </w:p>
    <w:p w:rsidR="009534E2" w:rsidRDefault="003369EB">
      <w:pPr>
        <w:pStyle w:val="ListParagraph"/>
        <w:keepNext/>
        <w:keepLines/>
        <w:numPr>
          <w:ilvl w:val="0"/>
          <w:numId w:val="39"/>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The substantial share ownership position of the Chairman of our board of directors, Sergey Solonin, may limit your ability to influence corporate matters;</w:t>
      </w:r>
    </w:p>
    <w:p w:rsidR="009534E2" w:rsidRDefault="003369EB">
      <w:pPr>
        <w:pStyle w:val="ListParagraph"/>
        <w:keepNext/>
        <w:keepLines/>
        <w:numPr>
          <w:ilvl w:val="0"/>
          <w:numId w:val="39"/>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Our ADS holders have limited rights in relation to the appointment of our directors, including our independent directors;</w:t>
      </w:r>
    </w:p>
    <w:p w:rsidR="009534E2" w:rsidRDefault="003369EB">
      <w:pPr>
        <w:pStyle w:val="ListParagraph"/>
        <w:numPr>
          <w:ilvl w:val="0"/>
          <w:numId w:val="39"/>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We cannot guarantee that we will buyback any of our ordinary shares represented by ADSs pursuant to the buyback program approved by our shareholders or that our buyback program will enhance long-term shareholder value;</w:t>
      </w:r>
    </w:p>
    <w:p w:rsidR="009534E2" w:rsidRDefault="003369EB">
      <w:pPr>
        <w:pStyle w:val="ListParagraph"/>
        <w:numPr>
          <w:ilvl w:val="0"/>
          <w:numId w:val="39"/>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The rights of our shareholders are governed by Cyprus law and our articles of association, and differ in some important respects from the typical rights of shareholders under US state laws;</w:t>
      </w:r>
    </w:p>
    <w:p w:rsidR="009534E2" w:rsidRDefault="003369EB">
      <w:pPr>
        <w:pStyle w:val="ListParagraph"/>
        <w:numPr>
          <w:ilvl w:val="0"/>
          <w:numId w:val="39"/>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Acquisitions of Russian entities are subject to pre-closing approval by multiple government authorities which exercise significant discretion as to whether a consent should be granted or not, and are regulated by numerous laws which are often ambiguous and open to varying interpretations;</w:t>
      </w:r>
    </w:p>
    <w:p w:rsidR="009534E2" w:rsidRDefault="003369EB">
      <w:pPr>
        <w:pStyle w:val="ListParagraph"/>
        <w:numPr>
          <w:ilvl w:val="0"/>
          <w:numId w:val="39"/>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The quota imposed on foreign ownership of Russian banks or IT companies may make a takeover of our company by a foreign purchaser impossible;</w:t>
      </w:r>
    </w:p>
    <w:p w:rsidR="009534E2" w:rsidRDefault="003369EB">
      <w:pPr>
        <w:pStyle w:val="ListParagraph"/>
        <w:numPr>
          <w:ilvl w:val="0"/>
          <w:numId w:val="39"/>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As a foreign private issuer whose ADSs are listed on Nasdaq, we have elected to follow certain home country corporate governance practices instead of certain Nasdaq requirements;</w:t>
      </w:r>
    </w:p>
    <w:p w:rsidR="009534E2" w:rsidRDefault="003369EB">
      <w:pPr>
        <w:pStyle w:val="ListParagraph"/>
        <w:numPr>
          <w:ilvl w:val="0"/>
          <w:numId w:val="39"/>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Our ADS holders may not have the same voting rights as the holders of our class A shares and class B shares and may not receive voting materials in time to be able to exercise their right to vote;</w:t>
      </w:r>
    </w:p>
    <w:p w:rsidR="009534E2" w:rsidRDefault="003369EB">
      <w:pPr>
        <w:pStyle w:val="ListParagraph"/>
        <w:numPr>
          <w:ilvl w:val="0"/>
          <w:numId w:val="39"/>
        </w:numPr>
        <w:spacing w:after="240"/>
        <w:ind w:left="1080"/>
        <w:rPr>
          <w:rFonts w:eastAsia="Times New Roman" w:asciiTheme="majorHAnsi" w:hAnsiTheme="majorHAnsi" w:cstheme="majorHAnsi"/>
          <w:lang w:eastAsia="ru-RU"/>
        </w:rPr>
      </w:pPr>
      <w:r>
        <w:rPr>
          <w:rFonts w:eastAsia="Times New Roman" w:asciiTheme="majorHAnsi" w:hAnsiTheme="majorHAnsi" w:cstheme="majorHAnsi"/>
          <w:lang w:eastAsia="ru-RU"/>
        </w:rPr>
        <w:t>Our ADS holders' right to receive certain distributions may be limited in certain respects by the deposit agreement.</w:t>
      </w:r>
    </w:p>
    <w:p w:rsidR="009534E2" w:rsidRDefault="003369EB">
      <w:pPr>
        <w:keepNext/>
        <w:keepLines/>
        <w:spacing w:after="200"/>
        <w:rPr>
          <w:rFonts w:eastAsia="Times New Roman" w:asciiTheme="majorHAnsi" w:hAnsiTheme="majorHAnsi" w:cstheme="majorHAnsi"/>
          <w:lang w:eastAsia="zh-CN" w:bidi="he-IL"/>
        </w:rPr>
      </w:pPr>
      <w:r>
        <w:rPr>
          <w:rFonts w:eastAsia="Times New Roman" w:asciiTheme="majorHAnsi" w:hAnsiTheme="majorHAnsi" w:cstheme="majorHAnsi"/>
          <w:b/>
          <w:i/>
          <w:lang w:eastAsia="zh-CN" w:bidi="he-IL"/>
        </w:rPr>
        <w:t>Risks Relating to the Russia and Other Markets in Which We Operate</w:t>
      </w:r>
    </w:p>
    <w:p w:rsidR="009534E2" w:rsidRDefault="003369EB">
      <w:pPr>
        <w:pStyle w:val="ListParagraph"/>
        <w:numPr>
          <w:ilvl w:val="0"/>
          <w:numId w:val="40"/>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Emerging markets such as Russia are subject to greater risks than more developed markets, including significant legal, economic and political risks;</w:t>
      </w:r>
    </w:p>
    <w:p w:rsidR="009534E2" w:rsidRDefault="003369EB">
      <w:pPr>
        <w:pStyle w:val="ListParagraph"/>
        <w:numPr>
          <w:ilvl w:val="0"/>
          <w:numId w:val="40"/>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Know-your-client requirements established by Russian anti-money laundering legislation may adversely impact our transaction volumes;</w:t>
      </w:r>
    </w:p>
    <w:p w:rsidR="009534E2" w:rsidRDefault="003369EB">
      <w:pPr>
        <w:pStyle w:val="ListParagraph"/>
        <w:numPr>
          <w:ilvl w:val="0"/>
          <w:numId w:val="40"/>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Political and governmental instability could adversely affect the value of investments in Russia;</w:t>
      </w:r>
    </w:p>
    <w:p w:rsidR="009534E2" w:rsidRDefault="003369EB">
      <w:pPr>
        <w:pStyle w:val="ListParagraph"/>
        <w:numPr>
          <w:ilvl w:val="0"/>
          <w:numId w:val="40"/>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The implementation of government policies in Russia targeted at specific individuals or companies could harm our business as well as investments in Russia more generally;</w:t>
      </w:r>
    </w:p>
    <w:p w:rsidR="009534E2" w:rsidRDefault="003369EB">
      <w:pPr>
        <w:pStyle w:val="ListParagraph"/>
        <w:numPr>
          <w:ilvl w:val="0"/>
          <w:numId w:val="40"/>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Deterioration of Russia's relations with other countries could negatively affect the Russian economy and those of the nearby regions;</w:t>
      </w:r>
    </w:p>
    <w:p w:rsidR="009534E2" w:rsidRDefault="003369EB">
      <w:pPr>
        <w:pStyle w:val="ListParagraph"/>
        <w:numPr>
          <w:ilvl w:val="0"/>
          <w:numId w:val="40"/>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Economic instability in Russia could have an adverse effect on our business;</w:t>
      </w:r>
    </w:p>
    <w:p w:rsidR="009534E2" w:rsidRDefault="003369EB">
      <w:pPr>
        <w:pStyle w:val="ListParagraph"/>
        <w:numPr>
          <w:ilvl w:val="0"/>
          <w:numId w:val="40"/>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The banking system in Russia is subject to rapid change and increasing regulatory supervision;</w:t>
      </w:r>
    </w:p>
    <w:p w:rsidR="009534E2" w:rsidRDefault="003369EB">
      <w:pPr>
        <w:pStyle w:val="ListParagraph"/>
        <w:numPr>
          <w:ilvl w:val="0"/>
          <w:numId w:val="40"/>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Social instability could lead to labor and social unrest, increased support for renewed centralized authority, nationalism or violence;</w:t>
      </w:r>
    </w:p>
    <w:p w:rsidR="009534E2" w:rsidRDefault="003369EB">
      <w:pPr>
        <w:pStyle w:val="ListParagraph"/>
        <w:numPr>
          <w:ilvl w:val="0"/>
          <w:numId w:val="40"/>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Russia is exposed to high levels of inflation;</w:t>
      </w:r>
    </w:p>
    <w:p w:rsidR="009534E2" w:rsidRDefault="003369EB">
      <w:pPr>
        <w:pStyle w:val="ListParagraph"/>
        <w:numPr>
          <w:ilvl w:val="0"/>
          <w:numId w:val="40"/>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The immaturity of legal systems, processes and practices in Russia may adversely affect our business, financial condition and results of operations;</w:t>
      </w:r>
    </w:p>
    <w:p w:rsidR="009534E2" w:rsidRDefault="003369EB">
      <w:pPr>
        <w:pStyle w:val="ListParagraph"/>
        <w:numPr>
          <w:ilvl w:val="0"/>
          <w:numId w:val="40"/>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Unlawful, selective or arbitrary government action may have an adverse effect on our business;</w:t>
      </w:r>
    </w:p>
    <w:p w:rsidR="009534E2" w:rsidRDefault="003369EB">
      <w:pPr>
        <w:pStyle w:val="ListParagraph"/>
        <w:numPr>
          <w:ilvl w:val="0"/>
          <w:numId w:val="40"/>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Shareholder liability under Russian corporate law could cause us to become liable for the obligations of our subsidiaries;</w:t>
      </w:r>
    </w:p>
    <w:p w:rsidR="009534E2" w:rsidRDefault="003369EB">
      <w:pPr>
        <w:pStyle w:val="ListParagraph"/>
        <w:numPr>
          <w:ilvl w:val="0"/>
          <w:numId w:val="40"/>
        </w:numPr>
        <w:spacing w:after="240"/>
        <w:ind w:left="1080"/>
        <w:rPr>
          <w:rFonts w:eastAsia="Times New Roman" w:asciiTheme="majorHAnsi" w:hAnsiTheme="majorHAnsi" w:cstheme="majorHAnsi"/>
        </w:rPr>
      </w:pPr>
      <w:r>
        <w:rPr>
          <w:rFonts w:eastAsia="Times New Roman" w:asciiTheme="majorHAnsi" w:hAnsiTheme="majorHAnsi" w:cstheme="majorHAnsi"/>
          <w:lang w:eastAsia="ru-RU"/>
        </w:rPr>
        <w:t>Our operations in Kazakhstan are growing, and many of the risks we face in Kazakhstan are similar to those we face in Russia.</w:t>
      </w:r>
    </w:p>
    <w:p w:rsidR="009534E2" w:rsidRDefault="003369EB">
      <w:pPr>
        <w:keepNext/>
        <w:keepLines/>
        <w:spacing w:after="200"/>
        <w:rPr>
          <w:rFonts w:eastAsia="Times New Roman" w:asciiTheme="majorHAnsi" w:hAnsiTheme="majorHAnsi" w:cstheme="majorHAnsi"/>
          <w:lang w:eastAsia="zh-CN" w:bidi="he-IL"/>
        </w:rPr>
      </w:pPr>
      <w:r>
        <w:rPr>
          <w:rFonts w:eastAsia="Times New Roman" w:asciiTheme="majorHAnsi" w:hAnsiTheme="majorHAnsi" w:cstheme="majorHAnsi"/>
          <w:b/>
          <w:i/>
          <w:lang w:eastAsia="zh-CN" w:bidi="he-IL"/>
        </w:rPr>
        <w:t>Risks Relating to Taxation</w:t>
      </w:r>
    </w:p>
    <w:p w:rsidR="009534E2" w:rsidRDefault="003369EB">
      <w:pPr>
        <w:pStyle w:val="ListParagraph"/>
        <w:numPr>
          <w:ilvl w:val="0"/>
          <w:numId w:val="47"/>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Global anti-offshore measures may have adverse impact on our business, financial condition and results of operations;</w:t>
      </w:r>
    </w:p>
    <w:p w:rsidR="009534E2" w:rsidRDefault="003369EB">
      <w:pPr>
        <w:pStyle w:val="ListParagraph"/>
        <w:numPr>
          <w:ilvl w:val="0"/>
          <w:numId w:val="47"/>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Significant change of substance requirements in certain jurisdictions may adversely impact our business;</w:t>
      </w:r>
    </w:p>
    <w:p w:rsidR="009534E2" w:rsidRDefault="003369EB">
      <w:pPr>
        <w:pStyle w:val="ListParagraph"/>
        <w:numPr>
          <w:ilvl w:val="0"/>
          <w:numId w:val="47"/>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Weaknesses and changes in the Russian tax system could materially and adversely affect our business and the value of investments in Russia;</w:t>
      </w:r>
    </w:p>
    <w:p w:rsidR="009534E2" w:rsidRDefault="003369EB">
      <w:pPr>
        <w:pStyle w:val="ListParagraph"/>
        <w:numPr>
          <w:ilvl w:val="0"/>
          <w:numId w:val="47"/>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Our business in Russia may be deemed to receive unjustified tax benefits;</w:t>
      </w:r>
    </w:p>
    <w:p w:rsidR="009534E2" w:rsidRDefault="003369EB">
      <w:pPr>
        <w:pStyle w:val="ListParagraph"/>
        <w:numPr>
          <w:ilvl w:val="0"/>
          <w:numId w:val="47"/>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Our Russian subsidiaries are subject to tax audits by Russian tax authorities which may result in additional tax liabilities;</w:t>
      </w:r>
    </w:p>
    <w:p w:rsidR="009534E2" w:rsidRDefault="003369EB">
      <w:pPr>
        <w:pStyle w:val="ListParagraph"/>
        <w:numPr>
          <w:ilvl w:val="0"/>
          <w:numId w:val="47"/>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Russian transfer pricing legislation may require pricing adjustments and impose additional tax liabilities with respect to all controlled transactions;</w:t>
      </w:r>
    </w:p>
    <w:p w:rsidR="009534E2" w:rsidRDefault="003369EB">
      <w:pPr>
        <w:pStyle w:val="ListParagraph"/>
        <w:numPr>
          <w:ilvl w:val="0"/>
          <w:numId w:val="47"/>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Cyprus transfer pricing legislation may require pricing adjustments and impose additional tax liabilities with respect to intra group financing transactions and/or all related party transactions;</w:t>
      </w:r>
    </w:p>
    <w:p w:rsidR="009534E2" w:rsidRDefault="003369EB">
      <w:pPr>
        <w:pStyle w:val="ListParagraph"/>
        <w:numPr>
          <w:ilvl w:val="0"/>
          <w:numId w:val="47"/>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We may encounter difficulties in obtaining lower rates of Russian withholding income tax envisaged by the Russia-Cyprus double tax treaty for dividends distributed from Russia;</w:t>
      </w:r>
    </w:p>
    <w:p w:rsidR="009534E2" w:rsidRDefault="003369EB">
      <w:pPr>
        <w:pStyle w:val="ListParagraph"/>
        <w:numPr>
          <w:ilvl w:val="0"/>
          <w:numId w:val="47"/>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We may be deemed to be a tax resident outside of Cyprus;</w:t>
      </w:r>
    </w:p>
    <w:p w:rsidR="009534E2" w:rsidRDefault="003369EB">
      <w:pPr>
        <w:pStyle w:val="ListParagraph"/>
        <w:numPr>
          <w:ilvl w:val="0"/>
          <w:numId w:val="47"/>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Our companies established outside of Russia may be exposed to taxation in Russia;</w:t>
      </w:r>
    </w:p>
    <w:p w:rsidR="009534E2" w:rsidRDefault="003369EB">
      <w:pPr>
        <w:pStyle w:val="ListParagraph"/>
        <w:numPr>
          <w:ilvl w:val="0"/>
          <w:numId w:val="47"/>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Russian anti-offshore measures may have adverse impact on our business, financial condition and results of operations;</w:t>
      </w:r>
    </w:p>
    <w:p w:rsidR="009534E2" w:rsidRDefault="003369EB">
      <w:pPr>
        <w:pStyle w:val="ListParagraph"/>
        <w:numPr>
          <w:ilvl w:val="0"/>
          <w:numId w:val="47"/>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The Russian thin capitalization rules allow for different interpretations, which may affect our business, results of operations and financial condition</w:t>
      </w:r>
    </w:p>
    <w:p w:rsidR="009534E2" w:rsidRDefault="003369EB">
      <w:pPr>
        <w:pStyle w:val="ListParagraph"/>
        <w:numPr>
          <w:ilvl w:val="0"/>
          <w:numId w:val="47"/>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ADS holders outside of Russia may be subject to Russian tax for income earned upon a sale, exchange or disposal of our ADSs;</w:t>
      </w:r>
    </w:p>
    <w:p w:rsidR="009534E2" w:rsidRDefault="003369EB">
      <w:pPr>
        <w:pStyle w:val="ListParagraph"/>
        <w:numPr>
          <w:ilvl w:val="0"/>
          <w:numId w:val="47"/>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Income in the form of material benefit from the acquisition of the ADSs below the fair market value may be subject to Russian personal income tax;</w:t>
      </w:r>
    </w:p>
    <w:p w:rsidR="009534E2" w:rsidRDefault="003369EB">
      <w:pPr>
        <w:pStyle w:val="ListParagraph"/>
        <w:numPr>
          <w:ilvl w:val="0"/>
          <w:numId w:val="47"/>
        </w:numPr>
        <w:spacing w:after="200"/>
        <w:ind w:left="1080"/>
        <w:rPr>
          <w:rFonts w:eastAsia="Times New Roman" w:asciiTheme="majorHAnsi" w:hAnsiTheme="majorHAnsi" w:cstheme="majorHAnsi"/>
          <w:lang w:eastAsia="ru-RU"/>
        </w:rPr>
      </w:pPr>
      <w:r>
        <w:rPr>
          <w:rFonts w:eastAsia="Times New Roman" w:asciiTheme="majorHAnsi" w:hAnsiTheme="majorHAnsi" w:cstheme="majorHAnsi"/>
          <w:lang w:eastAsia="ru-RU"/>
        </w:rPr>
        <w:t>We may be classified as a passive foreign investment company (“PFIC”) for US federal income tax purposes, which could result in adverse US federal income tax consequences to US Holders of our ADSs.</w:t>
      </w:r>
    </w:p>
    <w:p w:rsidR="009534E2" w:rsidRDefault="003369EB">
      <w:pPr>
        <w:keepNext/>
        <w:keepLines/>
        <w:spacing w:after="200"/>
        <w:rPr>
          <w:rFonts w:eastAsia="Times New Roman" w:asciiTheme="majorHAnsi" w:hAnsiTheme="majorHAnsi" w:cstheme="majorHAnsi"/>
          <w:lang w:eastAsia="zh-CN" w:bidi="he-IL"/>
        </w:rPr>
      </w:pPr>
      <w:r>
        <w:rPr>
          <w:rFonts w:eastAsia="Times New Roman" w:asciiTheme="majorHAnsi" w:hAnsiTheme="majorHAnsi" w:cstheme="majorHAnsi"/>
          <w:b/>
          <w:i/>
          <w:lang w:eastAsia="zh-CN" w:bidi="he-IL"/>
        </w:rPr>
        <w:t>Risks Relating to our ADSs</w:t>
      </w:r>
    </w:p>
    <w:p w:rsidR="009534E2" w:rsidRDefault="003369EB">
      <w:pPr>
        <w:pStyle w:val="ListParagraph"/>
        <w:numPr>
          <w:ilvl w:val="0"/>
          <w:numId w:val="41"/>
        </w:numPr>
        <w:ind w:left="1080"/>
        <w:rPr>
          <w:rFonts w:eastAsia="Times New Roman" w:asciiTheme="majorHAnsi" w:hAnsiTheme="majorHAnsi" w:cstheme="majorHAnsi"/>
        </w:rPr>
      </w:pPr>
      <w:r>
        <w:rPr>
          <w:rFonts w:eastAsia="Times New Roman" w:asciiTheme="majorHAnsi" w:hAnsiTheme="majorHAnsi" w:cstheme="majorHAnsi"/>
          <w:lang w:eastAsia="ru-RU"/>
        </w:rPr>
        <w:t>The class B shares underlying the ADSs are not listed and may be illiquid;</w:t>
      </w:r>
    </w:p>
    <w:p w:rsidR="009534E2" w:rsidRDefault="003369EB">
      <w:pPr>
        <w:pStyle w:val="ListParagraph"/>
        <w:numPr>
          <w:ilvl w:val="0"/>
          <w:numId w:val="41"/>
        </w:numPr>
        <w:ind w:left="1080"/>
        <w:rPr>
          <w:rFonts w:eastAsia="Times New Roman" w:asciiTheme="majorHAnsi" w:hAnsiTheme="majorHAnsi" w:cstheme="majorHAnsi"/>
        </w:rPr>
      </w:pPr>
      <w:r>
        <w:rPr>
          <w:rFonts w:eastAsia="Times New Roman" w:asciiTheme="majorHAnsi" w:hAnsiTheme="majorHAnsi" w:cstheme="majorHAnsi"/>
          <w:lang w:eastAsia="ru-RU"/>
        </w:rPr>
        <w:t>Our ADSs trade on more than one market and this may result in increased volatility and price variations between such markets;</w:t>
      </w:r>
    </w:p>
    <w:p w:rsidR="009534E2" w:rsidRDefault="003369EB">
      <w:pPr>
        <w:pStyle w:val="ListParagraph"/>
        <w:numPr>
          <w:ilvl w:val="0"/>
          <w:numId w:val="41"/>
        </w:numPr>
        <w:ind w:left="1080"/>
        <w:rPr>
          <w:rFonts w:eastAsia="Times New Roman" w:asciiTheme="majorHAnsi" w:hAnsiTheme="majorHAnsi" w:cstheme="majorHAnsi"/>
        </w:rPr>
      </w:pPr>
      <w:r>
        <w:rPr>
          <w:rFonts w:eastAsia="Times New Roman" w:asciiTheme="majorHAnsi" w:hAnsiTheme="majorHAnsi" w:cstheme="majorHAnsi"/>
          <w:lang w:eastAsia="ru-RU"/>
        </w:rPr>
        <w:t>Future sales of ADSs or ordinary shares by significant shareholders could cause the price of our ADSs to decline;</w:t>
      </w:r>
    </w:p>
    <w:p w:rsidR="009534E2" w:rsidRDefault="003369EB">
      <w:pPr>
        <w:pStyle w:val="ListParagraph"/>
        <w:numPr>
          <w:ilvl w:val="0"/>
          <w:numId w:val="41"/>
        </w:numPr>
        <w:ind w:left="1080"/>
        <w:rPr>
          <w:rFonts w:eastAsia="Times New Roman" w:asciiTheme="majorHAnsi" w:hAnsiTheme="majorHAnsi" w:cstheme="majorHAnsi"/>
          <w:lang w:eastAsia="ru-RU"/>
        </w:rPr>
      </w:pPr>
      <w:r>
        <w:rPr>
          <w:rFonts w:eastAsia="Times New Roman" w:asciiTheme="majorHAnsi" w:hAnsiTheme="majorHAnsi" w:cstheme="majorHAnsi"/>
          <w:lang w:eastAsia="ru-RU"/>
        </w:rPr>
        <w:t>Investors in our ADSs may have limited recourse against us, our directors and executive officers because we conduct our operations outside the US and most of our current directors and executive officers reside outside the US;</w:t>
      </w:r>
    </w:p>
    <w:p w:rsidR="009534E2" w:rsidRDefault="003369EB">
      <w:pPr>
        <w:pStyle w:val="ListParagraph"/>
        <w:numPr>
          <w:ilvl w:val="0"/>
          <w:numId w:val="41"/>
        </w:numPr>
        <w:ind w:left="1080"/>
        <w:rPr>
          <w:rFonts w:eastAsia="Times New Roman" w:asciiTheme="majorHAnsi" w:hAnsiTheme="majorHAnsi" w:cstheme="majorHAnsi"/>
        </w:rPr>
      </w:pPr>
      <w:r>
        <w:rPr>
          <w:rFonts w:eastAsia="Times New Roman" w:asciiTheme="majorHAnsi" w:hAnsiTheme="majorHAnsi" w:cstheme="majorHAnsi"/>
        </w:rPr>
        <w:t>Our ADS holders may not be able to exercise their pre-emptive rights in relation to future issuances of class B shares;</w:t>
      </w:r>
    </w:p>
    <w:p w:rsidR="009534E2" w:rsidRDefault="003369EB">
      <w:pPr>
        <w:pStyle w:val="ListParagraph"/>
        <w:numPr>
          <w:ilvl w:val="0"/>
          <w:numId w:val="41"/>
        </w:numPr>
        <w:ind w:left="1080"/>
        <w:rPr>
          <w:rFonts w:eastAsia="Times New Roman" w:asciiTheme="majorHAnsi" w:hAnsiTheme="majorHAnsi" w:cstheme="majorHAnsi"/>
        </w:rPr>
      </w:pPr>
      <w:r>
        <w:rPr>
          <w:rFonts w:eastAsia="Times New Roman" w:asciiTheme="majorHAnsi" w:hAnsiTheme="majorHAnsi" w:cstheme="majorHAnsi"/>
        </w:rPr>
        <w:t>ADS holders have no legal interest in the underlying class B shares;</w:t>
      </w:r>
    </w:p>
    <w:p w:rsidR="009534E2" w:rsidRDefault="003369EB">
      <w:pPr>
        <w:pStyle w:val="ListParagraph"/>
        <w:numPr>
          <w:ilvl w:val="0"/>
          <w:numId w:val="41"/>
        </w:numPr>
        <w:spacing w:after="240"/>
        <w:ind w:left="1080"/>
        <w:rPr>
          <w:rFonts w:eastAsia="Times New Roman" w:asciiTheme="majorHAnsi" w:hAnsiTheme="majorHAnsi" w:cstheme="majorHAnsi"/>
        </w:rPr>
      </w:pPr>
      <w:r>
        <w:rPr>
          <w:rFonts w:eastAsia="Times New Roman" w:asciiTheme="majorHAnsi" w:hAnsiTheme="majorHAnsi" w:cstheme="majorHAnsi"/>
        </w:rPr>
        <w:t>ADS holders may be subject to limitations on transfer of their ADSs.</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lang w:eastAsia="ru-RU"/>
        </w:rPr>
        <w:t>Risks Relating to Current Geopolitical Environment</w:t>
      </w:r>
    </w:p>
    <w:p w:rsidR="009534E2" w:rsidRDefault="003369EB">
      <w:pPr>
        <w:keepNext/>
        <w:spacing w:after="200"/>
        <w:rPr>
          <w:rFonts w:eastAsia="Times New Roman" w:asciiTheme="majorHAnsi" w:hAnsiTheme="majorHAnsi" w:cstheme="majorHAnsi"/>
        </w:rPr>
      </w:pPr>
      <w:r>
        <w:rPr>
          <w:rFonts w:eastAsia="Arial" w:asciiTheme="majorHAnsi" w:hAnsiTheme="majorHAnsi" w:cstheme="majorHAnsi"/>
          <w:b/>
          <w:bCs/>
          <w:i/>
          <w:iCs/>
          <w:lang w:eastAsia="ru-RU"/>
        </w:rPr>
        <w:t>The conflict between Russia and Ukraine, and particularly its 2022 escalation, the US, EU, UK and other countries’ sanctions that have been imposed in connection therewith, the resulting negative implications on the Russian economy, and the measures that are being adopted by Russia in response, could adversely impact our operations and financial condition.</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The Ukraine crisis, which started in late 2013 and escalated into a major military conflict between Russia and Ukraine in February 2022, has had a devastating effect on Russian relations with the West. In response to the Ukraine crisis, Ukraine, the European Union ("EU"), the United Kingdom ("UK") and the United States ("US") (as well as numerous other countries such as Switzerland, Japan, Norway, Canada and Australia) have imposed a variety of economic sanctions against numerous Russian banks, other companies, private individuals, and specific sectors of the Russian economy, as well as trade restrictions, including import and export bans, and list-based sanctions affecting specified types of transactions with named participants in certain industries, including named Russian financial institutions, and sanctions that prohibit most commercial activities of US, UK and EU persons in Russia, as well as in certain specific territories affected by the conflict. ’While the scope of the sanctions against Russia has been expanding since 2014, when they were first introduced, 2022 saw the imposition of extremely severe measures that have hitherto been unprecedented. Introduction of further economic,trade or other sanctions remains highly likely as the conflict in Ukraine develops.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Several of Russia’s largest banks, including Sberbank, VTB, Otkritie Bank, and Alfa-Bank, which together account for a vast majority of Russia’s banking sector, as well as a number of smaller banks are now on the US Department of the Treasury’s Office of Foreign Assets Control’s List of Specially Designated Nationals and Blocked Persons (SDNs), such that their property in the US is blocked and US persons are prohibited from dealing with them, and they are also subject to asset-freeze restrictions, among others, in the EU and sanctioned by the UK. Since March 2, 2022, a number of major Russian banks have been banned from the SWIFT system by the EU.</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rPr>
        <w:t>In 2014, the financial sector was identified as a sector of the Russian economy that might be subject to sanctions under a presidential decree by the US Secretary of the Treasury, in consultation with the Secretary of US.  In this regard, OFAC may impose sanctions on any bank, including Qiwi Bank, solely because of its operations in the Russian Federation's financial sector.</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On February 28, 2022, OFAC generally prohibited US persons from engaging in transactions with the Central Bank of Russia (the “CBR”), effectively immobilizing any assets of the CBR held in the US or by US persons, wherever located, and preventing the CBR from deploying its international reserves held in the US. This measure undermined the CBR’s ability to act as a lender of last resort and, according to rating agencies, impaired what had been Russia’s standout credit strength, namely its net external liquidity position. The EU also imposed a broad range of sanctions against the CBR, including a ban imposed on March 10, 2022, which prohibits EU persons from engaging in transactions related to the management of reserves and assets of the CBR, or any entity acting on behalf of the CBR. The UK also imposed sanctions on CBR on March 1, 2022, prohibiting UK individuals/entities from providing financial services for the purpose of foreign exchange reserve and asset management to CBR.</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On February 24, 2022, the US Department of Commerce, Bureau of Industry and Security issued a final rule implementing significant new Russia export controls license requirements and licensing policies, meaning that a license is now generally required for the export, reexport or transfer (in country) of nearly all items subject to the Export Administration Regulations to Russia, including electronics, computers, telecommunications and information security. Certain similar export restrictions have been introduced by the EU and the UK as well.</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In April 2022, President Biden signed into law an act which suspends normal trade relations between the US and the Russian Federation, and prohibited new investment in the Russian Federation by a US person, wherever located, and the exportation, reexportation, sale, or supply, directly or indirectly, from the US, or by a US person, wherever located, of any category of services as may be determined by the Secretary of the Treasury, in consultation with the Secretary of State, to any person located in the Russian Federation. To date, several categories of services have been restricted, including certain accounting, trust and corporate formation, management consulting and quantum computing services. The UK and EU have also imposed restrictions on the provision of certain services to person in Russia. The G7 countries have also imposed restrictions on the provision of services related to the maritime transport of Russian-origin crude oil and petroleum products of those products are sold above established price caps.</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These and other numerous sanctions introduced in the wake of the full-blown military conflict in Ukraine, particularly the cut-off of CBR’s access to its international reserves, resulted in rapid deterioration of Russia’s financial ecosystem, liquidity issues at numerous players in the industry, widespread bank runs, and foreign currency shortages. By March 4, 2022, the official Central Bank-issued ruble exchange rate dropped to 111.76 per dollar, compared to 75.76 per dollar on February 21, 2022, i.e. immediately prior to the escalation, representing a 48% drop over the course of less than two weeks, although the ruble subsequently regained much of the positions it lost as a result of measures introduced by the Russian government and Central Bank.</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To mitigate the high exchange rate and financial market volatility, and to preserve remaining foreign currency buffers, Russia’s authorities have introduced capital-control measures that prevent currency outflows. In addition, Russia has imposed, or is considering or may consider, other severe measures aimed at mitigating the effect of sanctions, including significant restrictions on foreign companies executing transactions and generally doing business in Russia, nationalization or asset seizures of foreign-held businesses under certain circumstances, criminalization of compliance with sanctions, increasing taxes or implementing new obligatory or voluntary fees and others. The sanctions imposed on Russia together with its retaliatory response have materially impaired the ability of Russian entities to execute cross-border transactions. Approximately 90% of our Revenue for 2021 and 2022 was generated in Russia, , and these operations have not been directly impacted so far by the cross-border restrictions of the EU, UK, and US sanctions. However, our Russian operating subsidiaries are held by QIWI plc, a company incorporated in Cyprus, and may be considered as foreign-held assets for the purposes of any asset seizures or nationalization legislation initiatives introduced by the Russian government. We are not aware of any legislation initiative or Russian government plans that would target seizure or nationalization of our assets in response to sanctions introduced by other governments or otherwise. However, as the Ukraine conflict and the current geopolitical crisis is rapidly evolving, and further sanctions may be imposed against Russia, it is difficult to accurately predict how it will unravel and what response or retaliatory measures the Russian government may introduce in the future, including a potential asset seizures or nationalization of assets held by foreign-held businesses, such as ours.</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All three major ratings services have lowered Russia’s credit score deep into junk territory, with Russian banks’ corporate ratings following suit. The rating agencies expect a sustained disruption to the economy and financial sector.</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 xml:space="preserve">In addition, in response to the Ukraine conflict, numerous companies from the US, EU, UK and other countries have withdrawn from Russia or suspended, wound down or substantially scaled back their Russian operations, or announced plans to do so, for reputational reasons even when it is not required by the applicable sanctions regime. Businesses from the US, EU, UK and certain other countries, are exhibiting an overall trend of avoiding any associations with Russia. On March 5, 2022, Visa and Mastercard suspended membership of all their Russian members, rendering Russian banks, including Qiwi Bank, unable to issue Visa and Mastercard cards, and Russian consumers unable to execute purchases from most foreign merchants, which has had a limited negative effect on our payment volumes in 2022. See “- </w:t>
      </w:r>
      <w:r>
        <w:rPr>
          <w:rFonts w:eastAsia="Arial" w:asciiTheme="majorHAnsi" w:hAnsiTheme="majorHAnsi" w:cstheme="majorHAnsi"/>
          <w:i/>
          <w:lang w:eastAsia="ru-RU"/>
        </w:rPr>
        <w:t>A vast majority of major Western businesses, including a number of companies whose products are important to our business, have withdrawn from, suspended, wound down or substantially scaled back activities in Russia”</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Discussions are constantly ongoing with respect to introduction of further sanctions, including various further limits on trade in energy with Russia (in addition to those already introduced), which represent a major source of income for the country. If such measures are adopted, this could exacerbate negative implications on the Russian economy.</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Certain sanctions, thus far only imposed by Ukraine, and Russian countersanctions instituted in response to such sanctions, directly target payment services providers such as ourselves (see </w:t>
      </w:r>
      <w:r>
        <w:rPr>
          <w:rFonts w:eastAsia="Arial" w:asciiTheme="majorHAnsi" w:hAnsiTheme="majorHAnsi" w:cstheme="majorHAnsi"/>
          <w:i/>
          <w:iCs/>
          <w:lang w:eastAsia="ru-RU"/>
        </w:rPr>
        <w:t>“– We are subject to extensive government regulation”</w:t>
      </w:r>
      <w:r>
        <w:rPr>
          <w:rFonts w:eastAsia="Arial" w:asciiTheme="majorHAnsi" w:hAnsiTheme="majorHAnsi" w:cstheme="majorHAnsi"/>
          <w:lang w:eastAsia="ru-RU"/>
        </w:rPr>
        <w:t>). There can be no assurance that additional sanctions affecting our company will not be imposed by Russia or other countries.</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 xml:space="preserve">These sanctions have had and will continue to have the effect of damaging the Russian economy to the point of likely sending it into a major recession in 2023-2024. See “– </w:t>
      </w:r>
      <w:r>
        <w:rPr>
          <w:rFonts w:eastAsia="Arial" w:asciiTheme="majorHAnsi" w:hAnsiTheme="majorHAnsi" w:cstheme="majorHAnsi"/>
          <w:i/>
          <w:iCs/>
          <w:lang w:eastAsia="ru-RU"/>
        </w:rPr>
        <w:t>We are subject to the economic risk and business cycles of our merchants, partners and agents and the overall level of consumer spending</w:t>
      </w:r>
      <w:r>
        <w:rPr>
          <w:rFonts w:eastAsia="Arial" w:asciiTheme="majorHAnsi" w:hAnsiTheme="majorHAnsi" w:cstheme="majorHAnsi"/>
          <w:lang w:eastAsia="ru-RU"/>
        </w:rPr>
        <w:t>”.</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As part of our treasury operations, we hold certain publicly traded debt securities and cash funds at non-Russian banks or other financial institutions. As some of these banks and financial institutions tend to take a conservative interpretation of sanctions requirements or otherwise to impose restrictions on Russian businesses’ investments and funds driven by an overall reputational or other considerations, they may freeze publicly traded debt securities and cash funds due to procedural issues caused by enhanced compliance considerations. There is no assurance that non-Russian banks or other financial institutions will not take such actions in the future in relation to a material portion of our assets in connection with sanctions imposed on the Russian financial sector, including sanctions related to Russian state financial instruments, or otherwise. At the same time, part of our assets is restricted due to the sanctions imposed on certain banks. As of December 31, 2022, the monetary equivalent of RUB 2,015 million (representing in total 1.8% of our assets) was restricted due to these reasons.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Some of our agents, merchants or other clients, although mostly not incorporated in certain specific territories affected by the conflict, may have operations there. Since 2014, Crimea has been subject to comprehensive, “country-based” sanctions by the US, EU, UK and certain other countries, and in 2022 similar sanctions have been imposed on the Luhansk People’s Republic,the Donetsk People’s Republic, and, by the EU, Kherson, and Zaporizhzhia regions. If we are deemed to be in violation of any sanctions currently in place or if any new or expanded sanctions are imposed on Russian businesses operating in these territories by the US, EU, UK or other countries, our business and results of operations may be materially adversely affected.</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We operate primarily within the Russian financial system and, accordingly, in the ordinary course of our business, we may provide services to consumers, or otherwise interact with certain entities that are the targets of sanctions. For instance, although we process domestic payments in rubles, which exclude any US, EU, or UK nexuses, such payments, however, may involve financial institutions in Russia or persons sanctioned by the US, EU, UK and certain other countries.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We believe that our interaction with sanctioned Russian banks and potential interaction with designated persons, as well as other interactions we may potentially have with persons that may be subject to US, EU or UK economic and financial sanctions do not contravene any law. If, however, any sanctions or restrictions are introduced making it unlawful for us to maintain such interaction, we would be forced to immediately terminate our business relationship with these entities or persons, which could have a material adverse effect on our business and results of operations.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Our business and reputation could be adversely affected if we were to be designated under any sanctions program. Investors will be adversely affected if we are so designated, resulting in their investment in our securities potentially being prohibited or restricted. Furthermore, some US, UK or EU investors may decide for legal or reputational reasons to divest their holdings in us or not to purchase our securities in the first place, which may adversely affect the liquidity and price of our ADSs.</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Furthermore, even prior to February 2022, there have been initiatives by US governmental entities and US institutional investors, such as pension funds, to adopt or consider adopting laws, regulations, or policies prohibiting transactions with or investment in, or requiring divestment from, entities doing business with certain countries. Such plans were implemented in the course of 2022 given the prevailing anti-Russian sentiment in the international business community, including the investing community. It has been widely reported that Western investors are actively avoiding any investments with Russian connections and withdrawing from businesses related to Russia. These factors have already had and will continue to have a material adverse effect on the price of our ADSs. While we are not subjected to US, UK and EU economic sanctions, our participation in the Russian financial system may adversely impact our reputation among investors and/or our counterparties, who may not be willing to own our ADSs and/or doing business with us regardless of any underlying health of our business purely by the reason of our association with Russia. There is also a risk that other entities with which we engage in business, or individuals or entities associated with them, are, or at any time in the future may become, subject to sanctions.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As part of Russia’s response to Western sanctions, a law was adopted requiring Russia-domiciled companies to terminate foreign depositary programs, under which the depositary receipts of such companies are listed on foreign stock exchanges. This doesn’t apply to our company since it is registered in Cyprus. However, if the scope of such law is extended to companies that predominantly do business in Russia regardless of domicile, or if we are otherwise forced to terminate our depositary program or undertake a delisting, this would result in the cancellation of our ADRs, with the underlying shares represented by those ADRs being distributed to shareholders, and the delisting of our ADSs from Nasdaq. Our underlying shares are not listed and are illiquid. The mechanics and timing relating to how the ADRs will be converted into the underlying shares remains uncertain for investors who purchased their ADSs on the Moscow Stock Exchange. Recipients of such underlying shares may also be subject to restrictions on holding these (either as a matter of applicable law or their own policies). Any such event could render any investment in our ADSs entirely illiquid. While we are analyzing options to restore liquidity for our shareholders if the scope of this law were to be extended, including forced redomiciliation into Russia or any type of restructuring, such redomiciliation or restructuring could be complex and may have adverse tax consequences for our company and holders of our ADSs or underlying shares. In addition, many international holders of our ADSs may be unable to hold or, under current Russian law, trade in securities of a Russian entity. Any such legislative requirements or other measures targeting non-Russian shareholders or offshore holding companies of Russian businesses would materially adversely affect the rights of international holders of our ADSs.</w:t>
      </w:r>
    </w:p>
    <w:p w:rsidR="009534E2" w:rsidRDefault="003369EB">
      <w:pPr>
        <w:spacing w:after="200"/>
        <w:ind w:firstLine="461"/>
        <w:rPr>
          <w:rFonts w:eastAsia="Arial" w:asciiTheme="majorHAnsi" w:hAnsiTheme="majorHAnsi" w:cstheme="majorHAnsi"/>
          <w:iCs/>
        </w:rPr>
      </w:pPr>
      <w:r>
        <w:rPr>
          <w:rFonts w:eastAsia="Arial" w:asciiTheme="majorHAnsi" w:hAnsiTheme="majorHAnsi" w:cstheme="majorHAnsi"/>
          <w:lang w:eastAsia="ru-RU"/>
        </w:rPr>
        <w:t xml:space="preserve">Our former directors, Nadiya Cherkasova and Elena Titova, were designated under US and EU sanctions. Nadiya Cherkasova resigned from her Board positions at QIWI on March 21, 2022, prior to her designation, while Elena Titova resigned on the same day she was designated, April 20, 2022. To date, neither QIWI nor any of its subsidiaries have been, and, currently, no members of our Board of Directors or management are, sanctioned by either the US, EU or UK. No assurance can be given, however, that any such entity or individual will not be so designated in the future. There can similarly be no assurance that broader sanctions against Russia affecting our company will not be imposed, or that Russia will not adopt measures in response to sanctions that would have a negative effect on us. Any measures targeting non-Russian shareholders or offshore holding companies of Russian businesses would materially adversely affect our business and the rights of our international investors. The potential further repercussions surrounding the situation in Ukraine are unknown and no assurance can be given regarding the future of relations between Russia and other countries. Overall, the military conflict in Ukraine is continuing to unravel, and we cannot predict how it will unfold or the impact it will have on our business or results of operations. Additionally, relations between the US, EU, UK and many other countries and Russia have become strained over a variety of other issues, which could result in further sanctions against Russia or specific individuals, entities or economy sectors. See </w:t>
      </w:r>
      <w:r>
        <w:rPr>
          <w:rFonts w:eastAsia="Arial" w:asciiTheme="majorHAnsi" w:hAnsiTheme="majorHAnsi" w:cstheme="majorHAnsi"/>
          <w:i/>
          <w:iCs/>
          <w:lang w:eastAsia="ru-RU"/>
        </w:rPr>
        <w:t>“– Deterioration of Russia’s relations with other countries could negatively affect the Russian economy and those of the nearby regions”</w:t>
      </w:r>
      <w:r>
        <w:rPr>
          <w:rFonts w:eastAsia="Arial" w:asciiTheme="majorHAnsi" w:hAnsiTheme="majorHAnsi" w:cstheme="majorHAnsi"/>
          <w:lang w:eastAsia="ru-RU"/>
        </w:rPr>
        <w:t>. Any or all of the above factors could have a material adverse effect on our business, financial condition, results of operations and prospects.</w:t>
      </w:r>
    </w:p>
    <w:p w:rsidR="009534E2" w:rsidRDefault="003369EB">
      <w:pPr>
        <w:keepNext/>
        <w:spacing w:after="200"/>
        <w:rPr>
          <w:rFonts w:eastAsia="Times New Roman" w:asciiTheme="majorHAnsi" w:hAnsiTheme="majorHAnsi" w:cstheme="majorHAnsi"/>
          <w:b/>
          <w:i/>
          <w:lang w:eastAsia="ru-RU"/>
        </w:rPr>
      </w:pPr>
      <w:r>
        <w:rPr>
          <w:rFonts w:eastAsia="Times New Roman" w:asciiTheme="majorHAnsi" w:hAnsiTheme="majorHAnsi" w:cstheme="majorHAnsi"/>
          <w:b/>
          <w:i/>
          <w:lang w:eastAsia="ru-RU"/>
        </w:rPr>
        <w:t>Holders of our ADSs currently have limited or no liquidity in our ADSs. Following the trading halt introduced on our ADSs by Nasdaq, Nasdaq informed us of its determination to delist our securities. Although we requested a hearing to appeal the delisting determination, there can be no assurance that Nasdaq will reverse its decision and when or if the trading will be resumed. Trading in our ADSs on the Moscow Exchange is subject to certain limitations.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On February 28, 2022, trading on the Moscow Exchange in all equity securities was suspended (including our ADSs), which suspension was later extended until the limited resumption of stock trading on the Moscow Exchange on March 24, 2022, and further resumption of stock trading on the Moscow Exchange on March 28, 2022. Trading by non-Russian investors on the Moscow Exchange remained significantly restricted since then.</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Also, on February 28, 2022, Nasdaq halted trading in our ADSs along with securities of certain other Russian companies. On March 15, 2023, we received a notice from the Listing Qualifications Staff of Nasdaq ("Staff") indicating that the Staff has determined to delist our ADSs, each representing one Class B ordinary share of the Company, from the Nasdaq Global Select Market. In the notice the Staff referred to Nasdaq Listing Rule 5101 that empowers Nasdaq to determine delisting of Company’s securities based on any event, condition, or circumstance that exists or occurs that makes initial or continued listing of the securities on Nasdaq inadvisable or unwarranted in the opinion of Nasdaq, even though the securities meet all enumerated criteria for initial or continued listing on Nasdaq.</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We believe we are in compliance with all applicable disclosure requirements, adhere to high standards of corporate governance and meet all qualitative and quantitative listing criteria of Nasdaq. On March 21, 2023, we requested an oral hearing to appeal the Staff's determination to delist our ADSs. On March 21, 2023, Nasdaq Listing Qualifications Hearings department provided a formal notice that the Hearings Panel ("Panel") will consider our appeal at an oral hearing on April 27, 2023. Pursuant to the notice all submissions for the hearing must be filed with the Panel by April 7, 2023. We will need to state with specificity the grounds upon which the Company is seeking review of Staff’s determination letter. The delisting action has been stayed, pending a final written decision by the Panel.</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We aim to protect our shareholders’ rights and interests, but there can be no guarantee that Nasdaq will not proceed with the delisting action and no assurance when or if the trading halt will be lifted and the trading in our ADSs will be resumed. For as long as trading halt is in place, our ADSs remain effectively illiquid. If the trading halt ultimately results into the delisting, there will no longer be a liquid market for our ADSs on Nasdaq and only over the counter (OTC) transactions will be available with our ADSs. </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There can also be no assurance that trading of ADSs of Russian companies, including us, will not be otherwise affected by sanctions restrictions even if the halt is lifted, and that brokers, dealers and other financial intermediaries from the US, UK, EU or any other country will be allowed to execute transactions with our ADSs due to potential legal restrictions or limitations set out in their internal policies, which will materially adversely affect the value and trading of the ADSs. </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Trading in our ADSs on the Moscow Exchange is not affected by the Nasdaq delisting determination. Trading in our ADSs on the Moscow Exchange was suspended on February 28, 2022 and resumed on March 29, 2022. Under recently adopted legislation, however, there are certain restrictions for non-Russian investors to purchase and sell shares on the Moscow Exchange. Moreover, because the international settlement systems have currently suspended interactions with their Russian counterparts, and because the Russian National Settlement Depositary (“NSD”) is subject to an EU asset freeze since June 2022, it is currently not possible for trades to settle between investors that acquired our ADSs on Nasdaq and investors on the Moscow Exchange. As a result, the volume of our ADSs available for trading on the Moscow Exchange is limited. The trading value of our ADSs on the Moscow Exchange may therefore be different from the value at which they would trade if all of our ADSs were available for trading. Furthermore, as a consequence of the EU asset freeze against the NSD, the NSD has been prevented from making distributions of dividends to holders of our ADSs traded on the Moscow Exchange. In addition, as a result of such designation, such holders of our ADSs were not able to execute their voting rights and convert their ADSs into our Ordinary Class B shares. As a result, in 2022, in light of our limited ability to distribute dividends or effect a buyback program with an equal treatment of all holders of our ADSs, our Board of Directors took a decision to continue reviewing any potential distribution of dividends or commencement of a buyback program until changes of the sanction regime in respect of the Russian National Settlement Depositary or other developments that may enable the company to address described issues. We can provide no assurance as to when or whether non-Russian investors will be permitted to effect trades on the Moscow exchange or when or whether the settlement systems will permit trading in all of our ADSs.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We are analyzing various options to restore liquidity for our shareholders, including alternative listing of securities, redomiciliation, restructuring, and others. However there is no assurance we will be able to find a solution or that any such solution will not have any adverse tax consequences or liquidity issues for all holders of our ADSs or underlying shares.</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As of December 31, 2022, we had RUB 3,922 million in total debt, which was lower than cash and cash equivalents of RUB 47,462 million. Our debt facilities do not provide for any default or redemption right provisions associated with the trading halt and the Nasdaq trading halt does not affect company’s financial or operating performance.</w:t>
      </w:r>
    </w:p>
    <w:p w:rsidR="009534E2" w:rsidRDefault="003369EB">
      <w:pPr>
        <w:keepNext/>
        <w:spacing w:after="200"/>
        <w:rPr>
          <w:rFonts w:eastAsia="Times New Roman" w:asciiTheme="majorHAnsi" w:hAnsiTheme="majorHAnsi" w:cstheme="majorHAnsi"/>
        </w:rPr>
      </w:pPr>
      <w:r>
        <w:rPr>
          <w:rFonts w:eastAsia="Arial" w:asciiTheme="majorHAnsi" w:hAnsiTheme="majorHAnsi" w:cstheme="majorHAnsi"/>
          <w:b/>
          <w:bCs/>
          <w:i/>
          <w:iCs/>
          <w:lang w:eastAsia="ru-RU"/>
        </w:rPr>
        <w:t>A vast majority of major Western businesses, including a number of companies whose products are important to our business, have withdrawn from, suspended, wound down or substantially scaled back activities in Russia.</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A vast majority of major Western businesses have withdrawn from, suspended, wound down or substantially scaled back activities in Russia or stopped dealings with Russian counterparts due to what ostensibly is a combination of compliance, political, reputational, and other reasons. Such businesses include, among others, software providers such as Oracle and hardware providers such as ForcePoint, and Cisco, the use of the products and services of which is material to our operations. Accordingly, we may face the risk of interruptions to our normal operations due to the need to replace such products and services and integrate alternative solutions on an emergency basis, and our business, financial condition and results of operations could be materially adversely affected as a result.</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We offer downloadable QIWI Wallet applications for the most popular mobile and digital platforms and devices and support major mobile operating systems, including Android, iOS and other. In case our applications are not available on Google Play or Apple Store, it may negatively impact our overall strategy and ability to serve the increase of our consumer base.</w:t>
      </w:r>
    </w:p>
    <w:p w:rsidR="009534E2" w:rsidRDefault="003369EB">
      <w:pPr>
        <w:spacing w:after="200"/>
        <w:rPr>
          <w:rFonts w:eastAsia="Arial" w:asciiTheme="majorHAnsi" w:hAnsiTheme="majorHAnsi" w:cstheme="majorHAnsi"/>
          <w:b/>
          <w:bCs/>
          <w:i/>
          <w:iCs/>
          <w:lang w:eastAsia="ru-RU"/>
        </w:rPr>
      </w:pPr>
      <w:r>
        <w:rPr>
          <w:rFonts w:eastAsia="Arial" w:asciiTheme="majorHAnsi" w:hAnsiTheme="majorHAnsi" w:cstheme="majorHAnsi"/>
          <w:b/>
          <w:bCs/>
          <w:i/>
          <w:iCs/>
          <w:lang w:eastAsia="ru-RU"/>
        </w:rPr>
        <w:t>Due to the rapidly evolving and complex sanctions regulations we may fail to follow specific government prescriptions in jurisdictions where we have operations and such failure could result in a material adverse effect on our business, financial condition and results of operations.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In 2022 we saw the imposition of extremely severe and unprecedented measures. As the Ukraine conflict and the current geopolitical crisis is rapidly evolving, and further sanctions may be imposed against Russia, it is difficult to accurately predict how it will unravel and what response or retaliatory measures the Russian government may introduce in the future.</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We closely monitor sanctions regulations and believe that our operations do not contravene any current sanctions regulation but there is no guarantee that we will be able to meet all the sanctions regulations in the future due to the rapidly changing requirements, increased complexity and frequency of new sanctions imposed. This may lead to a material adverse effect on our business, financial condition, results of operations and prospects.</w:t>
      </w:r>
    </w:p>
    <w:p w:rsidR="009534E2" w:rsidRDefault="003369EB">
      <w:pPr>
        <w:keepNext/>
        <w:spacing w:after="200"/>
        <w:rPr>
          <w:rFonts w:eastAsia="Times New Roman" w:asciiTheme="majorHAnsi" w:hAnsiTheme="majorHAnsi" w:cstheme="majorHAnsi"/>
          <w:b/>
          <w:lang w:eastAsia="ru-RU"/>
        </w:rPr>
      </w:pPr>
      <w:r>
        <w:rPr>
          <w:rFonts w:eastAsia="Times New Roman" w:asciiTheme="majorHAnsi" w:hAnsiTheme="majorHAnsi" w:cstheme="majorHAnsi"/>
          <w:b/>
          <w:lang w:eastAsia="ru-RU"/>
        </w:rPr>
        <w:t>Risks Relating to Our Business and Industry</w:t>
      </w:r>
    </w:p>
    <w:p w:rsidR="009534E2" w:rsidRDefault="003369EB">
      <w:pPr>
        <w:keepNext/>
        <w:spacing w:after="200"/>
        <w:rPr>
          <w:rFonts w:eastAsia="Times New Roman" w:asciiTheme="majorHAnsi" w:hAnsiTheme="majorHAnsi" w:cstheme="majorHAnsi"/>
        </w:rPr>
      </w:pPr>
      <w:r>
        <w:rPr>
          <w:rFonts w:eastAsia="Arial" w:asciiTheme="majorHAnsi" w:hAnsiTheme="majorHAnsi" w:cstheme="majorHAnsi"/>
          <w:b/>
          <w:bCs/>
          <w:i/>
          <w:iCs/>
          <w:lang w:eastAsia="ru-RU"/>
        </w:rPr>
        <w:t>The financial services industry is highly competitive, and we have a vast number of competitors that are larger and have greater financial and other resources.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The financial services industry in which we operate with our payment services and other financial services that we provide, is highly competitive, and our ability to compete effectively is therefore of paramount importance. In all countries where we operate, we face competition from a variety of financial and non-financial business groups. These competitors include retail banks, non-traditional payment service providers (such as retailers and mobile network operators, or MNOs), electronic payment system operators, as well as other companies which provide various forms of banking and payment solutions or services, including electronic payments, payment processing services, lending and other services. Competitors in our industry seek to differentiate themselves by features and functionalities such as speed, convenience, network size, accessibility, safety, reliability and price, among others. A significant number of our competitors have greater financial, technological and marketing resources than we have, operate robust networks and are highly regarded by consumers.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Our key competitors in Russia are retail banks, particularly those with a focus on well-developed electronic payment solutions, including Sberbank, Russia’s largest bank that is majority-owned by the Russian state, which benefits from a large retail network, Alfa-Bank, one of the leading privately-owned Russian retail banks, and Tinkoff Bank, which positions itself as a specialized bank focused on innovative online retail financial services. In response to the Ukraine conflict several of Russia’s largest banks, including Sberbank, Alfa-Bank, VTB, and others which together account for a vast majority of Russia’s banking sector, as well as a number of lesser banks are now on the US Department of the Treasury’s Office of Foreign Assets Control’s List of Specially Designated Nationals and Blocked Persons (SDNs), such that their property in the US is blocked and US persons are prohibited from dealing with them, and are also subject to various EU and UK sanctions. On March 2, 2022, a number of major Russian banks were banned from the SWIFT system by the EU. In addition, numerous companies from the US, EU, UK and other countries have suspended, wound down or substantially scaled back their Russian operations, or announced plans to do so, for reputational reasons. It has been observed that businesses from the United States, the European Union, the United Kingdom and certain other countries, are exhibiting an overall trend of avoiding any associations with Russia. On March 5, 2022, Visa and Mastercard suspended membership of all their Russian members, and Russian consumers unable to execute purchases from most foreign merchants, which is expected to have a negative, albeit limited, effect on our payment volumes due the shutdown of such cross-border transactions. See </w:t>
      </w:r>
      <w:r>
        <w:rPr>
          <w:rFonts w:eastAsia="Arial" w:asciiTheme="majorHAnsi" w:hAnsiTheme="majorHAnsi" w:cstheme="majorHAnsi"/>
          <w:i/>
          <w:iCs/>
          <w:lang w:eastAsia="ru-RU"/>
        </w:rPr>
        <w:t>“– A vast majority of major Western businesses, including a number of companies whose products are important to our business, have withdrawn from, suspended, wound down or substantially scaled back activities in Russia.”</w:t>
      </w:r>
      <w:r>
        <w:rPr>
          <w:rFonts w:eastAsia="Arial" w:asciiTheme="majorHAnsi" w:hAnsiTheme="majorHAnsi" w:cstheme="majorHAnsi"/>
          <w:lang w:eastAsia="ru-RU"/>
        </w:rPr>
        <w:t xml:space="preserve"> The abovementioned factors had a significant impact on the competitive landscape in favor of smaller payment and financial service providers such as ourselves resulting into increased payment services volumes and improved payment services net revenue yield (see Item 5.A </w:t>
      </w:r>
      <w:r>
        <w:rPr>
          <w:rFonts w:eastAsia="Arial" w:asciiTheme="majorHAnsi" w:hAnsiTheme="majorHAnsi" w:cstheme="majorHAnsi"/>
          <w:i/>
          <w:iCs/>
          <w:lang w:eastAsia="ru-RU"/>
        </w:rPr>
        <w:t>“Operating Measures”</w:t>
      </w:r>
      <w:r>
        <w:rPr>
          <w:rFonts w:eastAsia="Arial" w:asciiTheme="majorHAnsi" w:hAnsiTheme="majorHAnsi" w:cstheme="majorHAnsi"/>
          <w:lang w:eastAsia="ru-RU"/>
        </w:rPr>
        <w:t>). Overall, the military conflict in Ukraine is continuing to unravel, and we cannot predict how it will unfold or the impact it will have on our business or results of operations in the future.</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Sberbank has long adhered to the strategy of innovation in the financial and payments space and has been focusing on the promotion of alternative banking channels, such as kiosks, internet banking and mobile banking. Sberbank is the market leader of the Russian payments market, has access to significant financial resources, and possesses an extensive nationwide network of branches. It actively develops its online payment services capabilities, including through its online and mobile banking platform Sberbank Online and through YooMoney, one of the major electronic payment service providers in Russia formerly operated through a joint venture with Yandex, a leading Russian diversified technology company, which Sberbank bought out entirely in 2020. These factors give Sberbank a substantial competitive advantage over us in the payments business as well as any other financial services businesses that we pursue or may pursue. Additionally, Sberbank is pursuing a strategy to transform itself into a multi-purpose digital ecosystem offering, in addition to its core banking and payments products, it offers a variety of diverse online services including e-commerce, entertainment, telemedicine, and others. The increasing domination of a major bank such as Sberbank in various online services, particularly e-commerce, may make customer acquisition and retention more complex and costly for smaller independent payment services providers such as ourselves. Although Sberbank's ability to retain and attract customers was affected by the sanctions regime, for instance its application is not available on Google Play or Apple Store, we understand that Sberbank is currently is looking for alternative methods to provide its services to its clients.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Our other major competitors in the banking industry include Alfa-Bank, a major retail bank that combines a strong competitive position in the traditional retail banking sector with a focus on developing innovative financial and payments solutions, and Tinkoff Bank, which is a provider of online retail financial services operating in Russia through a high-tech branchless platform. Numerous other Russian banks are also actively pursuing the electronic payments business and developing various consumer payment solutions.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Tinkoff is also our major competitor in the self-employed servicing market, which is important to us as a key strategic growth stream. We provide different complex payment and payout solutions to diverse businesses, such as taxi companies (payments to taxi drivers) or delivery businesses (payments to couriers). These products are somewhat similar in nature to salary programs and certain other products offered by traditional retail banks, thereby exposing us to competition from all banks that offer such services for self-employed, particularly those similarly focused on convenience of on-boarding and use as well as customizable and user-friendly interfaces, such as Tinkoff and other major Russian banks with actively developing self-employed individuals and sole entrepreneurs servicing programs.</w:t>
      </w:r>
    </w:p>
    <w:p w:rsidR="009534E2" w:rsidRDefault="003369EB">
      <w:pPr>
        <w:keepLines/>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The competition in the digital money transfer services space is also further intensifying as key market players including retail banks develop and digitalize their products. In 2019, the CBR in cooperation with other banks established an instant payment system (“IPS”), in which all major Russian retail banks participate, and which enables instantaneous money transfers between accounts at different banks with the only piece of identification needed for a transfer being the person’s cell phone number. It may prove difficult for our digital money remittance solutions to compete with such system on the basis of convenience, price, or otherwise, particularly since it often features zero or relatively low commissions. There can be no assurance that the commissions within the IPS will not further decrease, whether as a result of a regulatory action or a market trend.</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Another CBR initiative that may adversely affect our business is the proposed introduction of the “digital ruble”, an official digital form ofcurrency stored and exchanged via a CBR-operated platform that will exist alongside the traditional monetary system in Russia. According to public sources, the introduction of the digital ruble has the potential to cause an outflow from the Russian banks of up to 9 trillion rubles (approximately USD 128 billion) in liquidity by 2024. The electronic payments businesses may be similarly adversely affected. The introduction of the digital ruble may have a significant impact on the competitive landscape in the payments industry. During 2022, the CBR together with a number of selected banks ran various tests on transactions with the use of digital ruble, including opening and replenishing digital wallets, transfers between people, including the use of mobile banking applications, and payment for goods and services. The CBR intends to start testing C2B transactions using actual digital rubles on a small set of pilot banks' clients in 2Q 2023. There are risks associated with the loss of income from remittances, as well as additional costs for the implementation and maintenance of security systems for servicing the digital ruble, even though the tariff conditions for use of the digital ruble have not yet been determined for market participants. The CBR also intends to begin work on a cross-border settlement model using the digital ruble in 1Q 2023.The introduction of the digital ruble may have a significant impact on the competitive landscape in the payments industry.</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Our competitors in the payments business also include non-traditional payment service providers that engage in payment services as a non-core business. In particular, we compete with the Russian Federal State Unitary Enterprise Postal Service, or Russian Post, which offers certain payment services. Russian Post’s geographical penetration is at least as dispersed as our physical distribution network (i.e. our kiosks and terminals). It also co-owns, in a joint-venture with the Russian state-controlled VTB Bank, the full-service commercial bank Pochta Bank. As a state-sponsored institution, we believe that it is able to provide payment services at significantly lower prices than we are able to match profitably. </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We also face competition from other non-traditional payment service providers that have substantial financial resources, such as major tech businesses branching out into fintech, including Yandex, which released a debit card with cashback for its services and a deposit available through the FinUslugi aggregator platform in 2022, Russian leading marketplace Ozon, which also developed a captive bank and introduced a debit card with discounts for the purchase of their goods, another Russian leading marketplace Wildberries which also developed a captive bank, Alibaba with its financial services subsidiary Ant Financial, VK (formerly Mail.ru Group), and MNOs, in particular the Russian “Big Three” MNOs, MegaFon, VimpelCom and MTS, as well as their closest competitor Rostelekom, all of which have developed various payment solutions. Yandex in particular is the market leader in the Russian ride-hailing business which we actively service, and accordingly we could face intense competition from them in this sector. We also note that due to the rapidly changing operating environment, customer behavior and developments with westerns sanctions against Russia as well as countersanctions, many companies are constantly reviewing their plans and strategies in many cases without further notice to other market participants.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 xml:space="preserve">Globally, there is a steady influx of new fintech businesses looking to challenge and disrupt the payments and financial services industry. These include so-called “challenger banks” such as Starling, Monzo, N26, Revolut, Atom and Tandem, who develop various digital banking and financial services and compete with various aspects of our services offering (to the best of our knowledge, none of the aforementioned companies has entered the Russian market as of the date hereof and the possibility of their entering the Russian market is uncertain due to the geopolitical situation)). Since the development in the fintech space is rapid, new categories of non-traditional financial service providers may emerge in the future that may be difficult to currently anticipate. </w:t>
      </w:r>
      <w:r>
        <w:rPr>
          <w:rFonts w:eastAsia="Arial" w:asciiTheme="majorHAnsi" w:hAnsiTheme="majorHAnsi" w:cstheme="majorHAnsi"/>
          <w:i/>
          <w:iCs/>
          <w:lang w:eastAsia="ru-RU"/>
        </w:rPr>
        <w:t>See “– If we cannot keep pace with rapid developments and change in our industry and provide new services to our clients, or if any of the new products we roll out are unsuccessful, the use of our services could decline, and we could experience a decline in revenue and an inability to recoup costs”.</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We also compete against some directly comparable businesses, such as electronic payment system operators (primarily YooMoney and WebMoney and previously PayPal which suspended its operations in Russia since February 2022) and kiosk, terminal and e-wallet operators, including Comepay and Elecsnet.</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In recent years, we have started expanding our product portfolio beyond our traditional payment services business to include other types of financial services, such as factoring, digital bank guarantees services, online loans to public procurement tender participants and factoring services for marketplaces suppliers, which we offer through our ROWI project (formerly known as Factoring PLUS, rebranded in 2021). In connection with each of these projects, we face intense competition from a multitude of commercial and retail banks. Such banking institutions often have more established businesses in the various services similar to those offered by us. While we seek to differentiate our products from the competition on the basis of enhanced user experience, price and add-on features, there cannot be any assurance that we will be successful in doing so due to the number of competitors and their level of sophistication.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CBR has announced plans to commence creation of a regulatory framework for so-called non-banking financial services providers that, among other things, will be able to process and transfer payments and open e-wallets, and participate directly in payment systems without the need to engage an acquiring bank. This initiative is aimed at lowering the barriers to entry into the payment services market in Russia, and accordingly requirements towards such providers are expected to be lower than those towards banking institutions, such as ourselves, which could have the effect of intensifying competition in our markets and affecting a number of our revenue streams, including payment processing and acquiring services. Certain merchants that we service may opt to become non-banking financial services providers, which would obliviate their need for our services.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Any increase in competition by other market participants, or any shift of customer preferences in their favor due to any real or perceived advantages of their products, could result in a loss of consumers and harm our payment volumes, revenues and margins. As major commercial and retail banks increase their online and virtual presence and come up with increasingly sophisticated products directly competing with our core competencies, our competitive position could be severely undermined, resulting in reduced demand for our products, both with respect to our payment services business and the other financial services projects that we are pursuing. If we are unable to compete successfully for consumers, agents, merchants or other partners, our business, financial condition and results of operations could be materially adversely affected.</w:t>
      </w:r>
    </w:p>
    <w:p w:rsidR="009534E2" w:rsidRDefault="003369EB">
      <w:pPr>
        <w:keepNext/>
        <w:spacing w:after="200"/>
        <w:rPr>
          <w:rFonts w:eastAsia="Times New Roman" w:asciiTheme="majorHAnsi" w:hAnsiTheme="majorHAnsi" w:cstheme="majorHAnsi"/>
        </w:rPr>
      </w:pPr>
      <w:r>
        <w:rPr>
          <w:rFonts w:eastAsia="Arial" w:asciiTheme="majorHAnsi" w:hAnsiTheme="majorHAnsi" w:cstheme="majorHAnsi"/>
          <w:b/>
          <w:bCs/>
          <w:i/>
          <w:iCs/>
          <w:lang w:eastAsia="ru-RU"/>
        </w:rPr>
        <w:t>Qiwi Bank operates in a highly regulated environment and increased regulatory scrutiny could have an adverse effect on our business, financial condition and results of operations.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Qiwi Bank is central to the operation of all of our key business segments as it provides issuing, acquiring and deposit settlement functions within our group, and is the banking institution behind those products of our ROWI offering that require a banking license, such as digital bank guarantees and online loans to public procurement tender participants and marketplaces suppliers.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All banks and non-banking credit organizations operating in Russia are subject to extensive regulation and supervision. Requirements imposed by regulators, including capital adequacy, liquidity reserves, prudential ratios, loss provisions and other regulatory requirements are designed to ensure the integrity of the financial markets and to protect consumers and other third parties with whom a bank deals. These regulations may limit our activities, and may increase our costs of doing business, or require us to seek additional capital in order to comply with applicable capital adequacy or liquidity requirements. Existing laws and regulations could be amended, the manner in which laws and regulations are enforced or interpreted could change and new laws or regulations could be adopted. Russian banks also have extensive reporting obligations, including, without limitation, disclosure of financial statements, various operational indicators, and affiliates and persons who exercise (direct or indirect) influence over the decisions taken by the management bodies of the bank. The CBR may at any time conduct full or selective audits of any bank’s activities and filings and may inspect all of its books and records.</w:t>
      </w:r>
    </w:p>
    <w:p w:rsidR="009534E2" w:rsidRDefault="003369EB">
      <w:pPr>
        <w:keepLines/>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Qiwi Bank has been the subject of CBR investigations in the past that have uncovered certain violations and deficiencies in relation to, among other things, reporting requirements, anti-money laundering, cybersecurity, compliance with applicable electronic payments thresholds requirements and other issues which we believe we have generally rectified. In the second half of 2020, the CBR, acting in its supervisory capacity, performed another routine scheduled audit of Qiwi Bank for the period of July 2018 to September 2020 and, in the course of this audit, identified certain violations and deficiencies relating primarily to reporting and record-keeping requirements. The monetary fine imposed on Qiwi Bank as a result of these findings was RUB 11 million, or approximately USD 150,000 at the time. In addition, the CBR introduced certain restrictions with respect to Qiwi Bank’s operations, including the suspension or limitation of most types of payments to foreign merchants and money transfers to pre-paid cards from corporate accounts, effective for six months from December 7, 2020. We believe that the restrictions imposed on us were primarily driven by an evaluation of the overall approach of the CBR to the interpretation of the applicable e-payments regulation and general trends towards increased scrutiny in the areas of cyberspace and cross-border payments rather than specific deficiencies identified. Later in January 2021, as reported in the media, similar restrictions were imposed on our key competitor YooMoney, one of the major electronic payment service providers in Russia currently wholly-owned by Sberbank. As a result of close cooperation with the CBR, all restrictions with respect to QIWI expired in May, 2021. The restrictions introduced by the CBR have had a substantial negative effect on our business, financial condition and results of operations, primarily through decreasing the volumes in our e-commerce and money remittance operations, and as a result, our revenues and profits. We believe that our abrupt termination of services of a large number of merchants has likely also had reputational risks for us that are difficult to quantify or assess. The recovery of the payment volume and revenue lost in the wake of the CBR restrictions has been affected by changes in consumer behavior and legal framework, and we anticipate that these revenue streams may never be fully restored, in particular since we are limited in our ability to onboard payment aggregators (and thus enable access to our platform to multiple merchants at the same time) as we need to ensure in each case that the use of such intermediaries does not affect our compliance with the requirement to only onboard "whitelisted" betting merchants that was introduced in 2021 (see “– </w:t>
      </w:r>
      <w:r>
        <w:rPr>
          <w:rFonts w:eastAsia="Arial" w:asciiTheme="majorHAnsi" w:hAnsiTheme="majorHAnsi" w:cstheme="majorHAnsi"/>
          <w:i/>
          <w:iCs/>
          <w:lang w:eastAsia="ru-RU"/>
        </w:rPr>
        <w:t xml:space="preserve">Throughout the recent years, we have been deriving a substantial portion of our revenues from merchants in the betting industry, </w:t>
      </w:r>
      <w:r>
        <w:rPr>
          <w:rFonts w:eastAsia="Arial" w:asciiTheme="majorHAnsi" w:hAnsiTheme="majorHAnsi" w:cstheme="majorHAnsi"/>
          <w:i/>
          <w:lang w:eastAsia="ru-RU"/>
        </w:rPr>
        <w:t>but we have recently experienced a loss of a significant portion of such revenue stream due to changes in regulation and market conditions, the negative repercussions of which on our business and financial results may continue to build up</w:t>
      </w:r>
      <w:r>
        <w:rPr>
          <w:rFonts w:eastAsia="Arial" w:asciiTheme="majorHAnsi" w:hAnsiTheme="majorHAnsi" w:cstheme="majorHAnsi"/>
          <w:lang w:eastAsia="ru-RU"/>
        </w:rPr>
        <w:t>”).</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Our past and future operations may also be subject to greater scrutiny from the CBR as a result of these events. There can be no assurance that new sanctions will not be imposed on us as a result of any past or future findings and that we will not come under greater CBR scrutiny in connection with any perceived deficiencies in our conduct, or that any currently planned or future inspections will not result in discovery of any significant or minor additional violations of various banking regulations, and of what sanctions the CBR may impose on us in connection with such deficiencies or violations. Any such sanctions could have a material adverse effect on our business, financial condition and results of operations.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Additionally, some of our new projects require significant funding and therefore put certain pressure on the ability of Qiwi Bank to comply with applicable capital requirements and other prudential ratios, while through other operations we are engaged in managing substantial amounts of consumer’s funds. All these factors increase our potential exposure to regulatory risks. Moreover, additional scrutiny may be expected in connection with our involvement in our past projects: Tochka, SOVEST and Rocketbank, as they had extended the scope of traditional commercial and retail bank services that Qiwi Bank was previously providing. With respect to Tochka project, SOVEST and Rocketbank, given that the businesses were divested or discontinued, we may not have all necessary archive materials that the regulator may require and may not be able to retrieve such documents upon request. Any failure to meet any demands of the regulator in this respect could result in additional sanctions on us by the CBR.</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Any breach of applicable regulations could expose us to potential liability, including fines, prohibition to carry out certain transactions, introduction of temporary administration by the CBR and in certain instances the revocation of our banking license. Revocation of Qiwi Bank’s banking license would render us unable to process payments and provide most of our services, and may result in a material decrease of our profitability, and any actual or perceived breach by us of any applicable banking laws and regulations could have a material adverse effect on our business, financial condition and results of operations.</w:t>
      </w:r>
    </w:p>
    <w:p w:rsidR="009534E2" w:rsidRDefault="003369EB">
      <w:pPr>
        <w:keepNext/>
        <w:spacing w:after="200"/>
        <w:rPr>
          <w:rFonts w:eastAsia="Times New Roman" w:asciiTheme="majorHAnsi" w:hAnsiTheme="majorHAnsi" w:cstheme="majorHAnsi"/>
        </w:rPr>
      </w:pPr>
      <w:r>
        <w:rPr>
          <w:rFonts w:eastAsia="Arial" w:asciiTheme="majorHAnsi" w:hAnsiTheme="majorHAnsi" w:cstheme="majorHAnsi"/>
          <w:b/>
          <w:bCs/>
          <w:i/>
          <w:iCs/>
          <w:lang w:eastAsia="ru-RU"/>
        </w:rPr>
        <w:t>We have become subject to lawsuits in connection with the abrupt decrease in our share price caused by our disclosure of the restrictions introduced by the CBR with respect to Qiwi Bank’s operations in December 2020.</w:t>
      </w:r>
    </w:p>
    <w:p w:rsidR="009534E2" w:rsidRDefault="003369EB">
      <w:pPr>
        <w:keepLines/>
        <w:spacing w:after="200"/>
        <w:ind w:firstLine="461"/>
        <w:rPr>
          <w:rFonts w:eastAsia="Times New Roman" w:asciiTheme="majorHAnsi" w:hAnsiTheme="majorHAnsi" w:cstheme="majorHAnsi"/>
        </w:rPr>
      </w:pPr>
      <w:r>
        <w:rPr>
          <w:rFonts w:eastAsia="Arial" w:asciiTheme="majorHAnsi" w:hAnsiTheme="majorHAnsi" w:cstheme="majorHAnsi"/>
          <w:lang w:eastAsia="ru-RU"/>
        </w:rPr>
        <w:t xml:space="preserve">Following our disclosure of the restrictions imposed by the CBR on us in December 2020 (see “– </w:t>
      </w:r>
      <w:r>
        <w:rPr>
          <w:rFonts w:eastAsia="Arial" w:asciiTheme="majorHAnsi" w:hAnsiTheme="majorHAnsi" w:cstheme="majorHAnsi"/>
          <w:i/>
          <w:iCs/>
          <w:lang w:eastAsia="ru-RU"/>
        </w:rPr>
        <w:t>Qiwi Bank operates in a highly regulated environment and increased regulatory scrutiny could have an adverse effect on our business, financial condition and results of operations</w:t>
      </w:r>
      <w:r>
        <w:rPr>
          <w:rFonts w:eastAsia="Arial" w:asciiTheme="majorHAnsi" w:hAnsiTheme="majorHAnsi" w:cstheme="majorHAnsi"/>
          <w:lang w:eastAsia="ru-RU"/>
        </w:rPr>
        <w:t>”), we and certain of our current and former executive officers have been named as defendants in two lawsuits in the United States District Court for the Eastern District of New York that were filed in December 2020 and January 2021 and have been coordinated before the same judge. These lawsuits allege that the defendants made certain false or misleading statements that were supposedly revealed when the CBR audit results and restrictions were disclosed in December 2020, which the plaintiffs perceive as a violation of Sections 10(b) and 20(a) of the 1934 Securities Exchange Act, and seek damages and other relief based upon such allegations. We believe that these lawsuits are without merit and intend to defend against them vigorously, and we expect to incur certain costs associated with defending against these actions. At this early stage of the litigations, the ultimate outcomes are uncertain and we cannot reasonably predict the timing or outcomes, or estimate the amount of loss, if any, or their effect, if any, on our financial statements. Any litigation to which we are a party may result in an onerous or unfavorable judgment that may not be reversed on appeal, or we may decide to settle lawsuits on unfavorable terms. Any such negative outcome could result in payments of substantial monetary damages and accordingly our business could be seriously harmed. Regardless of the final outcome, defending these claims is costly and can impose a significant burden on management and employees, and we may receive unfavorable preliminary, interim, or final rulings in the course of litigation, which could seriously harm our business.</w:t>
      </w:r>
    </w:p>
    <w:p w:rsidR="009534E2" w:rsidRDefault="003369EB">
      <w:pPr>
        <w:keepNext/>
        <w:spacing w:after="200"/>
        <w:rPr>
          <w:rFonts w:eastAsia="Times New Roman" w:asciiTheme="majorHAnsi" w:hAnsiTheme="majorHAnsi" w:cstheme="majorHAnsi"/>
        </w:rPr>
      </w:pPr>
      <w:r>
        <w:rPr>
          <w:rFonts w:eastAsia="Arial" w:asciiTheme="majorHAnsi" w:hAnsiTheme="majorHAnsi" w:cstheme="majorHAnsi"/>
          <w:b/>
          <w:bCs/>
          <w:i/>
          <w:iCs/>
          <w:lang w:eastAsia="ru-RU"/>
        </w:rPr>
        <w:t xml:space="preserve">Throughout the recent years, we have been deriving a substantial portion of our revenues from merchants in the betting industry, </w:t>
      </w:r>
      <w:r>
        <w:rPr>
          <w:rFonts w:eastAsia="Arial" w:asciiTheme="majorHAnsi" w:hAnsiTheme="majorHAnsi" w:cstheme="majorHAnsi"/>
          <w:b/>
          <w:i/>
          <w:lang w:eastAsia="ru-RU"/>
        </w:rPr>
        <w:t>but we have recently experienced a loss of a significant portion of such revenue stream due to changes in regulation and market conditions, the negative repercussions of which on our business and financial results may continue to build up</w:t>
      </w:r>
      <w:r>
        <w:rPr>
          <w:rFonts w:eastAsia="Arial" w:asciiTheme="majorHAnsi" w:hAnsiTheme="majorHAnsi" w:cstheme="majorHAnsi"/>
          <w:b/>
          <w:bCs/>
          <w:i/>
          <w:iCs/>
          <w:lang w:eastAsia="ru-RU"/>
        </w:rPr>
        <w:t>.</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We provided payment processing and continue to provide acquiring services to a number of merchants in the betting industry. We also provided winning repayment services to such merchants, including processing of winnings to banking cards. The repayment of winnings by such merchants to the customers’ QIWI Wallets is an important and economically beneficial reload channel, contributing to the attractiveness and sustainability of our ecosystem. For reasons discussed below, this revenue stream has been, and may continue to further be, materially adversely affected by legislative developments.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The betting industry is subject to extensive and actively developing regulation in Russia, as well as increasing government scrutiny. Prior to October 2021, legislation then in force required bookmakers to become members of one of the self-regulated organizations of bookmakers and abide by its rules, and to accept interactive bets solely through an Interactive Bets Accounting Center (TSUPIS) set up by a credit organization in cooperation with a self-regulated association of bookmakers.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In order to enable our participation in this industry, in 2016 Qiwi Bank established a TSUPIS together with one of such self-regulated associations of bookmakers, and we thereby became one of the two payment services providers that were able to accept electronic bets on behalf of sports betting companies in Russia.</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In December 2020, a new law was adopted, abolishing the mandatory participation of bookmakers in self-regulated organizations, establishing a Unified Gambling Regulator as a new governmental agency with broad authority to oversee the betting market, and creating the role of a single Unified Interactive Bets Accounting Center (“ETSUP”) to replace all of the existing TSUPIS. Although we have publicly made a proposal to serve as the Unified Interactive Bets Accounting Center pursuant to the new regulatory regime, our bid turned out unsuccessful, and the role of the ETSUP was assigned to another market participant. As a result, we have lost the ability to generate volume and income directly related to our TSUPIS business in Russia starting from 4Q 2021, although we have still been able to retain part of the betting revenues generated from QIWI Wallet services, including commissions for betting accounts top-ups and winning payouts (“remaining betting related stream”). For the year ended December 31, 2021 our TSUPIS business and related acquiring services terminated due to legislation changes described above accounted for 19% (or RUB 3,246 million) of the Payment Net Revenue in our Payment Services segment. The combined betting stream for the year ended December 31, 2021 represented 21% (or RUB 364.2 billion) of PS Payment Volume and 34% (or RUB 6,016 million) of the Payment Net Revenue in our Payment Services segment. The remaining betting related stream in Russia for the year ended December 31, 2022 represented 3% (or RUB 55.2 billion) of PS Payment Volume. Payment volume and revenue decline due to these changes already has and will continue to negatively affect the results of our operations which included processing of payments for making the bets and betting winning payouts through various types of payment methods, including QIWI Wallet. Any adverse action by the ETSUP as a major participant in the industry may negatively affect the payment volume, revenue and margins of our Payment Services business, as well as overall usage of QIWI Wallet.</w:t>
      </w:r>
    </w:p>
    <w:p w:rsidR="009534E2" w:rsidRDefault="003369EB">
      <w:pPr>
        <w:keepLines/>
        <w:spacing w:after="200"/>
        <w:ind w:firstLine="461"/>
        <w:rPr>
          <w:rFonts w:eastAsia="Times New Roman" w:asciiTheme="majorHAnsi" w:hAnsiTheme="majorHAnsi" w:cstheme="majorHAnsi"/>
        </w:rPr>
      </w:pPr>
      <w:r>
        <w:rPr>
          <w:rFonts w:eastAsia="Arial" w:asciiTheme="majorHAnsi" w:hAnsiTheme="majorHAnsi" w:cstheme="majorHAnsi"/>
          <w:lang w:eastAsia="ru-RU"/>
        </w:rPr>
        <w:t xml:space="preserve">Under the Russian betting legislation, betting merchants may become “blacklisted” by the government if they have been found to be in violation of applicable Russian laws, in which case our remaining revenue generated from the betting industry as described above may further shrink. Furthermore, since 2021 Russian credit institutions have been prohibited from contracting with any betting merchants, including foreign ones, that are not on a list of specifically approved betting merchants maintained by the regulator. As a result, in effect only specifically “whitelisted” merchants are allowed to continue operating. A separate "black list" has been instituted with respect to foreign payment aggregators that are known to service backlisted betting merchants. All of these measures have resulted in a general shrinkage of the number of players in the industry and contraction of our related revenue streams, and have significantly increased the administrative burdens in onboarding merchants and in particular payment aggregators. </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If our involvement with the betting industry further diminishes and are unable to replace this business, if our current terms of doing business with the ETSUP become significantly less favorable, or if we face adverse regulatory or reputational consequences associated with servicing the betting industry, our business, financial condition and results of operations may be materially adversely affected.</w:t>
      </w:r>
    </w:p>
    <w:p w:rsidR="009534E2" w:rsidRDefault="003369EB">
      <w:pPr>
        <w:keepNext/>
        <w:spacing w:after="200"/>
        <w:rPr>
          <w:rFonts w:eastAsia="Times New Roman" w:asciiTheme="majorHAnsi" w:hAnsiTheme="majorHAnsi" w:cstheme="majorHAnsi"/>
        </w:rPr>
      </w:pPr>
      <w:r>
        <w:rPr>
          <w:rFonts w:eastAsia="Arial" w:asciiTheme="majorHAnsi" w:hAnsiTheme="majorHAnsi" w:cstheme="majorHAnsi"/>
          <w:b/>
          <w:bCs/>
          <w:i/>
          <w:iCs/>
          <w:lang w:eastAsia="ru-RU"/>
        </w:rPr>
        <w:t>Our profitability level depends on our ability to maintain or increase our payment services average net revenue yield.</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 xml:space="preserve">One of the key measures we use to assess the performance of our payment services business is payment average net revenue yield, which we calculate by dividing payment net revenue by the total payment volume of the transactions we process. Our payment average net revenue yield may be affected by a number of factors, including changes in regulation, increased competition, pressure from merchants and/or agents and acquisitions. In the past we have experienced declines in our payment average net revenue yield for certain merchant categories, in particular for our Telecom merchants where the merchant fees were sharply reduced by the Big Three MNOs, who have been seeking to reduce costs, and may continue to do so in the future. In 2015, our average net revenue yield declined following the acquisition of the CONTACT money transfer system (“CONTACT”) and the Rapida payment processing system (“Rapida”) businesses, both of which operate with a significantly lower average net revenue yield than QIWI (excluding CONTACT and Rapida). Furthermore, our payment average net revenue yield may decline if we introduce new products that are important for expanding our ecosystem and growing our business, but are generally lower-yielding and thus dilute our net revenue yield. Our payment average net revenue yield has been adversely affected, and may continue to be adversely affected, by the introduction of the IPS established by the CBR (see “– </w:t>
      </w:r>
      <w:r>
        <w:rPr>
          <w:rFonts w:eastAsia="Arial" w:asciiTheme="majorHAnsi" w:hAnsiTheme="majorHAnsi" w:cstheme="majorHAnsi"/>
          <w:i/>
          <w:iCs/>
          <w:lang w:eastAsia="ru-RU"/>
        </w:rPr>
        <w:t>The financial services industry is highly competitive, and we have a vast number of competitors that are larger and have greater financial and other resources</w:t>
      </w:r>
      <w:r>
        <w:rPr>
          <w:rFonts w:eastAsia="Arial" w:asciiTheme="majorHAnsi" w:hAnsiTheme="majorHAnsi" w:cstheme="majorHAnsi"/>
          <w:lang w:eastAsia="ru-RU"/>
        </w:rPr>
        <w:t>”), resulting in a shift of part of our digital money remittance volumes within our ecosystem from our card-to-card money transfer service to the IPS, leading to a decline in average commission in the money remittance operations and a compression of our payment average net revenue yield. In order to maintain our competitiveness, we must continue to ensure that our payment processing system provides a more convenient and attractive option for merchants, customers and partners than alternative systems that may not require payment of a processing fee. Retail banks and various payment service providers are constantly developing low to zero-commission payment channels for their consumers. To attract consumers, we also offer certain services on a commission-free basis, such as most peer-to-peer transfers within QIWI Wallet and certain payments in e-commerce. Despite our efforts, consumers may still choose to use other payment service providers, even if those providers do not offer the convenience that we do, because they charge lower fees. In addition, because merchants, partners and agents are able to switch between different payment service providers, we may face additional pressure to reduce the fees we charge due to increased competition from other payment service providers. In addition to market competition, our commissions may also come under pressure if any future laws and regulations are adopted that impose limits on various types of fees that we charge. Proposals to such effect are often mentioned by various government agencies.</w:t>
      </w:r>
    </w:p>
    <w:p w:rsidR="009534E2" w:rsidRDefault="003369EB">
      <w:pPr>
        <w:keepLines/>
        <w:spacing w:after="200"/>
        <w:ind w:firstLine="461"/>
        <w:rPr>
          <w:rFonts w:eastAsia="Times New Roman" w:asciiTheme="majorHAnsi" w:hAnsiTheme="majorHAnsi" w:cstheme="majorHAnsi"/>
        </w:rPr>
      </w:pPr>
      <w:r>
        <w:rPr>
          <w:rFonts w:eastAsia="Arial" w:asciiTheme="majorHAnsi" w:hAnsiTheme="majorHAnsi" w:cstheme="majorHAnsi"/>
          <w:lang w:eastAsia="ru-RU"/>
        </w:rPr>
        <w:t xml:space="preserve">Our payment average net revenue yield is also impacted by the cost to us of consumers reloading their QIWI Wallet accounts. We make available to our consumers a large variety of methods to reload the QIWI Wallet accounts, including, among others, bank cards and accounts, mobile phone balances, kiosks and terminals and ATMs. Customers can also receive different payouts or money transfers to their wallets. The top up methods have different cost implications for us and such cost implications can change for different channels overtime. For example, on payments made through the kiosks and terminals owned by our agents, we historically have paid lower fees for reloading the QIWI Wallet than on most payments made from bank cards, as well as certain other channels. However, recently kiosks became a relatively more expensive top up channel for us. Additionally, since we provide payment services to merchants and consumers in the sports betting industry, betting accounts top-ups and betting gains received by our consumers into their QIWI Wallet accounts also represent an important and cost-efficient source of QIWI Wallets reloads, which could decline if our presence as a payment provider in the sports betting market diminishes for any reason (see “– </w:t>
      </w:r>
      <w:r>
        <w:rPr>
          <w:rFonts w:eastAsia="Arial" w:asciiTheme="majorHAnsi" w:hAnsiTheme="majorHAnsi" w:cstheme="majorHAnsi"/>
          <w:i/>
          <w:iCs/>
          <w:lang w:eastAsia="ru-RU"/>
        </w:rPr>
        <w:t xml:space="preserve">Throughout the recent years, we have been deriving a substantial portion of our revenues from merchants in the betting industry, </w:t>
      </w:r>
      <w:r>
        <w:rPr>
          <w:rFonts w:eastAsia="Arial" w:asciiTheme="majorHAnsi" w:hAnsiTheme="majorHAnsi" w:cstheme="majorHAnsi"/>
          <w:i/>
          <w:lang w:eastAsia="ru-RU"/>
        </w:rPr>
        <w:t>but we have recently experienced a loss of a significant portion of such revenue stream due to changes in regulation and market conditions, the negative repercussions of which on our business and financial results may continue to build up</w:t>
      </w:r>
      <w:r>
        <w:rPr>
          <w:rFonts w:eastAsia="Arial" w:asciiTheme="majorHAnsi" w:hAnsiTheme="majorHAnsi" w:cstheme="majorHAnsi"/>
          <w:lang w:eastAsia="ru-RU"/>
        </w:rPr>
        <w:t>”). Similarly, our products for the self-employed individuals such as payout programs for taxi drivers, couriers, and similarly situated self-employed individuals, also account for a substantial amount of QIWI Wallets reloads that are cost-efficient to us, and any decline in this category could increase the average QIWI Wallet top-up cost. Should the relative weight of these reload channels in our total mix decline, this could put a negative pressure on our yields. We currently do not attempt to direct consumer preferences towards any particular reload methods. If reload methods that come at a higher cost to us were to constitute a larger proportion of our overall reload channels mix, our margins could be adversely affected, which could have a material adverse effect on our business, financial condition and results of operations.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 xml:space="preserve">The December 2020 CBR order requiring us to suspend or limit most types of payments to foreign merchants (see “– </w:t>
      </w:r>
      <w:r>
        <w:rPr>
          <w:rFonts w:eastAsia="Arial" w:asciiTheme="majorHAnsi" w:hAnsiTheme="majorHAnsi" w:cstheme="majorHAnsi"/>
          <w:i/>
          <w:lang w:eastAsia="ru-RU"/>
        </w:rPr>
        <w:t>Qiwi Bank operates in a highly regulated environment and increased regulatory scrutiny could have an adverse effect on our business, financial condition and results of operations</w:t>
      </w:r>
      <w:r>
        <w:rPr>
          <w:rFonts w:eastAsia="Arial" w:asciiTheme="majorHAnsi" w:hAnsiTheme="majorHAnsi" w:cstheme="majorHAnsi"/>
          <w:lang w:eastAsia="ru-RU"/>
        </w:rPr>
        <w:t>”) has also put negative pressure on our yields, since such payments on average carried a higher commission.</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Our payment services segment net revenue yield is also affected by changes in our payment average net revenue yield and by our ability to generate revenue from payment-related value-added services, as well as passive revenue such as interest income on the wallet balances we hold and revenue from fees for inactive accounts and unclaimed payments. If we are not able to generate such additional revenues for any reasons including regulatory restrictions (see “</w:t>
      </w:r>
      <w:r>
        <w:rPr>
          <w:rFonts w:eastAsia="Arial" w:asciiTheme="majorHAnsi" w:hAnsiTheme="majorHAnsi" w:cstheme="majorHAnsi"/>
          <w:i/>
          <w:iCs/>
          <w:lang w:eastAsia="ru-RU"/>
        </w:rPr>
        <w:t>– We are subject to extensive government regulation</w:t>
      </w:r>
      <w:r>
        <w:rPr>
          <w:rFonts w:eastAsia="Arial" w:asciiTheme="majorHAnsi" w:hAnsiTheme="majorHAnsi" w:cstheme="majorHAnsi"/>
          <w:lang w:eastAsia="ru-RU"/>
        </w:rPr>
        <w:t>”), intensified competition or other reasons outside of our control, our financial condition and results of operation could be materially negatively affected.</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If payment average net revenue yield or payment services segment net revenue declines as a result of any of these or other factors, we will have to offset the financial impact of such decline by increasing our payment volume, through the development and enhancement of existing and new services and products. We cannot assure you that we will be able to increase our payment volumes or that any new services we introduce or new products we develop will be profitable. If we are unable to offset the decline in our payment average net revenue yield resulting from this and other factors, our business, financial condition and results of operations could be materially adversely affected.</w:t>
      </w:r>
    </w:p>
    <w:p w:rsidR="009534E2" w:rsidRDefault="003369EB">
      <w:pPr>
        <w:keepNext/>
        <w:spacing w:after="200"/>
        <w:rPr>
          <w:rFonts w:eastAsia="Times New Roman" w:asciiTheme="majorHAnsi" w:hAnsiTheme="majorHAnsi" w:cstheme="majorHAnsi"/>
        </w:rPr>
      </w:pPr>
      <w:r>
        <w:rPr>
          <w:rFonts w:eastAsia="Arial" w:asciiTheme="majorHAnsi" w:hAnsiTheme="majorHAnsi" w:cstheme="majorHAnsi"/>
          <w:b/>
          <w:bCs/>
          <w:i/>
          <w:iCs/>
          <w:lang w:eastAsia="ru-RU"/>
        </w:rPr>
        <w:t>If we cannot keep pace with rapid developments and change in our industry and provide new services to our clients, or if any of the new products we roll out are unsuccessful, the use of our services could decline, and we could experience a decline in revenue and an inability to recoup costs.</w:t>
      </w:r>
    </w:p>
    <w:p w:rsidR="009534E2" w:rsidRDefault="003369EB">
      <w:pPr>
        <w:keepLines/>
        <w:spacing w:after="200"/>
        <w:ind w:firstLine="461"/>
        <w:rPr>
          <w:rFonts w:eastAsia="Times New Roman" w:asciiTheme="majorHAnsi" w:hAnsiTheme="majorHAnsi" w:cstheme="majorHAnsi"/>
        </w:rPr>
      </w:pPr>
      <w:r>
        <w:rPr>
          <w:rFonts w:eastAsia="Arial" w:asciiTheme="majorHAnsi" w:hAnsiTheme="majorHAnsi" w:cstheme="majorHAnsi"/>
          <w:lang w:eastAsia="ru-RU"/>
        </w:rPr>
        <w:t>The financial services industry in which we operate is characterized by rapid technological change, new product and service introductions, evolving industry standards, changing customer needs and the entrance of more established market players seeking to expand into these businesses. In order to remain competitive, we continually seek to expand the services we offer and to develop new projects. These projects carry risks, such as delays in delivery, performance problems, lack of customer acceptance, failure to adequately assess the potential revenues and budget the expenses of a project and the amount of investment required by it, failure to anticipate potential pitfalls and issues, and misjudgment of a need for a particular product by the intended customer base, among other things. In our industry, these risks are acute. Any delay in the delivery of new services or the failure to differentiate our services or to accurately predict and address market demand could render our services less desirable, or even obsolete, to consumers, merchants or partners, and hurt our future prospects. For example, if alternative payment and financial products and services become widely available, thereby substituting our current products and services, and we do not develop and offer similar alternative products and services successfully and on a timely basis, our business and its prospects could be adversely affected. At the same time, if a new product we roll out or acquire fails to perform as anticipated, this could similarly adversely affect our business, financial position and results of operations. Since we position ourselves as a provider of next generation payment and financial services, many of these new products are based on business models that are unproven and are essentially start-ups launched to test a hypothesis based on various assumptions regarding consumer behavior patterns and demands. These assumptions may ultimately prove wrong and we may not be able to convert these hypotheses into sustainable businesses and recoup our investments made in such businesses. These risks have materialized in particular with respect to Rocketbank, which we acquired in 2017 and which we had to wind down in 2020, and with respect to our payment-by-installments card project SOVEST, which we divested in July 2020.</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We may be unable to recover the costs we have incurred in developing, rolling out, implementing and marketing new products and services. Our development efforts could result in increased costs and we could also experience a loss in business that could reduce our earnings or could cause a loss of revenue if promised new services are not timely delivered to our clients, are not able to compete effectively with those of our competitors or do not perform as anticipated. As we enter markets that are new for us with our new products and services offerings, we face additional operational, regulatory and other risks that we may not be able to adequately address due to our lack of experience in such markets and the associated risks.</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We also actively develop other new products, services and technologies, such as factoring and digital bank guarantees, products aimed at the self-employed market, and certain other projects. If our efforts in connection with any of such initiatives do not pay off as expected, this will result in the loss of our investment both in terms of money and management time, which could adversely affect our profitability.</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Additionally, in order to remain competitive in an innovative industry such as ours, we have to make investments in start-up companies or undertake different research and development initiatives. If our investments in start-up companies or research and development initiatives do not yield the expected results, we may lose money, time and effort invested.</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If we are unable to develop, adapt to or access technological changes or evolving industry standards on a timely and cost-effective basis, or if our new initiatives do not yield the expected results, our business, financial condition and results of operations could be materially adversely affected.</w:t>
      </w:r>
    </w:p>
    <w:p w:rsidR="009534E2" w:rsidRDefault="003369EB">
      <w:pPr>
        <w:keepNext/>
        <w:spacing w:after="200"/>
        <w:rPr>
          <w:rFonts w:eastAsia="Times New Roman" w:asciiTheme="majorHAnsi" w:hAnsiTheme="majorHAnsi" w:cstheme="majorHAnsi"/>
        </w:rPr>
      </w:pPr>
      <w:r>
        <w:rPr>
          <w:rFonts w:eastAsia="Arial" w:asciiTheme="majorHAnsi" w:hAnsiTheme="majorHAnsi" w:cstheme="majorHAnsi"/>
          <w:b/>
          <w:bCs/>
          <w:i/>
          <w:iCs/>
          <w:lang w:eastAsia="ru-RU"/>
        </w:rPr>
        <w:t>We are subject to the economic risk and business cycles of our merchants, partners and agents and the overall level of consumer spending.</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The financial services industry depends heavily on the overall level of consumer spending, which affects each of our operating segments. We are exposed to general economic conditions that affect consumer confidence, consumer spending, consumer discretionary income or changes in consumer purchasing habits. Economic factors such as employment levels, migration level, business conditions, energy and fuel costs, interest rates, inflation rate and the strength of the ruble against foreign currencies (in particular the US dollar) could reduce consumer spending or change consumer purchasing habits. A reduction in the amount of consumer spending could result in a decrease in our revenue and profits. If our merchants or partners make fewer sales of their products and services using our services or consumers spend less money per transaction, the volume of payments our Payment services segment processes will decline, resulting in lower revenue. A further weakening in the economy could have a negative impact on our merchants, as well as consumers who purchase products and services using our payment processing systems, which could, in turn, negatively impact our business, financial condition and results of operations, particularly if the recessionary environment disproportionately affects some of the market segments that represent a larger portion of our payment processing volume. In addition, these factors could force some of our merchants and/or agents to liquidate their operations or go bankrupt, or could cause our agents to reduce the number of their locations or hours of operation, resulting in reduced convenience of our service. We generate part of our revenues from advertising, which is cyclical and seasonal in nature, and any reduction in spending by or loss of advertisers would adversely affect our business, financial condition, and results of operations. We also have a certain amount of fixed costs, including salaries and rent, which could limit our ability to adjust costs and respond quickly to changes affecting the economy and our business.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Russia’s economy has been facing significant challenges since 2014 due to the combined effect of the crisis in Eastern Ukraine, the deterioration of Russia’s relationships with many Western countries, the economic and financial sanctions imposed in connection with these events on certain Russian companies and individuals, as well as against entire sectors of Russian economy, by the US, EU, Canada and other countries, a steep decline in oil prices, a record weakening of the Russian ruble against the US dollar, a lack of access to financing for Russian issuers, capital flight and a general climate of political and economic uncertainty, among other factors. In both 2015 and 2016, the Russian economy contracted, although it returned to modest growth in 2017 – 2019. During 2014-2016, the population’s purchasing power decreased due to the weakening of the Russian ruble, basic necessities such as food products and utilities became more expensive, and consumer confidence declined significantly, according to the Russian Consumer Confidence Overall Index reported by Rosstat. The COVID-19 pandemic and related lockdown measures have also had an adverse effect on the Russian economy. The escalation of the Ukraine conflict and the resulting geopolitical crisis and international actions in response to it have had a further adverse effect on the Russian economy in 2022, resulting in, among other things, significant currency rate volatility, the imposition of currency controls, increased levels of migration from Russia, materially increased interest rates and inflation, and are reportedly likely to continue the have significant negative implications on the Russian economy (see “– </w:t>
      </w:r>
      <w:r>
        <w:rPr>
          <w:rFonts w:eastAsia="Arial" w:asciiTheme="majorHAnsi" w:hAnsiTheme="majorHAnsi" w:cstheme="majorHAnsi"/>
          <w:i/>
          <w:iCs/>
          <w:lang w:eastAsia="ru-RU"/>
        </w:rPr>
        <w:t xml:space="preserve">Economic instability in Russia could have an adverse effect on our business” </w:t>
      </w:r>
      <w:r>
        <w:rPr>
          <w:rFonts w:eastAsia="Arial" w:asciiTheme="majorHAnsi" w:hAnsiTheme="majorHAnsi" w:cstheme="majorHAnsi"/>
          <w:lang w:eastAsia="ru-RU"/>
        </w:rPr>
        <w:t>and</w:t>
      </w:r>
      <w:r>
        <w:rPr>
          <w:rFonts w:eastAsia="Arial" w:asciiTheme="majorHAnsi" w:hAnsiTheme="majorHAnsi" w:cstheme="majorHAnsi"/>
          <w:i/>
          <w:iCs/>
          <w:lang w:eastAsia="ru-RU"/>
        </w:rPr>
        <w:t xml:space="preserve"> “– The conflict between Russia and Ukraine, and particularly its 2022 escalation, the US, EU, UK and other countries’ sanctions that have been imposed in connection therewith, the resulting negative implications on the Russian economy, and the measures that are being adopted by Russia in response, could adversely impact our operations and financial condition</w:t>
      </w:r>
      <w:r>
        <w:rPr>
          <w:rFonts w:eastAsia="Arial" w:asciiTheme="majorHAnsi" w:hAnsiTheme="majorHAnsi" w:cstheme="majorHAnsi"/>
          <w:lang w:eastAsia="ru-RU"/>
        </w:rPr>
        <w:t>”).</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 prolonged economic slowdown or recession in Russia could have a significant negative effect on consumer spending in Russia and, accordingly, on our business. As a result of the challenging operating environment in Russia, we have experienced slower payment volume growth in certain of our payment categories and payment volume decline in certain others, in particular certain types of money remittances and financial services categories. Further adverse changes in economic conditions in Russia could adversely impact our future revenues and profits and cause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If customer or merchant confidence in our business deteriorates, our business, financial condition and results of operations could be adversely affected.</w:t>
      </w:r>
    </w:p>
    <w:p w:rsidR="009534E2" w:rsidRDefault="003369EB">
      <w:pPr>
        <w:keepNext/>
        <w:spacing w:after="200"/>
        <w:ind w:firstLine="461"/>
        <w:rPr>
          <w:rFonts w:eastAsia="Times New Roman" w:asciiTheme="majorHAnsi" w:hAnsiTheme="majorHAnsi" w:cstheme="majorHAnsi"/>
        </w:rPr>
      </w:pPr>
      <w:r>
        <w:rPr>
          <w:rFonts w:eastAsia="Arial" w:asciiTheme="majorHAnsi" w:hAnsiTheme="majorHAnsi" w:cstheme="majorHAnsi"/>
          <w:lang w:eastAsia="ru-RU"/>
        </w:rPr>
        <w:t xml:space="preserve">Our business is built on customers’ and merchants’ confidence in our brands, as well as our ability to provide fast, reliable payment services, including electronic payment and payment processing services, and other financial services. The strength of our brands and reputation are of paramount importance to us. A number of factors could adversely affect customer confidence in our brands, many of which are beyond our control, and could have an adverse impact on our results of operations. </w:t>
      </w:r>
      <w:r>
        <w:rPr>
          <w:rFonts w:eastAsia="Arial" w:asciiTheme="majorHAnsi" w:hAnsiTheme="majorHAnsi" w:cstheme="majorHAnsi"/>
          <w:lang w:val="ru-RU" w:eastAsia="ru-RU"/>
        </w:rPr>
        <w:t>These factors include:</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illegal or improper use of our systems and compliance related concerns;</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 xml:space="preserve">regulatory action or investigations against us (see “– </w:t>
      </w:r>
      <w:r>
        <w:rPr>
          <w:rFonts w:eastAsia="Arial" w:asciiTheme="majorHAnsi" w:hAnsiTheme="majorHAnsi" w:cstheme="majorHAnsi"/>
          <w:i/>
          <w:iCs/>
          <w:lang w:eastAsia="ru-RU"/>
        </w:rPr>
        <w:t>Qiwi Bank operates in a highly regulated environment and increased regulatory scrutiny could have an adverse effect on our business, financial condition and results of operations</w:t>
      </w:r>
      <w:r>
        <w:rPr>
          <w:rFonts w:eastAsia="Arial" w:asciiTheme="majorHAnsi" w:hAnsiTheme="majorHAnsi" w:cstheme="majorHAnsi"/>
          <w:lang w:eastAsia="ru-RU"/>
        </w:rPr>
        <w:t>”);</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any significant interruption to our systems and operations; and</w:t>
      </w:r>
    </w:p>
    <w:p w:rsidR="009534E2" w:rsidRDefault="003369EB">
      <w:pPr>
        <w:tabs>
          <w:tab w:val="left" w:pos="1080"/>
        </w:tabs>
        <w:spacing w:after="200"/>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any breach of our security system or any compromises of consumer data.</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In addition, we are to some extent dependent on our agents, merchants and partners to which we license our products to maintain the reputation of our brands. Despite the measures that we put in place to ensure their compliance with our performance standards, our lack of control over their operations may result in the low quality of service of a particular counterparty being attributed to our brands, negatively affecting our overall reputation. For example, our agents are able to charge consumers fees for the use of the kiosks and terminals operated by them, in addition to the fees charged by us, and we mostly do not cap or otherwise control the level of such fees levied by our agents on consumers. We can provide no assurance that our agents will not raise these fees to a level that will adversely affect the popularity of our products among consumers. We also might determine to cap this type of fee to protect the strength of our brand and thereby lose some of our agents and points of physical presence. Furthermore, negative publicity surrounding any assertion that our clients, agents, merchants and/or partners are implicated in fraudulent transactions, irrespective of the accuracy of such publicity or its connection with our current operations or business, could harm our reputation. Any event that hurts any of our brands and reputation as a reliable financial services provider could have a material adverse effect on our business, financial condition and results of operations.</w:t>
      </w:r>
    </w:p>
    <w:p w:rsidR="009534E2" w:rsidRDefault="003369EB">
      <w:pPr>
        <w:keepNext/>
        <w:spacing w:after="200"/>
        <w:rPr>
          <w:rFonts w:eastAsia="Times New Roman" w:asciiTheme="majorHAnsi" w:hAnsiTheme="majorHAnsi" w:cstheme="majorHAnsi"/>
        </w:rPr>
      </w:pPr>
      <w:r>
        <w:rPr>
          <w:rFonts w:eastAsia="Arial" w:asciiTheme="majorHAnsi" w:hAnsiTheme="majorHAnsi" w:cstheme="majorHAnsi"/>
          <w:b/>
          <w:bCs/>
          <w:i/>
          <w:iCs/>
          <w:lang w:eastAsia="ru-RU"/>
        </w:rPr>
        <w:t>A decline in the use of cash as a means of payment or a decline in the use of kiosks and terminals may result in a reduced demand for our services.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 substantial part of the Russian population continues to rely on cash payments, rather than credit and debit card payments or electronic banking. Our business developed as a network of kiosks and terminals allowing consumers to use physical currency for online payments, and our core competitive edge at the time was our ability to offer consumers that primarily used cash as means of payment access to online payments through our kiosks and terminals simultaneously offering merchants access to a large pool of customers that use cash. While we have since largely outgrown that model, our kiosks and terminals network remains a significant part of our infrastructure as a reload and client acquisition channel for QIWI Wallet. We believe therefore that the usage of QIWI Wallet and hence our volumes, revenues and the profitability of our payment services segment continues to depend to some extent on the use of cash as a means of payment and the reach of our kiosks and terminals network. Over time, the prevalence of cash payments is declining as a greater percentage of the population in emerging markets is adopting credit and debit card payments and electronic banking, and our kiosks and terminals network, and the number of our agents, are decreasing as the market evolves towards a higher share of digital payments. In 2020-2022, our physical distribution network and the number of our agents also were, and to a certain extent may continue to be, negatively affected by the spread of COVID-19 pandemic, corresponding lockdown measures, and other restrictions that limited users’ access to certain retail locations as well as the overall activity of the population and digitalization of the payments. Unless we can successfully differentiate ourselves from competition in the payments and financial services market through other features and functionalities beyond providing a pathway to online payments for consumers who continue to rely on cash through our kiosks and terminals network, and the access to this consumer segment for merchants and partners, the shift from cash payments to credit and debit card payments and electronic banking could reduce our market share and payment volumes and may have a material adverse effect on our business, financial condition and results of operations.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 xml:space="preserve">Other factors could also contribute to a decline in the use of kiosks and terminals, including regulatory changes, increases in consumer fees imposed by the agents (see “– </w:t>
      </w:r>
      <w:r>
        <w:rPr>
          <w:rFonts w:eastAsia="Arial" w:asciiTheme="majorHAnsi" w:hAnsiTheme="majorHAnsi" w:cstheme="majorHAnsi"/>
          <w:i/>
          <w:iCs/>
          <w:lang w:eastAsia="ru-RU"/>
        </w:rPr>
        <w:t>If customer or merchant confidence in our business deteriorates, our business, financial condition and results of operations could be adversely affected</w:t>
      </w:r>
      <w:r>
        <w:rPr>
          <w:rFonts w:eastAsia="Arial" w:asciiTheme="majorHAnsi" w:hAnsiTheme="majorHAnsi" w:cstheme="majorHAnsi"/>
          <w:lang w:eastAsia="ru-RU"/>
        </w:rPr>
        <w:t xml:space="preserve">”), and development of alternative payment channels. The overall number of and the use of kiosks underwent a substantial decline in 2015 as a result, among other things, of enhanced scrutiny by the CBR over the compliance by the agents with legislation that requires them to remit their proceeds to special accounts (see </w:t>
      </w:r>
      <w:r>
        <w:rPr>
          <w:rFonts w:eastAsia="Arial" w:asciiTheme="majorHAnsi" w:hAnsiTheme="majorHAnsi" w:cstheme="majorHAnsi"/>
          <w:i/>
          <w:iCs/>
          <w:lang w:eastAsia="ru-RU"/>
        </w:rPr>
        <w:t>“– Regulation – Regulation of Payment Services</w:t>
      </w:r>
      <w:r>
        <w:rPr>
          <w:rFonts w:eastAsia="Arial" w:asciiTheme="majorHAnsi" w:hAnsiTheme="majorHAnsi" w:cstheme="majorHAnsi"/>
          <w:lang w:eastAsia="ru-RU"/>
        </w:rPr>
        <w:t xml:space="preserve">”), and has been continuously declining since. Such decline has adversely affected the availability and convenience of our services to consumers, including the convenience of use of QIWI Wallet, for which historically kiosks and terminals have been the most popular reload channel. There can be no assurance that this negative impact will not continue going forward as increased regulatory pressures put more agents out of business and deter new ones from entering it. Other statutory requirements that could have a similar effect on our business if fully enforced against our agents are the provisions of the Federal Law of the Russian Federation No. 54-FZ “On the use of cash registers in cash payments and (or) settlements with the use of payment cards” which mandate that all kiosks (subject to certain exceptions) should be equipped with new or modernized cash registers. There can be no assurance that our agents are and will continue to be fully in compliance with these requirements, which could cause a further reduction of our kiosk network. Moreover, failure to comply with enhanced control measures by us or our agents could result in the CBR imposing fines or restrictions on our activities (see “– </w:t>
      </w:r>
      <w:r>
        <w:rPr>
          <w:rFonts w:eastAsia="Arial" w:asciiTheme="majorHAnsi" w:hAnsiTheme="majorHAnsi" w:cstheme="majorHAnsi"/>
          <w:i/>
          <w:iCs/>
          <w:lang w:eastAsia="ru-RU"/>
        </w:rPr>
        <w:t>Qiwi Bank operates in a highly regulated environment and increased regulatory scrutiny could have an adverse effect on our business, financial condition and results of operations</w:t>
      </w:r>
      <w:r>
        <w:rPr>
          <w:rFonts w:eastAsia="Arial" w:asciiTheme="majorHAnsi" w:hAnsiTheme="majorHAnsi" w:cstheme="majorHAnsi"/>
          <w:lang w:eastAsia="ru-RU"/>
        </w:rPr>
        <w:t>”). In addition, while existing regulations do not expressly require that payment aggregators, such as us, use cash registers, there is clarificatory regulatory guidance what prescribes the use of cash registers in certain cases. In case of further development of existing regulations with an explicit requirement to the use of cash registers for payment aggregators, any failure to so comply may result in fines and suspension of operations. All of these factors could have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We are subject to extensive government regulation.</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Our business is impacted by laws and regulations that affect our industry, the number of which has increased significantly in recent years. We are subject to a variety of regulations aimed at preventing money laundering and financing criminal activity and terrorism, financial services regulations, payment services regulations, consumer protection laws, currency control regulations, advertising laws, betting laws and privacy and data protection laws and therefore experience periodic investigations by various regulatory authorities in connection with the same, which may sometimes result in monetary or other sanctions being imposed on us. Further, these laws and regulations vary significantly from country to country. Many of these laws and regulations are constantly evolving, and are often unclear and inconsistent with other applicable laws and regulations, including across various jurisdictions, making compliance challenging and increasing our related operating costs and legal risks. If local authorities in Russia or other countries choose to enforce specific interpretations of the applicable legislation that differ from ours, we may be found to be in violation and subject to penalties or other liabilities. This could also limit our ability to provide some of our services going forward and may increase our cost of doing business.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 xml:space="preserve">Changes in our industry are rapid, and new products and services that we develop or the use cases in connection with which our products and services may be used may become subject to government regulation undoing the benefits we expect to derive from such new products, services or use cases. In some jurisdictions where we operate, there is currently little or virtually no legislation addressing electronic payments, and no assurance can be made that if such legislation is adopted it will be beneficial to our business. Court interpretations and applicability of legislation and regulations in certain jurisdictions in relation to our business can be ambiguous or contradictory, and it is possible that authorities in such jurisdictions may determine that we are required to possess additional licenses, permits or registrations to provide our services. Such licensing or compliance processes may be time consuming and expensive and we may not be successful in acquiring any newly required licenses. If we fail to obtain and maintain required licenses, permits or registrations or comply with certain mandatory procedures in any jurisdiction where we operate, we may face fines, penalties, sanctions, experience a loss of revenues or have to discontinue providing certain services or doing business altogether. With respect to countries that do have an established regulatory framework for the types of services that we provide, no assurance can be given that the relevant legislation will not be amended to the detriment of our business, including due to the lobbying efforts undertaken by or on behalf of our competitors. For instance, any restrictions including complete prohibition, ban of specific reload methods or various quantitative caps on the use or reloads of anonymous e-wallets could have a significant negative impact on our business. In addition, we may be subject to existing or new advertising legislation that could restrict the types of advertisements we serve, which could result in a loss of advertising revenue. Furthermore, rapid development of cryptocurrencies and increasing governmental support for the development of the relevant regulatory framework in Russia and other countries where we provide services may also affect regulatory environment in which we operate, which may have a significant impact on the competitive landscape in the payments industry (see “– </w:t>
      </w:r>
      <w:r>
        <w:rPr>
          <w:rFonts w:eastAsia="Arial" w:asciiTheme="majorHAnsi" w:hAnsiTheme="majorHAnsi" w:cstheme="majorHAnsi"/>
          <w:i/>
          <w:iCs/>
          <w:lang w:eastAsia="ru-RU"/>
        </w:rPr>
        <w:t>The financial services industry is highly competitive, and we have a vast number of competitors that are larger and have greater financial and other resources</w:t>
      </w:r>
      <w:r>
        <w:rPr>
          <w:rFonts w:eastAsia="Arial" w:asciiTheme="majorHAnsi" w:hAnsiTheme="majorHAnsi" w:cstheme="majorHAnsi"/>
          <w:lang w:eastAsia="ru-RU"/>
        </w:rPr>
        <w:t>”).</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Generally, Russian lawmakers and enforcement agencies have been demonstrating increased scrutiny in matters relating to cyberspace and e-payments, in particular cross-border payments, as borne out in the enhanced enforcement activities in the kiosk market, the de-anonymization of e-payments and various other initiatives aimed at increasing state control over online activities. In the latest of such trends, the CBR appears to be instituting closer controls over cross-border payments and peer-to-peer transfers (see “</w:t>
      </w:r>
      <w:r>
        <w:rPr>
          <w:rFonts w:eastAsia="Arial" w:asciiTheme="majorHAnsi" w:hAnsiTheme="majorHAnsi" w:cstheme="majorHAnsi"/>
          <w:i/>
          <w:lang w:eastAsia="ru-RU"/>
        </w:rPr>
        <w:t xml:space="preserve">– Our services have been and may continue to be used for fraudulent, illegal or improper purposes, which could expose us to additional liability and harm our business” </w:t>
      </w:r>
      <w:r>
        <w:rPr>
          <w:rFonts w:eastAsia="Arial" w:asciiTheme="majorHAnsi" w:hAnsiTheme="majorHAnsi" w:cstheme="majorHAnsi"/>
          <w:iCs/>
          <w:lang w:eastAsia="ru-RU"/>
        </w:rPr>
        <w:t>and</w:t>
      </w:r>
      <w:r>
        <w:rPr>
          <w:rFonts w:eastAsia="Arial" w:asciiTheme="majorHAnsi" w:hAnsiTheme="majorHAnsi" w:cstheme="majorHAnsi"/>
          <w:i/>
          <w:lang w:eastAsia="ru-RU"/>
        </w:rPr>
        <w:t>“– Qiwi Bank operates in a highly regulated environment and increased regulatory scrutiny could have an adverse effect on our business, financial condition and results of operations</w:t>
      </w:r>
      <w:r>
        <w:rPr>
          <w:rFonts w:eastAsia="Arial" w:asciiTheme="majorHAnsi" w:hAnsiTheme="majorHAnsi" w:cstheme="majorHAnsi"/>
          <w:iCs/>
          <w:lang w:eastAsia="ru-RU"/>
        </w:rPr>
        <w:t>”).</w:t>
      </w:r>
      <w:r>
        <w:rPr>
          <w:rFonts w:eastAsia="Arial" w:asciiTheme="majorHAnsi" w:hAnsiTheme="majorHAnsi" w:cstheme="majorHAnsi"/>
          <w:lang w:eastAsia="ru-RU"/>
        </w:rPr>
        <w:t xml:space="preserve"> </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i/>
          <w:iCs/>
          <w:lang w:eastAsia="ru-RU"/>
        </w:rPr>
        <w:t>Regulation of E-Wallets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In early 2018 it was reported that the CBR, Rosfinmonitoring and the Ministry of Finance are actively discussing new proposed legislation that would ban the use of anonymous e-wallets completely. In 2019, amendments to the National Payment System Law were introduced that prohibit the reloading of anonymous e-wallets other than from a bank account. This development could have the effect of making our onboarding process more complicated and therefore our service less attractive, which would in turn slow down the influx of new users or increase the cost of their engagement. Our revenues may also be adversely affected by further regulation of fees charged on inactive accounts for their continued maintenance and unclaimed payments, which represent a significant revenue stream for us. We have voluntarily signed up to the Memorandum adopted by the E-Money Market Participants Association (a non-state association of fintech players in Russia that we are a founding member of) which imposes certain guidelines with respect to the treatment of such inactive account fees and have had to adjust our policies with respect to such fees upon our accession to the Memorandum. The guidelines imposed by the Memorandum are also reflected in the CBR’s Guidelines for Improving the Quality of Money Transfer Services by Electronic Money Operations that we are also subject to. The negative financial impact from such adjustment has been limited so far; however, any further regulation in this regard, whether legislation introduced by state authorities or rules voluntarily self-imposed by the industry, imposing more stringent restrictions than those currently in existence, could have a further adverse effect on such revenue stream.</w:t>
      </w:r>
    </w:p>
    <w:p w:rsidR="009534E2" w:rsidRDefault="003369EB">
      <w:pPr>
        <w:keepNext/>
        <w:keepLines/>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Another regulatory measure that has already resulted in a decline in the use of e-wallets and affected our business is the requirement to report newly opened e-wallets to the tax authorities in the same manner the banks report new bank accounts, which came into effect starting from January 6, 2021, and the requirement to report movements of funds and wallet balances at tax authorities’ request, which came into effect in April 2021. Starting from December 2022, we are also required to report such information to the Russian bailiff system. These measures have obliviated and may continue to further obliviate some of the perceived advantages of e-wallets over bank accounts. Our e-wallet base could be further adversely affected by any additional increase of the regulatory burdens associated with reporting, onboarding or other functions, all of which can have the effect of making our products less differentiated and attractive to consumers. In another example of such regulation, since October 2021 Russian residents are required to report transactions totaling above RUB 600,000 (approximately US $ 8,530) made with the use of e-wallets provided by foreign operators. This initiative may result in a decrease of the volume of money remittances from QIWI Wallet.</w:t>
      </w:r>
    </w:p>
    <w:p w:rsidR="009534E2" w:rsidRDefault="003369EB">
      <w:pPr>
        <w:keepNext/>
        <w:keepLines/>
        <w:spacing w:after="200"/>
        <w:rPr>
          <w:rFonts w:eastAsia="Arial" w:asciiTheme="majorHAnsi" w:hAnsiTheme="majorHAnsi" w:cstheme="majorHAnsi"/>
          <w:i/>
          <w:iCs/>
          <w:lang w:eastAsia="ru-RU"/>
        </w:rPr>
      </w:pPr>
      <w:r>
        <w:rPr>
          <w:rFonts w:eastAsia="Arial" w:asciiTheme="majorHAnsi" w:hAnsiTheme="majorHAnsi" w:cstheme="majorHAnsi"/>
          <w:i/>
          <w:iCs/>
          <w:lang w:eastAsia="ru-RU"/>
        </w:rPr>
        <w:t>Anti-Money Laundering Legislation</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We sometimes have to make significant judgment calls in applying anti-money laundering legislation and to take risk of being found in non-compliance with it, particularly in relation to mandatory client identification requirements and applicability of the thresholds for transactions imposed based on the client identification level, if, for example, we process payments made by our consumers from their QIWI Wallet accounts for amounts in excess of the applicable thresholds or for certain types of merchants without the required client identification. Although we use all methods available for client identification in all our projects and believe our practices in this regard are in compliance with applicable legal requirements and in line with market practice in Russia (see “</w:t>
      </w:r>
      <w:r>
        <w:rPr>
          <w:rFonts w:eastAsia="Arial" w:asciiTheme="majorHAnsi" w:hAnsiTheme="majorHAnsi" w:cstheme="majorHAnsi"/>
          <w:i/>
          <w:iCs/>
          <w:lang w:eastAsia="ru-RU"/>
        </w:rPr>
        <w:t>– Know-your-client requirements established by Russian anti-money laundering legislation may adversely impact our transaction volumes</w:t>
      </w:r>
      <w:r>
        <w:rPr>
          <w:rFonts w:eastAsia="Arial" w:asciiTheme="majorHAnsi" w:hAnsiTheme="majorHAnsi" w:cstheme="majorHAnsi"/>
          <w:lang w:eastAsia="ru-RU"/>
        </w:rPr>
        <w:t>”), the Russian regulators may view us as being non-compliant and impose fines and other sanctions on us. There can be no assurance that the requirements of the anti-money laundering legislation will not change further in a manner adverse to our business (see “</w:t>
      </w:r>
      <w:r>
        <w:rPr>
          <w:rFonts w:eastAsia="Arial" w:asciiTheme="majorHAnsi" w:hAnsiTheme="majorHAnsi" w:cstheme="majorHAnsi"/>
          <w:i/>
          <w:iCs/>
          <w:lang w:eastAsia="ru-RU"/>
        </w:rPr>
        <w:t>Regulation</w:t>
      </w:r>
      <w:r>
        <w:rPr>
          <w:rFonts w:eastAsia="Arial" w:asciiTheme="majorHAnsi" w:hAnsiTheme="majorHAnsi" w:cstheme="majorHAnsi"/>
          <w:lang w:eastAsia="ru-RU"/>
        </w:rPr>
        <w:t>”), which could result in lower payment volumes for us or other adverse effects. For instance, there have been proposals from certain government officials to ban payments by unidentified consumers altogether. Any further adverse change to these requirements could have a substantial negative effect on our business.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i/>
          <w:iCs/>
          <w:lang w:eastAsia="ru-RU"/>
        </w:rPr>
        <w:t>Foreign Sanctions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Certain sanctions relating to the ongoing hostility between Russia and Ukraine, and Russian countersanctions instituted in response, directly target payment services providers such as ourselves. In November 2016, the National Bank of Ukraine banned several Russian payment services providers from the Ukrainian market. In response, in April 2017, a law was enacted in Russia prohibiting certain types of money remittance from Russia to countries that have introduced sanctions against Russian payment systems (which, to our knowledge, so far only include Ukraine). Moreover, in May 2018, Qiwi Bank, one of our key subsidiaries, was added to the list of sanctioned entities by the Ukrainian government, and in June 2021, nine other companies of our Group were added as well. While we have not experienced any substantial operational difficulties in connection with this so far since we have no assets or business in Ukraine, there can be no assurance as to what effect the imposition of sanctions on us by Ukraine might have in the future, or what further adverse actions the government of Ukraine might take against us. Any determination by a relevant regulator that we have not complied with the spirit or text of any such sanctions or regulations, or even any statements to that effect, may have a material adverse effect on our business, financial condition and results of operations, as well as the price of our ADSs. While Ukraine remains the only country so far to introduce sanctions of this type, there can be no assurance that additional sanctions affecting the payments business will not be imposed by regulators in other countries in which we operate. These sanctions might also cause reputational damage and, as a result, adversely affect any potential international expansion plans we might have. See also “</w:t>
      </w:r>
      <w:r>
        <w:rPr>
          <w:rFonts w:eastAsia="Arial" w:asciiTheme="majorHAnsi" w:hAnsiTheme="majorHAnsi" w:cstheme="majorHAnsi"/>
          <w:i/>
          <w:iCs/>
          <w:lang w:eastAsia="ru-RU"/>
        </w:rPr>
        <w:t>– The conflict between Russia and Ukraine, and particularly its 2022 escalation, the US, EU, UK and other countries’ sanctions that have been imposed in connection therewith, the resulting negative implications on the Russian economy, and the measures that are being adopted by Russia in response, could adversely impact our operations and financial condition</w:t>
      </w:r>
      <w:r>
        <w:rPr>
          <w:rFonts w:eastAsia="Arial" w:asciiTheme="majorHAnsi" w:hAnsiTheme="majorHAnsi" w:cstheme="majorHAnsi"/>
          <w:lang w:eastAsia="ru-RU"/>
        </w:rPr>
        <w:t>”.</w:t>
      </w:r>
    </w:p>
    <w:p w:rsidR="009534E2" w:rsidRDefault="003369EB">
      <w:pPr>
        <w:rPr>
          <w:rFonts w:eastAsia="Arial" w:asciiTheme="majorHAnsi" w:hAnsiTheme="majorHAnsi" w:cstheme="majorHAnsi"/>
          <w:lang w:eastAsia="ru-RU"/>
        </w:rPr>
      </w:pPr>
      <w:r>
        <w:rPr>
          <w:rFonts w:eastAsia="Arial" w:asciiTheme="majorHAnsi" w:hAnsiTheme="majorHAnsi" w:cstheme="majorHAnsi"/>
          <w:lang w:eastAsia="ru-RU"/>
        </w:rPr>
        <w:br w:type="page"/>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i/>
          <w:iCs/>
          <w:lang w:eastAsia="ru-RU"/>
        </w:rPr>
        <w:t>New Regulations Outside of Russia</w:t>
      </w:r>
    </w:p>
    <w:p w:rsidR="009534E2" w:rsidRDefault="003369EB">
      <w:pPr>
        <w:keepLines/>
        <w:spacing w:after="200"/>
        <w:ind w:firstLine="461"/>
        <w:rPr>
          <w:rFonts w:eastAsia="Times New Roman" w:asciiTheme="majorHAnsi" w:hAnsiTheme="majorHAnsi" w:cstheme="majorHAnsi"/>
        </w:rPr>
      </w:pPr>
      <w:r>
        <w:rPr>
          <w:rFonts w:eastAsia="Arial" w:asciiTheme="majorHAnsi" w:hAnsiTheme="majorHAnsi" w:cstheme="majorHAnsi"/>
          <w:lang w:eastAsia="ru-RU"/>
        </w:rPr>
        <w:t>The regulatory framework around electronic payments and other financial services that we offer is constantly in a state of development in most of the countries in which we operate, including the United Arab Emirates, Kazakhstan, Belarus and the UK. New laws that are being adopted in these countries may increase our compliance costs and create new regulatory risks. For example, on January 1, 2017, the Regulatory Framework for Stored Values and Electronic Payment Systems came into force in the United Arab Emirates. It introduced a mandatory licensing and related compliance regime for certain electronic payment service providers and established a one-year transitional period for existing digital payment services providers to take appropriate measures to comply with the new rules. In case of failure to do so payment services providers may be mandated to cease provision of such services. Moreover, any individual or entity providing (or representing themselves as capable of providing) digital payment services without the appropriate license or authorization will be subject to administrative penalties. Even though such legislation has been in effect for several years now, there still remains a lack of clarity as to the interpretation of many of its provisions, and we are still assessing the applicability and potential impact of this legislation on our business. If our position on our status under the Regulatory Framework is different from that of the UAE regulator or if we are unable to comply with the mandatory licensing if it is deemed applicable to us, it could have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i/>
          <w:iCs/>
          <w:lang w:eastAsia="ru-RU"/>
        </w:rPr>
        <w:t>Privacy and Protection of User Data</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We are subject to a number of laws, rules, directives, and regulations (which we refer to as “privacy and data protection laws”) relating to the collection, use, retention, security, processing, and transfer (which we collectively refer to as “processing”) of personally identifiable information about our customers and employees (which we refer to as “personal data”) in the countries where we operate. Our business relies on the processing of personal data in many jurisdictions and the movement of data across national borders. As a result, much of the personal data that we process, which may include certain financial information associated with individuals, is regulated by multiple privacy and data protection laws and, in some cases, the privacy and data protection laws of multiple jurisdictions. In many cases, these laws apply not only to third-party transactions, but also to transfers of information between or among us, our subsidiaries, and other parties with which we have commercial relationships.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 xml:space="preserve">Regulatory scrutiny of privacy, data protection, cybersecurity practices, and the processing of personal data is increasing around the world. There is uncertainty associated with the legal and regulatory environment relating to privacy and data protection laws, which continue to develop in ways we cannot predict, including with respect to evolving technologies such as cloud computing, artificial intelligence, and blockchain technology. Any failure or perceived failure to comply with existing or new laws of any government authority (including changes to or expansion of the interpretation of those laws), including those discussed in this risk factor, may subject us to significant fines, penalties, civil lawsuits, and enforcement actions in one or more jurisdictions, result in additional compliance requirements, increase regulatory scrutiny of our business, restrict our operations, and force us to change our business practices, make product or operational changes, or delay planned product launches or improvements. See also “– </w:t>
      </w:r>
      <w:r>
        <w:rPr>
          <w:rFonts w:eastAsia="Arial" w:asciiTheme="majorHAnsi" w:hAnsiTheme="majorHAnsi" w:cstheme="majorHAnsi"/>
          <w:i/>
          <w:iCs/>
          <w:lang w:eastAsia="ru-RU"/>
        </w:rPr>
        <w:t>Unauthorized or improper disclosure of data, whether through cybersecurity breaches, computer viruses or otherwise, could expose us to direct loss, liability, protracted and costly litigation and damage our reputation</w:t>
      </w:r>
      <w:r>
        <w:rPr>
          <w:rFonts w:eastAsia="Arial" w:asciiTheme="majorHAnsi" w:hAnsiTheme="majorHAnsi" w:cstheme="majorHAnsi"/>
          <w:lang w:eastAsia="ru-RU"/>
        </w:rPr>
        <w:t>".</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Any failure, or perceived failure, by us to comply with our privacy policies as communicated to users could result in proceedings or actions against us by data protection authorities, government entities or others, including class action privacy litigation in certain jurisdictions. Such proceedings or actions could subject us to significant fines, penalties, judgments, and negative publicity which may materially harm our business. The foregoing may require us to change our business practices and would likely increase the costs and complexity of compliance. In addition, compliance with inconsistent privacy and data protection laws may restrict our ability to provide products and services to our customers.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i/>
          <w:iCs/>
          <w:lang w:eastAsia="ru-RU"/>
        </w:rPr>
        <w:t>Taxi Market Regulation</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In Russia, ride-hailing services work with taxi drivers directly or through fleet management companies or taxi companies, which in turn engage taxi drivers as self-employed entrepreneurs. In one of our lines of business, we provide payment solution to taxi companies that is similar in nature to salary programs for taxi drivers. In addition, we have developed a "Taxiaggregator" product for taxi companies and taxi drivers that facilitates and speeds up payments to taxi drivers.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Ride-hailing services regulation is constantly developing in Russia. In 2022, a new law was introduced that we believe will significantly change the regulatory framework of the ride-hailing market in Russia starting from September 1, 2023. Among other things, the new law envisages drivers entering intoan employment agreement with the ride-hailing platforms as well as remaining self-employed individuals and continue working as a taxi drivers using these ride-hailing platforms. Such a clarification is favorable for our "Taxiaggregator" product which depends on a payment volume going through the self-employed individuals. In addition, the law clarifies terms of cooperation among fleet management companies or taxi companies and taxi drivers and imposes additional regulatory requirements on all participants of the ride-hailing market, introduces additional payment order reporting requirements, including the requirement to grant automatic access to ride-hailing company’s order processing databases to Russian authorities. If we are are unable to adjust and meet these requirements or if similarly adverse initiatives are adopted in the future, our products developed for this market may become obsolete, and we may also experience a negative impact on the use base of our e-wallets.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Subsequent legislation and regulation in various markets of our presence and interpretations thereof, litigation, court rulings, or other events could expose us to increased costs, liability and reputational damage that could have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Events outside of our control, including public health crises and political instability, may negatively affect consumer spending and our business.</w:t>
      </w:r>
    </w:p>
    <w:p w:rsidR="009534E2" w:rsidRDefault="003369EB">
      <w:pPr>
        <w:keepLines/>
        <w:spacing w:after="200"/>
        <w:ind w:firstLine="461"/>
        <w:rPr>
          <w:rFonts w:eastAsia="Times New Roman" w:asciiTheme="majorHAnsi" w:hAnsiTheme="majorHAnsi" w:cstheme="majorHAnsi"/>
        </w:rPr>
      </w:pPr>
      <w:r>
        <w:rPr>
          <w:rFonts w:eastAsia="Arial" w:asciiTheme="majorHAnsi" w:hAnsiTheme="majorHAnsi" w:cstheme="majorHAnsi"/>
          <w:lang w:eastAsia="ru-RU"/>
        </w:rPr>
        <w:t>Our operations are susceptible to public health crises, such as pandemics and epidemics, political instability or other events outside of our control. These types of events could have a negative effect on consumer spending and result in unpredictable declines in business activity in various industries that we serve.</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The escalation of the Ukraine conflict and the resulting political instability and international actions in response to it have had an adverse effect on the Russian economy in 2022, resulting in, among other things, significant currency rate volatility, the imposition of currency controls, increased levels of migration from Russia, materially increased interest rates and inflation, and are reportedly likely to have a significant negative implications on the Russian economy. As the conflict and the current geopolitical crisis is rapidly evolving, and further sanctions may be imposed against Russia, it is difficult to accurately predict how it will unravel and what response or retaliatory measures the Russian government may introduce in the future, and the impact of the sanctions and response measures on our business. See “– </w:t>
      </w:r>
      <w:r>
        <w:rPr>
          <w:rFonts w:eastAsia="Arial" w:asciiTheme="majorHAnsi" w:hAnsiTheme="majorHAnsi" w:cstheme="majorHAnsi"/>
          <w:i/>
          <w:iCs/>
          <w:lang w:eastAsia="ru-RU"/>
        </w:rPr>
        <w:t>The conflict between Russia and Ukraine, and particularly its 2022 escalation, the US, EU, UK and other countries’ sanctions that have been imposed in connection therewith, the resulting negative implications on the Russian economy, and the measures that are being adopted by Russia in response, could adversely impact our operations and financial condition</w:t>
      </w:r>
      <w:r>
        <w:rPr>
          <w:rFonts w:eastAsia="Arial" w:asciiTheme="majorHAnsi" w:hAnsiTheme="majorHAnsi" w:cstheme="majorHAnsi"/>
          <w:lang w:eastAsia="ru-RU"/>
        </w:rPr>
        <w:t>”.</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In addition, public health crises have also had and may continue to have a negative effect on our business. For example, in December 2019, a novel strain of coronavirus surfaced in Wuhan, China, which has resulted in the temporary closure of many corporate offices, retail stores, and manufacturing facilities and factories across China. The virus then quickly spread out across Europe and the Americas, resulting in various “shelter-in-place” regulations, lockdowns, curfews, bans on international travel, cancellations of public events, and supply chain disruptions, which significantly contributed to deteriorating macroeconomic conditions, business closures, higher unemployment and decrease in consumer confidence throughout the world, including Russia and other countries in which we operate. </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The negative effects of the coronavirus on our business included a decline in revenues from our betting merchants due to the cancellation of numerous major sporting events, a drop in money remittance primarily due to a decline in payments to self-employed individuals due to an overall contraction of business activity, and a decline in the use of our kiosk network. The COVID-19 outbreak has required significant management attention, substantial investments of time and resources across our enterprise, and increased costs to effectively manage our operations. A new outbreak of COVID-19 or any of its variants may have similar or more severe effects on the macroeconomic conditions and business environment in the countries where we operate and require us to make significant modifications to our business practices, any of which could have a material adverse effect on our business and operating results.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We may not be able to complete or integrate successfully any potential future acquisitions, partnerships or joint ventures.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From time to time, we have evaluated and expect to continue to evaluate possible acquisition transactions, partnerships or joint ventures, some of which may be material. At any time, including currently, we may be engaged in discussions or negotiations or diligence evaluations with respect to possible acquisitions, partnerships or joint ventures or may have entered into non-binding documents in relation to such transactions. As part of our strategy, we intend to continue our disciplined approach to identifying, executing and integrating strategic acquisitions, partnerships and joint ventures.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In response to sanctions introduced by other countries against Russia and Russian businesses and individuals in connection with the Ukraine conflict, the Russian government has imposed and is continuing to consider restrictions on foreign companies executing transactions with Russian assets, including business acquisitions. As the scope of these restrictions and related regulatory guidance is constantly evolving, these restrictions may affect our ability to successfully execute possible acquisition transactions in the future.</w:t>
      </w:r>
    </w:p>
    <w:p w:rsidR="009534E2" w:rsidRDefault="003369EB">
      <w:pPr>
        <w:spacing w:after="200"/>
        <w:ind w:firstLine="461"/>
        <w:rPr>
          <w:rFonts w:eastAsia="Arial" w:asciiTheme="majorHAnsi" w:hAnsiTheme="majorHAnsi" w:cstheme="majorHAnsi"/>
        </w:rPr>
      </w:pPr>
      <w:r>
        <w:rPr>
          <w:rFonts w:eastAsia="Times New Roman" w:asciiTheme="majorHAnsi" w:hAnsiTheme="majorHAnsi" w:cstheme="majorHAnsi"/>
        </w:rPr>
        <w:t>Potential future acquisitions, partnerships and joint ventures may pose significant risks to our existing operations if we acquire businesses that prove not to be a good fit for our organization, fail to perform the necessary due diligence on the relevant targets, overestimate their anticipated contribution to our business, overvalue them or fail to successfully integrate them. These projects would place additional demands on our managerial, operational, financial and other resources, create operational complexity requiring additional personnel and other resources as well as enhanced control procedures. In addition, we may not be able to successfully finance or integrate any businesses, services or technologies that we acquire or with which we form a partnership or joint venture. Furthermore, the integration of any acquisition may divert management’s time and resources from our main business and disrupt our operations. Moreover, even if we were successful in integrating newly acquired assets, expected synergies or cost savings may not materialize, resulting in lower than expected benefits to us from such transactions. We may spend time and money on projects that fail to perform in line with our expectations or require financing in excess of what we were budgeting at the time of the acquisition. Additionally, when making acquisitions it may not be possible for us to conduct a detailed investigation of the nature of the assets being acquired due to, for instance, time constraints in making the decision and other factors. We may become responsible for additional liabilities or obligations not foreseen at the time of an acquisition. In addition, in connection with any acquisitions, we must comply with various antitrust requirements. It is possible that perceived or actual violations of these requirements could give rise to regulatory enforcement action or result in us not receiving all necessary approvals in order to complete a desired acquisition. To the extent we pay the purchase price of any acquisition in cash, it would reduce our cash reserves, and to the extent the purchase price is paid with our shares, it could be dilutive to our shareholders. In the event we pay the purchase price with proceeds from the incurrence of debt, it would increase our level of indebtedness and could negatively affect our liquidity and restrict our operations. Our competitors may be willing or able to pay more than us for acquisitions, which may cause us to lose certain acquisitions that we would otherwise desire to complete. We may also face counterparty and credit risks in connection with acquisitions, partnerships and joint ventures in the event our counterparties fail to perform their obligations. In Russia, acquisitions, partnerships and joint ventures are also complicated by the lack of strong judicial protection for non-competition and non-solicitation covenants, which are often unenforceable as a result. Joint ventures also carry specific risks such as potential disagreements with partners about the management and strategy of the JV, adverse actions by JV partners prompted by such disagreements or otherwise, and reliance on JV partners for the development of the JV’s business and resulting inability to continue development of the venture in the event the relationship with the partner is terminated. Any or all of the above risks could have a material adverse effect on our business, results of operations, financial condition, and prospects.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Our compliance processes, procedures and controls with respect to the rules and regulations that apply to our business may prove insufficient.</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Our business has grown and developed rapidly in recent years and we are continuing to realign our compliance function with the size and scope of our business. In light of the fact that we are a highly regulated business that processes large volumes of payments, we need to have enhanced processes, procedures and controls in order to provide reasonable assurance that we are operating in compliance with applicable regulatory requirements. Given that we store and/or transmit sensitive data of our customers, we have ultimate liability to our customers for our failure to protect this data. We have experienced breaches of our cybersecurity in the past, and future breaches resulting in unauthorized disclosure of data are possible (see “– </w:t>
      </w:r>
      <w:r>
        <w:rPr>
          <w:rFonts w:eastAsia="Arial" w:asciiTheme="majorHAnsi" w:hAnsiTheme="majorHAnsi" w:cstheme="majorHAnsi"/>
          <w:i/>
          <w:iCs/>
          <w:lang w:eastAsia="ru-RU"/>
        </w:rPr>
        <w:t>Our services have been and may continue to be used for fraudulent, illegal or improper purposes, which could expose us to additional liability and harm our business</w:t>
      </w:r>
      <w:r>
        <w:rPr>
          <w:rFonts w:eastAsia="Arial" w:asciiTheme="majorHAnsi" w:hAnsiTheme="majorHAnsi" w:cstheme="majorHAnsi"/>
          <w:lang w:eastAsia="ru-RU"/>
        </w:rPr>
        <w:t>”). In addition, the Russian anti-money laundering laws to which we are subject contain numerous requirements with respect to identification of clients, and documentation and reporting of transactions subject to mandatory control and other suspicious transactions to the relevant authorities.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As of the date of this annual report, we continue to develop and integrate certain control procedures with respect to a number of our projects in order to maintain a comprehensive system of controls and procedures across our business. There can be no assurance, however, that the measures we undertake will be sufficient to prevent significant deficiencies in the compliance procedures and internal controls of our projects, such as RealWeb, acquired in December, 2022, which was excluded from the assessment of the effectiveness of the Group’s internal control over financial reporting (see Item 15 “</w:t>
      </w:r>
      <w:r>
        <w:rPr>
          <w:rFonts w:eastAsia="Arial" w:asciiTheme="majorHAnsi" w:hAnsiTheme="majorHAnsi" w:cstheme="majorHAnsi"/>
          <w:i/>
          <w:iCs/>
          <w:lang w:eastAsia="ru-RU"/>
        </w:rPr>
        <w:t>Controls and Procedures</w:t>
      </w:r>
      <w:r>
        <w:rPr>
          <w:rFonts w:eastAsia="Arial" w:asciiTheme="majorHAnsi" w:hAnsiTheme="majorHAnsi" w:cstheme="majorHAnsi"/>
          <w:lang w:eastAsia="ru-RU"/>
        </w:rPr>
        <w:t>”). Our failure to implement and maintain effective internal control over financial reporting could result in errors in our financial statements that could lead to a restatement of our financial statements, cause us to fail to meet our reporting obligations and cause investors to lose confidence in our reported financial information, which may result in a decline in the market price of our ADSs.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Among others, we are subject to the US Foreign Corrupt Practices Act, or the FCPA, which prohibits US companies and their intermediaries from bribing foreign officials for the purpose of obtaining or keeping business or otherwise obtaining favorable treatment, and other laws concerning our international operations. Similar legislation in other jurisdictions contains similar prohibitions, although varying in both scope and jurisdiction. We have implemented policies and procedures and internal controls designed to provide reasonable assurance that we, our employees, distributors and other intermediaries comply with the anti-corruption laws to which we are subject. However, there are inherent limitations to the effectiveness of any policies, procedures and internal controls, including the possibility of human error and the circumvention or overriding of the policies, procedures and internal controls. There can be no assurance that such policies or procedures or internal controls will work effectively at all times or protect us against liability under these or other laws for actions taken by our employees, distributors and other intermediaries with respect to our business or any businesses that we may acquire.</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Our success requires significant public confidence in our ability to handle large and growing payment volumes and amounts of customer funds, as well as comply with applicable regulatory requirements. Any failure to manage consumer funds or to comply with applicable regulatory requirements could result in the imposition of fines, harm our reputation and significantly diminish use of our products. In addition, if we are not in compliance with anti-corruption laws and other laws governing the conduct of business with government entities and/or officials (including local laws), we may be subject to criminal and civil penalties and other remedial measures, which could have an adverse impact on our business, financial condition, results of operations and prospects.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Our systems and our third-party providers’ systems may fail due to factors beyond our control, which could interrupt our service, cause us to lose business and increase our costs.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We depend on the efficient and uninterrupted operation of numerous systems, including our computer systems, software and telecommunications networks, as well as the data centers that we lease from third parties. Our systems and operations, or those of our third-party providers, could be exposed to damage or interruption from, among other things, fire, flood, natural disaster, power loss, telecommunications failure, vendor failure, unauthorized entry, improper operation and computer viruses. In addition, because all three of our data centers used for processing payments are located in the city of Moscow, a catastrophic event affecting the city of Moscow may result in the loss of all of three of our data centers. Substantial property and equipment loss, and disruption in operations as well as any defects in our systems or those of third parties or other difficulties could expose us to liability and materially adversely impact our business, financial condition and results of operations in all of our operating segments. In addition, any outage or disruptive efforts could adversely impact our reputation, brand and future prospects.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Unauthorized or improper disclosure of data, whether through cybersecurity breaches, computer viruses or otherwise, could expose us to direct loss, liability, protracted and costly litigation and damage our reputation.</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We store and/or transmit sensitive data, such as credit or debit card numbers, mobile phone numbers and other personal data, and we have ultimate liability to our customers for our failure to protect this data. Numerous and evolving cybersecurity threats, including advanced and persisting cyberattacks, cyberextortion, spear phishing and social engineering schemes, the introduction of computer viruses or other malware, and the physical destruction of all or portions of our information technology and infrastructure could compromise the confidentiality, availability, and integrity of the data in our systems. In the past, we have experienced breaches of our security by hackers in the past, and breaches could occur in the future. In such circumstances, our encryption of data and other protective measures did not prevent unauthorized access and may not be sufficient to prevent future unauthorized access. Any future breach of our system, including through employee fraud, may subject us to material losses or liability, including fines and claims for unauthorized purchases with misappropriated credit or debit card information, identity theft, impersonation or other similar fraud claims. Moreover, even in the absence of an emergency event such as a cyberbreach, we may at times be found to be not in compliance with applicable personal data processing and transfer legislation, which is actively developing and becoming increasingly complex throughout the world, including in Russia, with the governments throughout the world increasingly focusing on toughening controls over enforcement of this legislation. For instance, in 2022, Russian personal data regulation was amended to implement enhanced control by Russian state authorities over personal data leakages. Moreover, there is a legislative initiative in Russia to introduce fines for personal data leakage in the amount of up to 3% of the turnover in certain cases.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In addition, while we have not experienced any material cyberattacks or any other material cyber security issues in the past, since the 2022 escalation of the conflict between Russia and Ukraine we have registered an increase in the number of DDoS attacks in March and April 2022, which, however, did not have a material effect on our business operations (see "– </w:t>
      </w:r>
      <w:r>
        <w:rPr>
          <w:rFonts w:eastAsia="Arial" w:asciiTheme="majorHAnsi" w:hAnsiTheme="majorHAnsi" w:cstheme="majorHAnsi"/>
          <w:i/>
          <w:iCs/>
          <w:lang w:eastAsia="ru-RU"/>
        </w:rPr>
        <w:t>The conflict between Russia and Ukraine, and particularly its 2022 escalation, the US, EU, UK and other countries’ sanctions that have been imposed in connection therewith, the resulting negative implications on the Russian economy, and the measures that are being adopted by Russia in response, could adversely impact our operations and financial condition</w:t>
      </w:r>
      <w:r>
        <w:rPr>
          <w:rFonts w:eastAsia="Arial" w:asciiTheme="majorHAnsi" w:hAnsiTheme="majorHAnsi" w:cstheme="majorHAnsi"/>
          <w:lang w:eastAsia="ru-RU"/>
        </w:rPr>
        <w:t xml:space="preserve">"). While, in line with our information security policy and strategy, we are constantly developing and enhancing our security systems and infrastructure (most recently, increasing our server capacity by adding additional DNS servers in 2022) and regularly monitor compliance with information security requirements, we may still be exposed to similar attacks on a larger scale or more severe attacks, any of which may have a material adverse effect on our operations. </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 misuse of sensitive data, including personal data, or a cybersecurity breach could harm our reputation and deter clients from using electronic payments as well as kiosks and terminals generally and any of our services specifically, increase our operating expenses in order to correct the breaches or failures, expose us to uninsured liability, increase our risk of regulatory scrutiny, subject us to lawsuits, result in the imposition of material penalties and fines by state authorities and otherwise materially adversely affect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Customer complaints, actual or perceived failures of our customer service function or negative publicity about our customer service could materially adversely affect the attractiveness of our services.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Customer complaints, actual or perceived failures of our customer service function or negative publicity about our customer service could diminish consumer confidence in, and the attractiveness of, our services. Breaches of our consumers’ privacy and our security systems could have the same effect. We sometimes take measures to combat risks of fraud and breaches of privacy and security, such as freezing consumer funds or rejecting in opening an account, which could damage relations with our consumers. These measures heighten the need for prompt and attentive customer service to resolve irregularities and disputes. In addition, we have previously received negative media coverage regarding customer disputes. Moreover, some of our products compete to a large extent on the basis of enhanced customer service and attention to customers, and are vulnerable to any customer complaints or actual or perceived decline in service levels. Any failure on our part to continue to provide customers with the level of service they have come to expect could harm our reputation significantly. Effective customer service requires significant personnel expense, and this expense, if not managed properly, could impact our profitability significantly. Any inability by us to manage or train our customer service representatives properly could compromise our ability to handle customer complaints effectively. If we fail to provide customer service at the level our clients expect from us or do not handle customer complaints effectively, our reputation may suffer and we may lose our customers’ confidence, which could have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Our agreements with most of our counterparties, including our agents, merchants and other partners, do not include exclusivity clauses and may be terminated unilaterally at any time or at short notice.</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We normally do not include exclusivity clauses in our agreements with our counterparties, including our agents, merchants and other partners. Accordingly, our counterparties usually do not have any restrictions on dealings with other providers and can switch from our payment processing system to another or disconnect from our system or platform without significant investment. Additionally, due to mandatory provisions of Russian civil law, our agreements with agents may be unilaterally terminated by the agents at any time, and our agreements with merchants and other counterparties may be unilaterally terminated at a short prior notice. The termination of our contracts with existing agents, merchants or other partners, or a significant decline in the amount of business we do with them as a result of our contracts not having exclusivity clauses could have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Our services have been and may continue to be used for fraudulent, illegal or improper purposes, which could expose us to additional liability and harm our business.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Despite measures we have taken and continue to take, our services have been and may continue to be used for fraudulent, illegal or improper purposes. These include use of our payment and other financial services in connection with fraudulent sales of goods or services, illicit sales of prescription medications or controlled substances, illegal online gambling, software and other intellectual property piracy, money laundering, bank fraud, terrorist financing, trafficking, and prohibited sales of restricted products.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Criminals are using increasingly sophisticated methods to engage in illegal activities. It is possible that fraudulent, illegal or improper use of our services could increase in the future. Our risk management policies and procedures may not be fully effective to identify, monitor and manage these risks, and we may from time to time not be able to identify merchants who are engaged in illegal activities, particularly if we work with them indirectly through payment aggregators since we generally do not perform full know-your-customer procedures with respect to each merchant engaged by such aggregators and rely on the aggregators to vet their merchants appropriately. Furthermore, the regulators’ interpretation of what constitutes illegal activities is subject to change, and their interpretation of applicable laws may differ from ours. We are also not able to monitor in each case the sources for our counterparties’ funds or the ways in which they use them. Increases in chargebacks or other liability could have a material adverse effect on our business, financial condition and results of operations. An increase in fraudulent transactions or publicity regarding chargeback disputes could harm our reputation and reduce consumer confidence in the use of our products and services.</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The perceived risk of the use of e-payments or other financial services to finance fraudulent, illegal or improper activities is causing the regulators to impose restrictions on the operations of the providers of such services that negatively affect regular compliant transactions and operations as well. See “</w:t>
      </w:r>
      <w:r>
        <w:rPr>
          <w:rFonts w:eastAsia="Arial" w:asciiTheme="majorHAnsi" w:hAnsiTheme="majorHAnsi" w:cstheme="majorHAnsi"/>
          <w:i/>
          <w:iCs/>
          <w:lang w:eastAsia="ru-RU"/>
        </w:rPr>
        <w:t>– Know-your-client requirements established by Russian anti-money laundering legislation may adversely impact our transaction volumes</w:t>
      </w:r>
      <w:r>
        <w:rPr>
          <w:rFonts w:eastAsia="Arial" w:asciiTheme="majorHAnsi" w:hAnsiTheme="majorHAnsi" w:cstheme="majorHAnsi"/>
          <w:lang w:eastAsia="ru-RU"/>
        </w:rPr>
        <w:t>” and “</w:t>
      </w:r>
      <w:r>
        <w:rPr>
          <w:rFonts w:eastAsia="Arial" w:asciiTheme="majorHAnsi" w:hAnsiTheme="majorHAnsi" w:cstheme="majorHAnsi"/>
          <w:i/>
          <w:iCs/>
          <w:lang w:eastAsia="ru-RU"/>
        </w:rPr>
        <w:t>– If we cannot keep pace with rapid developments and change in our industry and provide new services to our clients, or if any of the new products we roll out are unsuccessful, the use of our services could decline, and we could experience a decline in revenue and an inability to recoup costs</w:t>
      </w:r>
      <w:r>
        <w:rPr>
          <w:rFonts w:eastAsia="Arial" w:asciiTheme="majorHAnsi" w:hAnsiTheme="majorHAnsi" w:cstheme="majorHAnsi"/>
          <w:lang w:eastAsia="ru-RU"/>
        </w:rPr>
        <w:t>”. While we already undertake efforts to cut off or refuse to engage merchants and users who appear to be engaged in illegal activities from our network, the relevant state authorities could further increase their enforcement measures against such merchants and users, including through the introduction of new legislation. In the event that we are required to cease working with a significant number of merchants or payment aggregators, or shut down a significant number of wallets, as a result of such actions, our revenue and our profitability could materially decline.</w:t>
      </w:r>
    </w:p>
    <w:p w:rsidR="009534E2" w:rsidRDefault="003369EB">
      <w:pPr>
        <w:spacing w:after="200"/>
        <w:ind w:firstLine="461"/>
        <w:rPr>
          <w:rFonts w:eastAsia="Arial" w:asciiTheme="majorHAnsi" w:hAnsiTheme="majorHAnsi" w:cstheme="majorHAnsi"/>
          <w:lang w:eastAsia="ru-RU"/>
        </w:rPr>
      </w:pPr>
      <w:r>
        <w:rPr>
          <w:rFonts w:eastAsia="Times New Roman" w:asciiTheme="majorHAnsi" w:hAnsiTheme="majorHAnsi" w:cstheme="majorHAnsi"/>
          <w:lang w:eastAsia="ru-RU"/>
        </w:rPr>
        <w:t>It has been reported that peer-to-peer transfers through regular retail banks and payment services providers such as ourselves may be increasingly used in Russia in various illegal activities, including by illicit forex dealers, online casinos, cryptocurrencies exchanges and peer-to-peer exchange offices, scammers, etc. Recognizing this industry-wide problem, in September 2021 the CBR introduced heightened scrutiny recommendations with respect to peer-to-peer transactions. These recommendations require financial institutions such as ourselves to track transactions that are deemed suspicious under the various criteria imposed by the recommendations, cancel or block such suspicious transactions under certain circumstances and terminate relationships with the relevant clients carrying out such transactions. For instance, such criteria designate as suspicious operations of clients with unusual number of individuals as counterparties or if the volume of operations exceeds certain threshold. Due to the broad scope of suspiciousness criteria, in practice suspicious transactions may be difficult to distinguish from legitimate peer-to-peer transfers or payments to private accounts of small entrepreneurs that provide perfectly legal services. It is likely that certain bona fide operations that do not involve anything illegal or improper may be affected by the new regulations as the market participants, including our company, seek to institute controls aimed at compliance with the new guidelines. Since the beginning of 2022 the CBR has been collecting from credit institutions specialized reports focused specifically on their peer-to-peer transactions which may negatively affect the volume of the peer-to-peer transfers in Russia generally (and our respective volumes in particular). If we experience a decline in our peer-to-peer transfers volume, or if we are found to be in violation of the new regulations due to any differences in ours and the regulator's interpretation thereof, our business, financial condition and results of operations could be materially adversely affected.</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Any resulting claims could damage our reputation and any resulting liabilities (including the revocation of applicable banking licenses or significant fines), the loss of transaction volume, decline in the number of customers or increased costs could have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Our business is exposed to counterparty and credit risks.</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 xml:space="preserve">In our Payment Services segment, we seek to sell services on a prepayment basis or to ensure that our counterparties have low credit risk profiles, such as large merchants and agents. Nevertheless, we are exposed to the risk of non-payment or other default under our contracts with our agents and merchants. If we provide trade credit or loans to an agent and we are unable to collect loans or proceeds paid to the agent by its consumers due to the agent’s insolvency, fraud or otherwise, we must nonetheless complete the payment to the merchant on behalf of the consumer. As a result, our losses would not be limited to a loss of revenue in the form of fees due to us from the agent, but could amount to the entire amount of consumer payments accepted by such agent for a certain period of time. </w:t>
      </w:r>
      <w:r>
        <w:rPr>
          <w:rFonts w:eastAsia="Times New Roman" w:asciiTheme="majorHAnsi" w:hAnsiTheme="majorHAnsi" w:cstheme="majorHAnsi"/>
          <w:lang w:eastAsia="ru-RU"/>
        </w:rPr>
        <w:t xml:space="preserve">We also face counterparty risk in connection with the bank guarantees and </w:t>
      </w:r>
      <w:r>
        <w:rPr>
          <w:rFonts w:eastAsia="Arial" w:asciiTheme="majorHAnsi" w:hAnsiTheme="majorHAnsi" w:cstheme="majorHAnsi"/>
          <w:lang w:eastAsia="ru-RU"/>
        </w:rPr>
        <w:t>lending products of our ROWI project, such as loans for public contractors and marketplaces suppliers.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We also have significant receivables due from some of our merchants and agents, and may not recover these receivables in the event of such merchants’ bankruptcy or otherwise. As of December 31, 2022, we had credit exposure to our agents of RUB 4,060 million and to our merchants of RUB 6,756 million. Our receivables from merchants are generally non-interest bearing and unsecured, while our receivables and loans from agents are generally interest-bearing and unsecured. Although we monitor the creditworthiness of our counterparties on an ongoing basis, there can be no assurance that the models and approaches we use to assess and monitor their creditworthiness will be sufficiently predictive, and we may be unable to detect and take steps to timely mitigate an increased credit risk.</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In addition to the above sources of credit risk, as of December 31, 2022, we had credit exposure to our counterparties in connection with our ROWI project factoring portfolio of RUB 12.6 billion, guarantees for third party obligations (primarily in connection with our digital bank guarantee services) in the amount of RUB 81.5 billion, and loans relating to our ROWI project of RUB 2.1 billion.</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If we experience material defaults by our consumers, agents, merchants, or other partners, our business, financial condition and results of operations could be materially adversely affected.</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We are subject to fluctuations in currency exchange rates.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 xml:space="preserve">We are exposed to currency risks. Our financial statements are expressed in Russian rubles, while our revenues and expenses outside Russia are in local currencies and some of our assets and liabilities are in foreign currencies (see “– </w:t>
      </w:r>
      <w:r>
        <w:rPr>
          <w:rFonts w:eastAsia="Arial" w:asciiTheme="majorHAnsi" w:hAnsiTheme="majorHAnsi" w:cstheme="majorHAnsi"/>
          <w:i/>
          <w:iCs/>
          <w:lang w:eastAsia="ru-RU"/>
        </w:rPr>
        <w:t>Quantitative and Qualitative Disclosures About Market Risk – Foreign Exchange Risk</w:t>
      </w:r>
      <w:r>
        <w:rPr>
          <w:rFonts w:eastAsia="Arial" w:asciiTheme="majorHAnsi" w:hAnsiTheme="majorHAnsi" w:cstheme="majorHAnsi"/>
          <w:lang w:eastAsia="ru-RU"/>
        </w:rPr>
        <w:t>”). In addition, in 2022, we have increased our currency position in the absence of dividend payments. Accordingly, our results of operations and assets and liabilities are exposed to fluctuations in exchange rates between the ruble and such other currencies. Changes in currency exchange rates also affect the carrying value of assets on our consolidated statement of financial position, which, depending on the statement of financial position classification of the relevant asset, can result in losses on our consolidated statement of financial position. In addition, because our earnings are primarily denominated in Russian rubles whereas our ADSs are quoted in US dollar, currency exchange rate fluctuations between the Russian ruble and the US dollar significantly affect the price of our ADSs.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 xml:space="preserve">Over the past ten years, the Russian ruble has fluctuated dramatically against the US dollar and the euro. Due to the economic sanctions imposed on certain Russian companies and individuals by the US, EU, Canada and other countries, as well as the volatility in oil prices, high inflation and a sharp capital outflow from Russia, the Russian ruble has significantly depreciated against the US dollar and the euro since the beginning of 2014 (see “ – </w:t>
      </w:r>
      <w:r>
        <w:rPr>
          <w:rFonts w:eastAsia="Arial" w:asciiTheme="majorHAnsi" w:hAnsiTheme="majorHAnsi" w:cstheme="majorHAnsi"/>
          <w:i/>
          <w:iCs/>
          <w:lang w:eastAsia="ru-RU"/>
        </w:rPr>
        <w:t>Economic instability in Russia could have an adverse effect on our business</w:t>
      </w:r>
      <w:r>
        <w:rPr>
          <w:rFonts w:eastAsia="Arial" w:asciiTheme="majorHAnsi" w:hAnsiTheme="majorHAnsi" w:cstheme="majorHAnsi"/>
          <w:lang w:eastAsia="ru-RU"/>
        </w:rPr>
        <w:t xml:space="preserve">”). According to the CBR, from December 31, 2014 to December 31, 2015 and from December 31, 2013 to December 31, 2014, the ruble has depreciated by 30% and 72% against the US dollar, respectively, and by 17% and 52% against the euro, respectively. From December 31, 2015 to December 31, 2016, the ruble appreciated somewhat against these currencies and remained relatively stable throughout 2017; however, depreciation of the ruble resumed in 2018 when its value fell 21% against the US dollar and 15% against the euro, in each case from December 31, 2017 to December 31, 2018. In 2019, the ruble/ US Dollar exchange rate was relatively stable with intermittent volatility, and was RUB 61.9 per US $1.00 on December 31, 2019. However, in the first quarter of 2020 the ruble again depreciated substantially and abruptly against the US dollar and the euro due to a steep decline in oil prices and has continued to be volatile throughout the year, ending it at RUB 73.88 per US $1.00 on December 31, 2020. The exchange rate mostly remained stable throughout 2021 and amounted to RUB 74.3 per US $1.00 on December 31, 2021. Another major decline occurred in early 2022 in the wake of the military conflict in Ukraine and resulting sanctions. By March 4, 2022, the official Central Bank-issued ruble exchange rate dropped to 111.76 per dollar, compared to 75.76 per dollar on February 21, immediately prior to the escalation, representing a 48% drop over the course of less than two weeks. The ruble regained much of the ground it lost by late March due to extreme protective measures adopted by the Russian government and the Central Bank, including a mandatory exchange of the majority of currency proceeds by exporters, prohibitively high commissions on foreign currency exchange by individuals, and other protective measures, ending the year at RUB 70.34 per US $1.00 on December 31, 2022 (see “– </w:t>
      </w:r>
      <w:r>
        <w:rPr>
          <w:rFonts w:eastAsia="Arial" w:asciiTheme="majorHAnsi" w:hAnsiTheme="majorHAnsi" w:cstheme="majorHAnsi"/>
          <w:i/>
          <w:iCs/>
          <w:lang w:eastAsia="ru-RU"/>
        </w:rPr>
        <w:t>We are subject to the economic risk and business cycles of our merchants, partners and agents and the overall level of consumer spending</w:t>
      </w:r>
      <w:r>
        <w:rPr>
          <w:rFonts w:eastAsia="Arial" w:asciiTheme="majorHAnsi" w:hAnsiTheme="majorHAnsi" w:cstheme="majorHAnsi"/>
          <w:lang w:eastAsia="ru-RU"/>
        </w:rPr>
        <w:t>”). It is likely that significant fluctuations will continue in the future, especially in response to the unravelling impact of the Ukraine conflict on the Russian economy and any measures that the Russian government may in response. Further fluctuations of the ruble could have a material adverse effect on our business, financial condition, results of operations and the price of our ADSs.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Regulatory authorities in Russia and Kazakhstan could determine that we hold a dominant position in our markets, and could impose limitations on our operational flexibility, which may adversely affect our business, financial condition and results of operations.</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The Russian anti-monopoly authorities impose various requirements on companies that occupy a dominant position in their markets. One of the important questions is to identify and define the relevant market, in which the entity in question operates. There are numerous aspects to be considered, including interchangeability or substitutability of the products and/or services for the consumer, their pricing and intended use. Different approaches may be applied in this respect by anti-monopoly authorities and the participants of the market. Thus, the state authorities may conclude that we hold a dominant position in one or more of the markets in which we operate. If they were to do so, this could result in limitations on our future acquisitions and a requirement that we pre-clear with the authorities any changes to our standard agreements with merchants and agents, as well as any specially negotiated agreements with business partners. In addition, if we were to decline to conclude a contract with a third party this could, in certain circumstances, be regarded as abuse of a dominant market position. Any abuse of a dominant market position could lead to administrative penalties and the imposition of a fine of up to 15% of our annual revenue for the previous year. These limitations if imposed may reduce our operational and commercial flexibility and responsiveness, which may adversely affect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We may not be able to successfully protect our intellectual property and may be subject to infringement claims.</w:t>
      </w:r>
    </w:p>
    <w:p w:rsidR="009534E2" w:rsidRDefault="003369EB">
      <w:pPr>
        <w:keepLines/>
        <w:spacing w:after="200"/>
        <w:ind w:firstLine="461"/>
        <w:rPr>
          <w:rFonts w:eastAsia="Times New Roman" w:asciiTheme="majorHAnsi" w:hAnsiTheme="majorHAnsi" w:cstheme="majorHAnsi"/>
        </w:rPr>
      </w:pPr>
      <w:r>
        <w:rPr>
          <w:rFonts w:eastAsia="Arial" w:asciiTheme="majorHAnsi" w:hAnsiTheme="majorHAnsi" w:cstheme="majorHAnsi"/>
          <w:lang w:eastAsia="ru-RU"/>
        </w:rPr>
        <w:t>We rely on a combination of contractual rights, copyright, trademark and trade secret laws to establish and protect our proprietary technology. We also maintain patents for certain of our technologies. We customarily require our employees and independent contractors to execute confidentiality agreements or otherwise to agree to keep our proprietary information confidential when their relationship with us begins. Typically, our employment contracts also include clauses requiring our employees to assign to us all of the inventions and intellectual property rights they develop in the course of their employment and to agree not to disclose our confidential information. Nevertheless, we may not be able to successfully protect our intellectual property at all times. Our agreements with software developers may not have always properly and unambiguously assigned the rights to software to us, and as such this software may be exposed to their claims. This is also often the case at various companies we have acquired throughout our history. Certain technologies that we have developed may not be fully and comprehensively protected by copyrights or patents and could therefore be exposed to theft or misuse. Third parties, including our competitors, may independently develop similar technology, duplicate our services or design around our intellectual property. Further, contractual arrangements may not prevent unauthorized disclosure of our confidential information or ensure an adequate remedy in the event of any unauthorized disclosure of our confidential information. Because of the limited protection and enforcement of intellectual property rights in certain jurisdictions in which we operate, such as Russia and CIS countries, our intellectual property rights may not be as protected as they may be in more developed markets such as the US. We may have to litigate to enforce or determine the scope or enforceability of our intellectual property rights (including trade secrets and know-how), which could be expensive, could cause a diversion of resources and may not prove successful. The loss of intellectual property protection could harm our business and ability to compete and could result in costly redesign efforts, discontinuance of certain service offerings or other competitive harm. Additionally, we do not hold any patents for our business model or our business processes, in part because our ability to obtain them in Russia is subject to legislative constraints, and we do not currently intend to obtain any such patents in Russia or elsewhere.</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We may also be subject to costly litigation in the event our services or technology are claimed to infringe, misappropriate or otherwise violate a third party’s intellectual property or proprietary rights. Such claims could include patent infringement, copyright infringement, trademark infringement, trade secret misappropriation or breach of licenses. In addition, while we seek to obtain copyright registration certificates for the critical software we develop, our rights to software obtained as works for hire might be potentially challenged by the employees and former employees or developers of such software. We may not be able to successfully defend against such claims, which may result in a limitation on our ability to use the intellectual property subject to these claims and also might require us to redesign affected services, enter into costly settlement or license agreements, pay costly damage awards, or face a temporary or permanent injunction prohibiting us from marketing or selling certain of our services. In such circumstances, if we cannot or do not license the infringed technology on reasonable terms or substitute similar technology from another source, our revenue and earnings could be adversely impacted. Additionally, non-practicing entities had and may continue in the future to acquire patents, make claims of patent infringement and attempt to extract settlements from companies in our industry. Even if we believe that such claims are without merit and successfully defend these claims, defending against such claims is time consuming and expensive and could result in the diversion of the time and attention of our management and employees.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We may use open source software in a manner that could be harmful to our business.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We use open source software in connection with our technology and services. The original developers of the open source code provide no warranties on such code. Moreover, some open source software licenses require users who distribute open source software as part of their software to publicly disclose all or part of the source code to such software and/or make available any derivative works of the open source code on unfavorable terms or at no cost. The use of such open source code may ultimately require us to replace certain code used in our products, pay a royalty to use some open source code or discontinue certain products. Any of the above requirements could be harmful to our business, financial condition and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Certain Russian companies are required to use primarily domestic Russia-produced software and hardware.</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 xml:space="preserve">In October 2020, a legislative initiative was publicized aiming to mandate the use of domestically-developed software and telecommunication and radio hardware with respect to critical digital infrastructure. On March 30, 2022, the Russian President issued a decree prohibiting the use of foreign hardware and software at critical digital infrastructure. Although the requirement will only apply to market participants that are deemed to operate critical digital infrastructure (which currently does not include our company), if this requirement is further extended to other players including ourselves or we are qualified by Russian state authorities as a critical digital infrastructure operator, it is possible that it could materially adversely affect our business, financial condition and results of operations. Since we use a lot of foreign-produced technologies and equipment, complying with these requirements may prove a challenge for us and is likely to result in significant operational costs. The switch to locally produced software and hardware may adversely affect the performance and safety features of the system and thus the quality of our services. See also “– </w:t>
      </w:r>
      <w:r>
        <w:rPr>
          <w:rFonts w:eastAsia="Arial" w:asciiTheme="majorHAnsi" w:hAnsiTheme="majorHAnsi" w:cstheme="majorHAnsi"/>
          <w:i/>
          <w:iCs/>
          <w:lang w:eastAsia="ru-RU"/>
        </w:rPr>
        <w:t>A vast majority of major Western businesses, including a number of companies whose products are important to our business, have withdrawn from, suspended, wound down or substantially scaled back activities in Russia</w:t>
      </w:r>
      <w:r>
        <w:rPr>
          <w:rFonts w:eastAsia="Arial" w:asciiTheme="majorHAnsi" w:hAnsiTheme="majorHAnsi" w:cstheme="majorHAnsi"/>
          <w:lang w:eastAsia="ru-RU"/>
        </w:rPr>
        <w:t>”.</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We do not have and may be unable to obtain sufficient insurance to protect ourselves from business risks.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The insurance industry in Russia is not yet fully developed, and many forms of insurance protection common in more developed countries are not yet fully available or are not available on comparable or commercially acceptable terms. Accordingly, while we hold certain mandatory types of insurance policies in Russia, we do not currently maintain insurance coverage for business interruption, property damage or loss of key management personnel as we have been unable to obtain these on commercially acceptable terms. We do not hold insurance policies to cover for any losses resulting from counterparty and credit risks or fraudulent transactions. We also do not generally maintain separate funds or otherwise set aside reserves for most types of business-related risks. Accordingly, our lack of insurance coverage or reserves with respect to business-related risks may expose us to substantial losses, which could materially adversely affect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In a dynamic industry like ours, the ability to attract, recruit, retain and develop qualified personnel is critical to our success and growth.</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Our business functions at the intersection of rapidly changing technological, social, economic and regulatory developments that require a wide-ranging set of expertise and intellectual capital. In order for us to compete and grow successfully, we must attract, recruit, retain and develop the necessary personnel who can provide the needed expertise across the entire spectrum of our intellectual capital needs. This is particularly true with respect to top management personnel as well as qualified and experienced software engineers and IT staff, who are highly sought after and are not in sufficient supply in Russia and in most other markets in which we operate. The market for such personnel is highly competitive, and we may not succeed in recruiting additional personnel or may fail to replace effectively current personnel who depart with qualified or effective successors. A failure to replace departing personnel in an efficient and timely manner might result in improper functioning or failures of our systems and technologies, since our know-how may not always be properly institutionalized and instead is reliant on the expertise of specific employees, which we may not be able to replace immediately in the event of their departure. Our efforts to retain and develop personnel may result in significant additional expenses, which could adversely affect our profitability. We currently do not have a market standard long-term incentive plan due to the refusal by our shareholders to approve the disapplication of pre-emptive rights (see “– </w:t>
      </w:r>
      <w:r>
        <w:rPr>
          <w:rFonts w:eastAsia="Arial" w:asciiTheme="majorHAnsi" w:hAnsiTheme="majorHAnsi" w:cstheme="majorHAnsi"/>
          <w:i/>
          <w:iCs/>
          <w:lang w:eastAsia="ru-RU"/>
        </w:rPr>
        <w:t>Our ADS holders may not be able to exercise their pre-emptive rights in relation to future issuances of class B shares</w:t>
      </w:r>
      <w:r>
        <w:rPr>
          <w:rFonts w:eastAsia="Arial" w:asciiTheme="majorHAnsi" w:hAnsiTheme="majorHAnsi" w:cstheme="majorHAnsi"/>
          <w:lang w:eastAsia="ru-RU"/>
        </w:rPr>
        <w:t xml:space="preserve">”). In Cyprus, where our company is registered, there is no statutory carve-out from pre-emptive rights for issuances of shares to employees like in some other jurisdictions, and such carve-out has to be specifically approved by shareholders and renewed periodically. The refusal by our shareholders to approve disapplication of pre-emptive rights for issuances of shares to employees has rendered us unable to issue shares to our employees under our employee incentive plans, and, as a result of the halt of trading of our ADSs on Nasdaq and limited trading of our ADSs on the Moscow Exchange, we are not able to purchase ADSs for purposes of distributing them to our employees as part of an employee incentive plan (see “– </w:t>
      </w:r>
      <w:r>
        <w:rPr>
          <w:rFonts w:eastAsia="Arial" w:asciiTheme="majorHAnsi" w:hAnsiTheme="majorHAnsi" w:cstheme="majorHAnsi"/>
          <w:i/>
          <w:iCs/>
          <w:lang w:eastAsia="ru-RU"/>
        </w:rPr>
        <w:t>Holders of our ADSs currently have limited or no liquidity in our ADSs. Following the trading halt introduced on our ADSs by Nasdaq, Nasdaq informed us of its determination to delist our securities. Although we requested a hearing to appeal the delisting determination, there can be no assurance that Nasdaq will reverse its decision and when or if the trading will be resumed. Trading in our ADSs on the Moscow Exchange is subject to certain limitations</w:t>
      </w:r>
      <w:r>
        <w:rPr>
          <w:rFonts w:eastAsia="Arial" w:asciiTheme="majorHAnsi" w:hAnsiTheme="majorHAnsi" w:cstheme="majorHAnsi"/>
          <w:lang w:eastAsia="ru-RU"/>
        </w:rPr>
        <w:t xml:space="preserve">”). These developments could undermine our ability to retain and attract competitive talent who have come to expect share-based compensation in an industry like ours. </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In addition, the 2022 escalation of the conflict between Russia and Ukraine has had a significant effect on Russian economy and, along with the partial mobilization of Russian citizens in September 2022, it also resulted in a migration of workforce out of Russia. Most of our employees continue to work remotely since COVID-19, aside for situations where an employee is required to work at a certain location for regulatory or other compliance reasons, and we provide necessary infrastructure to support such remote work and pay salary regardless of employee’s geographical location. We are constantly monitoring the current situation to assure safety of our employees located in Russia and other territories as well as measures to retain talent within our organization. However, no assurance can be given that if the Ukraine conflict continues to unravel there would not be further migration of skilled workers out of Russia, which, if not managed through our recruitment and motivation efforts, may result in shortages of skilled employees as well as in general increased competition for qualified personnel on the labor market (see “– </w:t>
      </w:r>
      <w:r>
        <w:rPr>
          <w:rFonts w:eastAsia="Arial" w:asciiTheme="majorHAnsi" w:hAnsiTheme="majorHAnsi" w:cstheme="majorHAnsi"/>
          <w:i/>
          <w:iCs/>
          <w:lang w:eastAsia="ru-RU"/>
        </w:rPr>
        <w:t>The conflict between Russia and Ukraine, and particularly its 2022 escalation, the US, EU, UK and other countries’ sanctions that have been imposed in connection therewith, the resulting negative implications on the Russian economy, and the measures that are being adopted by Russia in response, could adversely impact our operations and financial condition</w:t>
      </w:r>
      <w:r>
        <w:rPr>
          <w:rFonts w:eastAsia="Arial" w:asciiTheme="majorHAnsi" w:hAnsiTheme="majorHAnsi" w:cstheme="majorHAnsi"/>
          <w:lang w:eastAsia="ru-RU"/>
        </w:rPr>
        <w:t xml:space="preserve">”). Furthermore, while we continue to ensure that our employees have relevant infrastructure to work in Russia safely, any adverse development of the Ukraine conflict may affect work environment in Russia, which could, in turn, significantly affect the ability and the willingness of our employees to work from Russia as opposed to migrating to other territories, creating an additional administrative burden for us associated with any potential relocation of our employees to other places. </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For these and other reasons, we cannot assure you that we will be able to attract and retain qualified personnel in the future. Failure to retain or attract key personnel could have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Our operations may be constrained if we cannot attract or service future debt financing.</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As of the date of this annual report, we have RUB 3.9 billion in debt, which represents the outstanding portion of the RUB 5.0 billion of bonds issued in 2020 by our subsidiary Qiwi Finance LLC, with respect to which Qiwi plc and our subsidiaries JSC Qiwi and Sette FZ-LLC have provided irrevocable offers to bondholders to purchase such bonds from them upon the occurrence of certain events. We may also incur additional debt financing to finance the development of our new or existing projects, and our operations and growth may be constrained if we cannot do so on favorable terms or at all. In particular, the continued success of our ROWI project is heavily dependent on procuring external funding to finance its operations. Our debt capacity depends upon our ability to maintain our operating performance at a certain level, which is subject to general economic and market conditions and to financial, business and other factors, many of which are outside of our control. If our cash flow from operating activities is insufficient to service our debt, we could be forced to take certain actions, including delaying or reducing capital or other expenditures or other actions, to restructure or refinance our debt; selling or mortgaging our assets or operations; or raising additional equity capital, which we might not be able to do on favorable terms, in a timely manner or at all. Furthermore, such actions might not be sufficient to allow us to service our debt obligations in full and, in any event, could have a material adverse effect on our business, financial condition, and results of operations. Moreover, our inability to service our debt through internally generated cash flow or other sources of liquidity could put us in default of our obligations to creditors, which could trigger various default provisions under our financings and thus have a material adverse effect on the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We may experience difficulties with conducting transactions denominated in US dollars, euros and other currencies.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We contract with some of our international merchants in US dollars, euros and other currencies and may experience challenges in relationships with US and EU banks that could arise for any non-US company or non-EU company in connection with transactions denominated in US dollars or euros due to stricter internal bank policies regarding Russia, including enhanced know-your-customer due diligence procedures, restrictions on certain types of merchants and certain jurisdictions, and other bank internal policies, which we believe might be a result of the increasing negative sentiment towards Russia on part of US banks, among other factors (see “– </w:t>
      </w:r>
      <w:r>
        <w:rPr>
          <w:rFonts w:eastAsia="Arial" w:asciiTheme="majorHAnsi" w:hAnsiTheme="majorHAnsi" w:cstheme="majorHAnsi"/>
          <w:i/>
          <w:iCs/>
          <w:lang w:eastAsia="ru-RU"/>
        </w:rPr>
        <w:t>The conflict between Russia and Ukraine, and particularly its 2022 escalation, the US, EU, UK and other countries’ sanctions that have been imposed in connection therewith, the resulting negative implications on the Russian economy, and the measures that are being adopted by Russia in response, could adversely impact our operations and financial condition</w:t>
      </w:r>
      <w:r>
        <w:rPr>
          <w:rFonts w:eastAsia="Arial" w:asciiTheme="majorHAnsi" w:hAnsiTheme="majorHAnsi" w:cstheme="majorHAnsi"/>
          <w:lang w:eastAsia="ru-RU"/>
        </w:rPr>
        <w:t xml:space="preserve">”), even with respect to transactions and relationships that do not appear to raise concerns under applicable sanctions. </w:t>
      </w:r>
    </w:p>
    <w:p w:rsidR="009534E2" w:rsidRDefault="003369EB">
      <w:pPr>
        <w:spacing w:after="200"/>
        <w:ind w:firstLine="461"/>
        <w:rPr>
          <w:rFonts w:eastAsia="Arial" w:asciiTheme="majorHAnsi" w:hAnsiTheme="majorHAnsi" w:cstheme="majorHAnsi"/>
          <w:i/>
          <w:iCs/>
          <w:lang w:eastAsia="ru-RU"/>
        </w:rPr>
      </w:pPr>
      <w:r>
        <w:rPr>
          <w:rFonts w:eastAsia="Arial" w:asciiTheme="majorHAnsi" w:hAnsiTheme="majorHAnsi" w:cstheme="majorHAnsi"/>
          <w:lang w:eastAsia="ru-RU"/>
        </w:rPr>
        <w:t>Even though we maintain a number of accounts denominated in US dollars, euros and other currencies with various financial institutions, we are also conducting in parallel a portion of US dollar or euro transactions with our international merchants in other currencies, bearing additional currency conversion costs. No assurance can be given that such institutions or their respective correspondent banks will not refuse to process our transactions for the reasons set forth above or otherwise, thereby further increasing the currency conversion costs that we have to bear or that our international merchants will agree to accept payments in any currency, but the US dollar, euro or other currencies in the future. If we are not able to conduct transactions in US dollars, euros or other currencies envisaged under the agreements with our merchants, we may bear significant currency conversion costs or lose some of our merchants who will not be willing to conduct transactions in currencies other than the currency provided under the applicable agreement, and therefore our business, financial condition and results of operations may be materially adversely affected. We can give no assurance that similar issues would not arise with respect to our transactions in other currencies, which could have similarly adverse consequences for us.</w:t>
      </w:r>
    </w:p>
    <w:p w:rsidR="009534E2" w:rsidRDefault="003369EB">
      <w:pPr>
        <w:keepNext/>
        <w:keepLines/>
        <w:spacing w:after="200"/>
        <w:rPr>
          <w:rFonts w:eastAsia="Arial" w:asciiTheme="majorHAnsi" w:hAnsiTheme="majorHAnsi" w:cstheme="majorHAnsi"/>
          <w:bCs/>
          <w:iCs/>
        </w:rPr>
      </w:pPr>
      <w:r>
        <w:rPr>
          <w:rFonts w:eastAsia="Arial" w:asciiTheme="majorHAnsi" w:hAnsiTheme="majorHAnsi" w:cstheme="majorHAnsi"/>
          <w:b/>
          <w:bCs/>
          <w:i/>
          <w:iCs/>
          <w:lang w:eastAsia="ru-RU"/>
        </w:rPr>
        <w:t>Our bond portfolio could decline in value, which may result in financial losses and have a negative effect on our compliance with banking prudential ratios.</w:t>
      </w:r>
    </w:p>
    <w:p w:rsidR="009534E2" w:rsidRDefault="003369EB">
      <w:pPr>
        <w:spacing w:after="200"/>
        <w:ind w:firstLine="461"/>
        <w:rPr>
          <w:rFonts w:eastAsia="Times New Roman" w:asciiTheme="majorHAnsi" w:hAnsiTheme="majorHAnsi" w:cstheme="majorHAnsi"/>
          <w:lang w:eastAsia="zh-CN" w:bidi="he-IL"/>
        </w:rPr>
      </w:pPr>
      <w:r>
        <w:rPr>
          <w:rFonts w:eastAsia="Arial" w:asciiTheme="majorHAnsi" w:hAnsiTheme="majorHAnsi" w:cstheme="majorHAnsi"/>
          <w:lang w:eastAsia="ru-RU"/>
        </w:rPr>
        <w:t xml:space="preserve">As part of our treasury operations, we hold a portfolio of publicly traded debt securities. Accordingly, in connection with such portfolio, we are exposed to all of the risks that are associated with holding such securities, including unfavorable price fluctuations for any reason, decline in the market liquidity, market volatility, unfavorable changes in interest rates or foreign currency exchange rates affecting our positions, and the risk that the risk-management tools we use, such as value-at-risk formulas and stop-loss orders, will not be effective to prevent losses or will not work as intended. We also bear the risk of defaults by the issuers of the debt securities we hold. Investments in debt securities represented million RUB 16,975, or 15.2% of our total assets as of December 31, 2022. As of 31 December 2022, predominantly all of the securities held by us were government and high-quality corporate bonds, which are subject to abrupt price fluctuations and other various risks in connection with the factors described in “– </w:t>
      </w:r>
      <w:r>
        <w:rPr>
          <w:rFonts w:eastAsia="Arial" w:asciiTheme="majorHAnsi" w:hAnsiTheme="majorHAnsi" w:cstheme="majorHAnsi"/>
          <w:i/>
          <w:iCs/>
          <w:lang w:eastAsia="ru-RU"/>
        </w:rPr>
        <w:t xml:space="preserve">The conflict between Russia and Ukraine, and particularly its 2022 escalation, the US, EU, UK and other countries’ sanctions that have been imposed in connection therewith, the resulting negative implications on the Russian economy, and the measures that are being adopted by Russia in response, could adversely impact our operations and financial condition” </w:t>
      </w:r>
      <w:r>
        <w:rPr>
          <w:rFonts w:eastAsia="Arial" w:asciiTheme="majorHAnsi" w:hAnsiTheme="majorHAnsi" w:cstheme="majorHAnsi"/>
          <w:lang w:eastAsia="ru-RU"/>
        </w:rPr>
        <w:t>and</w:t>
      </w:r>
      <w:r>
        <w:rPr>
          <w:rFonts w:eastAsia="Arial" w:asciiTheme="majorHAnsi" w:hAnsiTheme="majorHAnsi" w:cstheme="majorHAnsi"/>
          <w:i/>
          <w:iCs/>
          <w:lang w:eastAsia="ru-RU"/>
        </w:rPr>
        <w:t xml:space="preserve"> " Risks Relating to the Russia and Other Markets in Which We Operate</w:t>
      </w:r>
      <w:r>
        <w:rPr>
          <w:rFonts w:eastAsia="Arial" w:asciiTheme="majorHAnsi" w:hAnsiTheme="majorHAnsi" w:cstheme="majorHAnsi"/>
          <w:lang w:eastAsia="ru-RU"/>
        </w:rPr>
        <w:t>" as well as in connection with various other risk factors that are specific to the issuers of such securities.</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We determine fair value of securities based on quoted market information, where it exists, and appropriate valuation methodologies. While we employ rigorous risk management tools to limit the impact of market risk, among other things, on our capital, the fair value of financial instruments may not always be accurately estimated or properly reflected. This may result in an inaccurate assessment of our results of operations and financial position. Any instability on the securities markets can lead to a significant devaluation of our securities portfolio, which would result in financial losses to us and could have a negative impact on Qiwi Bank's prudential ratios (see "-</w:t>
      </w:r>
      <w:r>
        <w:rPr>
          <w:rFonts w:eastAsia="Arial" w:asciiTheme="majorHAnsi" w:hAnsiTheme="majorHAnsi" w:cstheme="majorHAnsi"/>
          <w:i/>
          <w:lang w:eastAsia="ru-RU"/>
        </w:rPr>
        <w:t>Qiwi Bank operates in a highly regulated environment and increased regulatory scrutiny could have an adverse effect on our business, financial condition and results of operations</w:t>
      </w:r>
      <w:r>
        <w:rPr>
          <w:rFonts w:eastAsia="Arial" w:asciiTheme="majorHAnsi" w:hAnsiTheme="majorHAnsi" w:cstheme="majorHAnsi"/>
          <w:lang w:eastAsia="ru-RU"/>
        </w:rPr>
        <w:t>").</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For the years ended December 31, 2022 revaluation profit of our bond portfolio constituted RUB 220 million and December 31, 2021, the revaluation loss of our bond portfolio constituted RUB 206 million. If our bond portfolio further declines in value, we may incur losses and suffer negative impact on our prudential ratios, which could have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We may not be able to expand into new geographical markets, or develop our existing international operations successfully, which could limit our ability to grow and increase our profitability.</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Certain of our services are offered in countries beyond Russia, and we may look to further expand our geographical footprint if the right opportunities appear. Our expansion into new geographical markets and further development of our international operations depend on our ability to apply our existing technology or to develop new applications to meet the particular needs of each local market or country. We may not have adequate financial, technological or personnel and management resources to develop effective and secure services or distribution channels that will satisfy the demands of these markets. We may not be able to establish partnerships with any counterparties that we may need in order to strengthen our international operations. If we fail to enter new markets or countries or to develop our international operations, we may not be able to continue to grow our revenues and earnings. Furthermore, we may expand into new geographical markets in which we may not have any previous operating experience. We operate in an industry that is often subject to significant regulation, and our lack of familiarity with the regulatory landscape in new markets may result in us running into unanticipated problems or delays in obtaining the requisite regulatory approvals and licenses. We may not be able to successfully expand in such markets due to our lack of experience. Moreover, we may not be able to execute our strategy in our existing international operations successfully, which may result in additional losses or limit our growth prospects. The general anti-Russian sentiment that has become prevalent in the international business community in the wake of the military conflict in Ukraine and resulting sanctions in 2022 may also hinder of international expansion.</w:t>
      </w:r>
    </w:p>
    <w:p w:rsidR="009534E2" w:rsidRDefault="003369EB">
      <w:pPr>
        <w:keepNext/>
        <w:spacing w:after="200"/>
        <w:ind w:firstLine="461"/>
        <w:rPr>
          <w:rFonts w:eastAsia="Times New Roman" w:asciiTheme="majorHAnsi" w:hAnsiTheme="majorHAnsi" w:cstheme="majorHAnsi"/>
        </w:rPr>
      </w:pPr>
      <w:r>
        <w:rPr>
          <w:rFonts w:eastAsia="Arial" w:asciiTheme="majorHAnsi" w:hAnsiTheme="majorHAnsi" w:cstheme="majorHAnsi"/>
          <w:lang w:eastAsia="ru-RU"/>
        </w:rPr>
        <w:t>In addition, expanding internationally subjects us to a number of risks, including:</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greater difficulty in managing foreign operations;</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expenses associated with localizing our products, including offering consumers the ability to transact in major currencies;</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higher labor costs and problems integrating employees that we hire in different countries into our existing corporate culture;</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laws and business practices that favor local competitors;</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multiple and changing laws, tax regimes and government regulations;</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foreign currency restrictions and exchange rate fluctuations;</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changes in a specific country’s or region’s political or economic conditions; and</w:t>
      </w:r>
    </w:p>
    <w:p w:rsidR="009534E2" w:rsidRDefault="003369EB">
      <w:pPr>
        <w:tabs>
          <w:tab w:val="left" w:pos="1080"/>
        </w:tabs>
        <w:spacing w:after="200"/>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val="ru-RU" w:eastAsia="ru-RU"/>
        </w:rPr>
        <w:t>differing intellectual property laws.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In addition, our international operations may expose us to numerous and sometimes conflicting legal and regulatory requirements, and violations or unfavorable interpretation by authorities of these regulations could harm our business. In particular, we are exposed to the risk of being deemed to have permanent establishment in a specific country and transfer pricing risks which could result in additional tax liability.</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If we are not able to manage these and multiple other risks associated with international operations successfully, our business, financial condition and results of operations could be materially adversely affected.</w:t>
      </w:r>
    </w:p>
    <w:p w:rsidR="009534E2" w:rsidRDefault="003369EB">
      <w:pPr>
        <w:keepNext/>
        <w:keepLines/>
        <w:spacing w:after="200"/>
        <w:rPr>
          <w:rFonts w:eastAsia="Arial" w:asciiTheme="majorHAnsi" w:hAnsiTheme="majorHAnsi" w:cstheme="majorHAnsi"/>
          <w:b/>
          <w:bCs/>
          <w:i/>
          <w:iCs/>
          <w:lang w:eastAsia="ru-RU"/>
        </w:rPr>
      </w:pPr>
      <w:r>
        <w:rPr>
          <w:rFonts w:eastAsia="Arial" w:asciiTheme="majorHAnsi" w:hAnsiTheme="majorHAnsi" w:cstheme="majorHAnsi"/>
          <w:b/>
          <w:bCs/>
          <w:i/>
          <w:iCs/>
          <w:lang w:eastAsia="ru-RU"/>
        </w:rPr>
        <w:t>We may not be able to meet changing expectations from investors, customers, regulators, and other stakeholders regarding environmental, social, and governance ("ESG") issues, which may negatively affect our reputation and therefore our business and financial results.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 xml:space="preserve">In December, 2022, we published our first Sustainability report. ESG-related risks may directly or indirectly negatively affect our reputation in case we are not able to meet expectations of the constantly evolving business environment in which we operate. </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Certain ESG-related voluntary rules and guidances have been imposed by our regulators and we believe there will be further developments, which may lead us to additional compliance costs or expose us to new or additional risks. Additionally, some organizations developed ratings that may be based on various measures to assess businesses in terms of ESG issues. Even if the evaluations are unreliable, they may still have a negative impact on our reputation.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We may be at risk of reputational damage, loss of client or investor confidence, and other consequences if we are unable to effectively implement our ESG strategy, to maintain the standards required by, or meet the expectations of regulators, ESG-rating organizations, our investors, clients or business partners.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lang w:eastAsia="ru-RU"/>
        </w:rPr>
        <w:t>Risks Relating to Corporate Governance Matters and Organizational Structure</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The substantial share ownership position of the Chairman of our board of directors, Sergey Solonin, may limit your ability to influence corporate matters.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Following the purchase of our class B shares (including class B shares represented by our ADSs), pursuant to two tender offers conducted in 2022 by the Chairman of our board of directors, Sergey Solonin, and his wholly-owned company, Dalliance Services Company, with a view to provide further liquidity to the company’s investors, Mr. Solonin beneficially owns approximately 71.2% of the voting power of our issued share capital.</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As a result of this concentration of share ownership, Mr. Solonin has sole discretion over any matters submitted to our shareholders for approval that require a simple majority vote and has significant voting power on all matters submitted to our shareholders for approval that require a qualified majority vote, including the power to veto them. </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Our articles of association require the approval of no less than 75% of present and voting shareholders for matters such as amendments to the constitutional documents of our company, dissolution or liquidation of our company, reducing the share capital, buying back shares and approving the total number of shares and classes of shares to be reserved for issuance under any employee stock option plan or any other equity-based incentive compensation program of our group. Matters requiring a simple majority shareholder vote include, among other matters, increasing our authorized capital, removing a director, approving the annual audited accounts and appointing auditors.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This concentration of ownership could delay, deter or prevent a change of control or other business combination that might otherwise give you the opportunity to realize a premium over then-prevailing market price of our shares. The interests of Mr. Solonin may not always coincide with the interests of our other shareholders. This concentration of ownership may also adversely affect the price of our ADSs.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Our ADS holders have limited rights in relation to the appointment of our directors, including our independent directors.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Other than in certain limited cases provided for in our articles of association, our directors are elected by shareholder weighted voting, sometimes referred to as cumulative voting, under which each shareholder has the right to cast as many votes as the voting rights attached to its shares multiplied by a number equal to the number of board seats to be filled by shareholders. As a result, our class A shareholders will have the ability to appoint, through the weighted voting set forth in our articles of association, at least a majority of the board of directors for the foreseeable future. The interests of our directors may therefore not be aligned with or be in the best interests of the holders of our ADSs.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We cannot guarantee that we will buy back any of our ordinary shares represented by ADSs pursuant to the buyback program approved by our shareholders or that our buyback program will enhance long-term shareholder value.</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On May 16, 2022, our shareholders approved a buyback program under which the company may directly or through any of its subsidiaries acquire ordinary shares of the company represented by the ADSs listed on the Nasdaq Global Select Market and the Moscow Exchange, in the open market (see Item 4 </w:t>
      </w:r>
      <w:r>
        <w:rPr>
          <w:rFonts w:eastAsia="Arial" w:asciiTheme="majorHAnsi" w:hAnsiTheme="majorHAnsi" w:cstheme="majorHAnsi"/>
          <w:i/>
          <w:iCs/>
          <w:lang w:eastAsia="ru-RU"/>
        </w:rPr>
        <w:t>“History and Development of the Company”</w:t>
      </w:r>
      <w:r>
        <w:rPr>
          <w:rFonts w:eastAsia="Arial" w:asciiTheme="majorHAnsi" w:hAnsiTheme="majorHAnsi" w:cstheme="majorHAnsi"/>
          <w:lang w:eastAsia="ru-RU"/>
        </w:rPr>
        <w:t>). The buyback program authorizes our board of directors to instruct management to acquire the ordinary shares for a period of 12 months as from May 16, 2022. The specific timing and amount of buybacks under the buyback program depends upon several factors, including market and business conditions, the trading price of our ordinary shares, and the nature of other investment opportunities. In addition, our ability to buy back shares may be limited by law or regulatory authority. In particular, in accordance with Cyprus law, the total nominal value of the ordinary shares that may be acquired under by the company or any of its subsidiary if the buyback program is approved, shall not exceed 10% of the total number of shares outstanding.</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We are not obligated to purchase any ordinary shares under the buyback program, and the program may be suspended or discontinued at any time. Buybacks of our ordinary shares pursuant to our buyback program could affect the market price of our ordinary shares or increase their volatility. The existence of a buyback program could also cause the price of our ordinary shares to be higher than it would be in the absence of such a program and could potentially reduce the market liquidity for our ordinary shares. Additionally, buybacks under the buyback program will diminish our cash reserves, which impacts our ability to pursue possible future strategic opportunities and acquisitions, support our operations, invest in securities and pay dividends and could result in lower overall returns on our cash balances. Buybacks may not enhance shareholder value because the market price of our ordinary shares may decline below the levels at which we buyback ordinary shares, and short-term stock price fluctuations could reduce the program’s effectiveness.</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 xml:space="preserve">On February 28, 2022, trading on the Moscow Exchange in all equity securities was suspended (including our ADSs), which suspension was later extended until the limited resumption of stock trading on the Moscow Exchange on March 24, 2022, and the full resumption of stock trading on the Moscow Exchange on March 28, 2022. Also, on February 28, 2022, the Nasdaq Global Select Market halted trading in our ADSs and stocks of certain other Russian companies. As of the date of this annual report, our Board of Directors has not approved the commencement of the buyback program as currently it sees no opportunity to repurchase ADSs ensuring equal treatment of all holders of our ADSs due to the lingering stock market infrastructure issues resulting from the imposition of sanctions on the NSD. See also “– </w:t>
      </w:r>
      <w:r>
        <w:rPr>
          <w:rFonts w:eastAsia="Arial" w:asciiTheme="majorHAnsi" w:hAnsiTheme="majorHAnsi" w:cstheme="majorHAnsi"/>
          <w:i/>
          <w:iCs/>
          <w:lang w:eastAsia="ru-RU"/>
        </w:rPr>
        <w:t>Holders of our ADSs currently have limited or no liquidity in our ADSs. Following the trading halt introduced on our ADSs by Nasdaq, Nasdaq informed us of its determination to delist our securities. Although we requested a hearing to appeal the delisting determination, there can be no assurance that Nasdaq will reverse its decision and when or if the trading will be resumed. Trading in our ADSs on the Moscow Exchange is subject to certain limitations</w:t>
      </w:r>
      <w:r>
        <w:rPr>
          <w:rFonts w:eastAsia="Arial" w:asciiTheme="majorHAnsi" w:hAnsiTheme="majorHAnsi" w:cstheme="majorHAnsi"/>
          <w:lang w:eastAsia="ru-RU"/>
        </w:rPr>
        <w:t>”. In case our Board of Directors decides to approve the commencement of the buyback program, we may be limited in our ability to purchase ADSs due to lower liquidity, should the trading suspensions of our ADSs on Nasdaq and Russian settlement infrastructure issues persist.</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The rights of our shareholders are governed by Cyprus law and our articles of association, and differ in some important respects from the typical rights of shareholders under US state laws.</w:t>
      </w:r>
    </w:p>
    <w:p w:rsidR="009534E2" w:rsidRDefault="003369EB">
      <w:pPr>
        <w:keepNext/>
        <w:spacing w:after="200"/>
        <w:ind w:firstLine="461"/>
        <w:rPr>
          <w:rFonts w:eastAsia="Times New Roman" w:asciiTheme="majorHAnsi" w:hAnsiTheme="majorHAnsi" w:cstheme="majorHAnsi"/>
        </w:rPr>
      </w:pPr>
      <w:r>
        <w:rPr>
          <w:rFonts w:eastAsia="Arial" w:asciiTheme="majorHAnsi" w:hAnsiTheme="majorHAnsi" w:cstheme="majorHAnsi"/>
          <w:lang w:eastAsia="ru-RU"/>
        </w:rPr>
        <w:t>Our corporate affairs are governed by our articles of association and by the laws governing companies incorporated in Cyprus. The rights of our shareholders and the responsibilities of members of our board of directors under Cyprus law and our articles of association are different than under some of the US state laws. For example, by law existing holders of shares in a Cypriot public company are entitled to pre-emptive rights on the issue of new shares in that company (provided such shares are paid in cash and the pre-emption rights have not been disapplied). In addition, our articles of association include other provisions, which differ from provisions typically included in the governing documents of most companies organized in the US:</w:t>
      </w:r>
    </w:p>
    <w:p w:rsidR="009534E2" w:rsidRDefault="003369EB">
      <w:pPr>
        <w:pStyle w:val="ListParagraph"/>
        <w:numPr>
          <w:ilvl w:val="0"/>
          <w:numId w:val="41"/>
        </w:numPr>
        <w:tabs>
          <w:tab w:val="left" w:pos="1080"/>
        </w:tabs>
        <w:ind w:left="821"/>
        <w:rPr>
          <w:rFonts w:eastAsia="Arial" w:asciiTheme="majorHAnsi" w:hAnsiTheme="majorHAnsi" w:cstheme="majorHAnsi"/>
        </w:rPr>
      </w:pPr>
      <w:r>
        <w:rPr>
          <w:rFonts w:eastAsia="Arial" w:asciiTheme="majorHAnsi" w:hAnsiTheme="majorHAnsi" w:cstheme="majorHAnsi"/>
          <w:lang w:eastAsia="ru-RU"/>
        </w:rPr>
        <w:t>our board of directors can only take certain actions by means of a supermajority vote of 75% of its members, including approving our annual budget and business plan, disposing of our interest in a subsidiary if such disposal results in a change of control over such subsidiary, issuing shares for consideration other than cash and other actions;</w:t>
      </w:r>
    </w:p>
    <w:p w:rsidR="009534E2" w:rsidRDefault="003369EB">
      <w:pPr>
        <w:pStyle w:val="ListParagraph"/>
        <w:numPr>
          <w:ilvl w:val="0"/>
          <w:numId w:val="41"/>
        </w:numPr>
        <w:tabs>
          <w:tab w:val="left" w:pos="1080"/>
        </w:tabs>
        <w:ind w:left="821"/>
        <w:rPr>
          <w:rFonts w:eastAsia="Arial" w:asciiTheme="majorHAnsi" w:hAnsiTheme="majorHAnsi" w:cstheme="majorHAnsi"/>
        </w:rPr>
      </w:pPr>
      <w:r>
        <w:rPr>
          <w:rFonts w:eastAsia="Arial" w:asciiTheme="majorHAnsi" w:hAnsiTheme="majorHAnsi" w:cstheme="majorHAnsi"/>
          <w:lang w:eastAsia="ru-RU"/>
        </w:rPr>
        <w:t>our shareholders are able to convene an extraordinary general meeting; and</w:t>
      </w:r>
    </w:p>
    <w:p w:rsidR="009534E2" w:rsidRDefault="003369EB">
      <w:pPr>
        <w:pStyle w:val="ListParagraph"/>
        <w:numPr>
          <w:ilvl w:val="0"/>
          <w:numId w:val="41"/>
        </w:numPr>
        <w:tabs>
          <w:tab w:val="left" w:pos="1080"/>
        </w:tabs>
        <w:spacing w:after="200"/>
        <w:ind w:left="821"/>
        <w:rPr>
          <w:rFonts w:eastAsia="Arial" w:asciiTheme="majorHAnsi" w:hAnsiTheme="majorHAnsi" w:cstheme="majorHAnsi"/>
        </w:rPr>
      </w:pPr>
      <w:r>
        <w:rPr>
          <w:rFonts w:eastAsia="Arial" w:asciiTheme="majorHAnsi" w:hAnsiTheme="majorHAnsi" w:cstheme="majorHAnsi"/>
          <w:lang w:eastAsia="ru-RU"/>
        </w:rPr>
        <w:t>if our board of directors exercises its right to appoint a director to fill a vacancy on the board created during the term of a director’s appointment, shareholders holding 10.01% of the voting rights of the company may terminate the appointment of all of the directors and initiate reelection of the entire board of directors.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As a result of the differences described above, our shareholders may have rights different to those generally available to shareholders of companies organized under US state laws and our board of directors may find it more difficult to approve certain actions.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Acquisitions of Russian entities are subject to pre-closing approval by multiple government authorities which exercise significant discretion as to whether a consent should be granted or not, and are regulated by numerous laws which are often ambiguous and open to varying interpretations.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Due to our ownership of Qiwi Bank, any transactions resulting in the acquisition of more than 50% of voting power of our company or the right to otherwise direct our business activities would become subject to preliminary approval by the CBR. In addition, any acquisition of more than 50% of our voting power may also be subject to a preliminary approval by the Russian Federal Antimonopoly Service, or the FAS. Furthermore, Qiwi Bank holds encryption licenses which are necessary to conduct its operations, and by virtue of this may be deemed to be a “strategic enterprise” for the purposes of the Federal Law of the Russian Federation No. 57-FZ “On the Procedure for Foreign Investments in Enterprises which are Strategically Important for the State Defense and National Security”, dated April 29, 2008, as amended, or “the Strategic Enterprise Law”. In this case, any acquisition of control over our company would require an approval of a specialized government commission, which is a relatively lengthy process that typically takes between three and six months in practice (see “</w:t>
      </w:r>
      <w:r>
        <w:rPr>
          <w:rFonts w:eastAsia="Arial" w:asciiTheme="majorHAnsi" w:hAnsiTheme="majorHAnsi" w:cstheme="majorHAnsi"/>
          <w:i/>
          <w:iCs/>
          <w:lang w:eastAsia="ru-RU"/>
        </w:rPr>
        <w:t>– Regulation – Regulation of Strategic Investments</w:t>
      </w:r>
      <w:r>
        <w:rPr>
          <w:rFonts w:eastAsia="Arial" w:asciiTheme="majorHAnsi" w:hAnsiTheme="majorHAnsi" w:cstheme="majorHAnsi"/>
          <w:lang w:eastAsia="ru-RU"/>
        </w:rPr>
        <w:t>”). These regulatory approval requirements may have the effect of making a takeover of our company more difficult or less attractive, and may prevent or delay a change of control, which could have a negative impact on the liquidity of, and investor interest in, our ADSs.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Additionally, under Russian law, the depositary may be treated as the owner of the class B shares underlying the ADSs, and therefore, could be deemed a beneficial shareholder of Qiwi Bank. This is different from the way other jurisdictions treat ADSs. As a result, the depositary may be subject to the approval requirements of the CBR, FAS and the government commission described above in the event an amount of our shares representing over 50% of our voting power is deposited in the ADS program. Accordingly, our ADS program may be subject to an effective limit of 50% of our voting power, unless the depositary obtains FAS, CBR and potentially additional government commission approvals to increase its ownership in excess of 50% of our voting power. This could limit our ability to raise capital in the future and the ability of our existing shareholders to sell their ADSs in the public markets, which in turn may impact the liquidity of share capital.</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Acquisitions of Russian entities are subject to pre-closing approval by multiple government authorities as described above. Russian government authorities exercise significant discretion as to whether a consent should be granted or not, and are regulated by numerous laws which are often ambiguous and open to varying interpretations which may cause some of our acquisitions to fail or not exercised within expected timelines, causing harm to our business including development of new products.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The quota imposed on foreign ownership of Russian banks or IT companies may make a takeover of our company by a foreign purchaser impossible.</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Under current Russian law, the Russian government is entitled, upon consultation with the CBR, to propose legislation imposing a quota on foreign ownership in the Russian banking industry, covering both Russian branches of international banks and foreign participation in the charter capital of Russian banks, such as Qiwi Bank. Currently, a 50% quota on foreign ownership is in place, subject to certain exemptions.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Furthermore, in late 2019 a draft legislative bill was submitted to the Russian legislature proposing to restrict ownership by foreign persons of certain key Russian IT companies pursuant to a list to be determined at a later stage to not more than 20% in the aggregate. Since 2021, this draft bill has not been taken into consideration due to strong criticism. However, there can be no assurance that similar measures will not be adopted in the future, as has already happened, for example, to media companies and video content distributors under other laws adopted in Russia in recent years.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If the quota on foreign ownership of Russian banks is exceeded, or if a law restricting foreign ownership of Russian IT companies is adopted, a takeover of our company by a foreign purchaser may become impossible, which could limit, prevent or delay a change of control of our company and in turn could negatively impact the liquidity of our ADSs.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As a foreign private issuer whose ADSs are listed on Nasdaq, we have elected to follow certain home country corporate governance practices instead of certain Nasdaq requirements.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As a foreign private issuer whose ADSs are listed on Nasdaq, we are permitted in certain cases to, and do, follow Cypriot corporate governance practices instead of the corresponding requirements of Nasdaq. We follow Cypriot corporate governance practices with regard to the composition of our board of directors which, unlike the applicable Nasdaq rule for US corporations, do not require that a majority of our directors be independent. We also do not have a compensation committee or a nominating committee comprised entirely of independent directors, and our independent directors do not meet in regular executive sessions. In addition, our board of directors has not made any determination whether it will comply with certain Nasdaq rules concerning shareholder approval prior to our taking certain company actions, including the issuance of 20% or more of our then-outstanding share capital or voting power in connection with an acquisition, and our board of directors, in such circumstances, may instead determine to follow Cypriot law. Accordingly, our shareholders may not be afforded the same rights and protection as provided under Nasdaq corporate governance rules.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Our ADS holders may not have the same voting rights as the holders of our class A shares and class B shares and may not receive voting materials in time to be able to exercise their right to vote. Our ADS holders’ right to receive certain distributions may be limited in certain respects by the deposit agreement.</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Except as set forth in the deposit agreement, holders of our ADSs are not able to directly exercise voting rights attaching to the class B shares represented by our ADSs. Holders of our ADSs may instruct the depositary how to vote such holder’s class B shares represented by the ADSs. Upon receipt of voting instructions from an ADS holder, the depositary will vote the underlying class B shares in accordance with these instructions. Pursuant to our articles of association, we may convene an annual shareholders’ meeting or a shareholders’ meeting called for approval of matters requiring a 75% shareholder vote upon at least 45 days’ notice and upon at least 30 days’ notice for all other shareholders’ meetings. If we give timely notice to the depositary under the terms of the deposit agreement and so request, the depositary will notify you of the upcoming vote and arrange to deliver our voting materials to you. We cannot assure our ADS holders that they will receive the voting materials in time to instruct the depositary to vote the class B shares underlying their ADSs, and it is possible that our ADS holders, or persons who hold their ADSs through brokers, dealers or other third parties, will not have the opportunity to exercise a right to vote. In addition, the depositary and its agents are not responsible for failing to carry out voting instructions or for the manner of carrying out voting instructions. This means that our ADS holders may not be able to exercise their right to vote and there may be nothing such holders can do if the class B shares underlying your ADSs are not voted as requested. In addition, although our ADS holders may directly exercise their right to vote by withdrawing the class B shares underlying their ADSs, they may not receive sufficient advance notice of an upcoming shareholders’ meeting to withdraw the class B shares underlying their ADSs to allow them to vote with respect to any specific matter. Furthermore, under the deposit agreement, the depositary has the right to restrict distributions to holders of the ADSs in the event that it is unlawful or impractical to make such distributions. We have no obligation to take any action to permit distributions to holders of our ADSs. As a result, holders of ADSs may not receive distributions made by us.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lang w:eastAsia="ru-RU"/>
        </w:rPr>
        <w:t>Risks Relating to Russia and Other Markets in Which We Operate</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Emerging markets such as Russia are subject to greater risks than more developed markets, including significant legal, economic and political risks.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Investors in emerging markets such as Russia should be aware that these markets are subject to greater risk than more developed markets, including in some cases significant legal, economic and political risks. Investors should also note that emerging economies are subject to rapid change and that the information set out herein may become outdated relatively quickly. Accordingly, investors should exercise particular care in evaluating the risks involved and must decide for themselves whether, in light of those risks, their investment is appropriate.</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Generally, investment in emerging markets is only suitable for sophisticated investors who fully appreciate the significance of the risks involved, and investors are urged to consult with their own legal and financial advisors before making an investment in our ADSs.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Know-your-client requirements established by Russian anti-money laundering legislation may adversely impact our transaction volumes.</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Our business is currently subject to know-your-client requirements established by Federal Law of the Russian Federation No. 115-FZ “On Combating the Legalization (Laundering) of Criminally Obtained Income and Funding of Terrorism”, dated August 7, 2001, as amended, or the Anti-Money Laundering Law. Based on the Anti-Money Laundering Law we distinguish three types of consumers based on their level of identification, being anonymous, identified through a simplified procedure and fully identified. There can be no assurance that we will always be able to collect all necessary data to perform the identification procedure in full or that the data the users provide us for the purposes of identification will not contain any mistakes or misstatements and will be correctly matched with the information available in the governmental databases. Due to the lack of clarity and gaps existing under the current customer identification legislation, we have to employ a risk-based approach to customer KYC and sometimes make judgment calls in applying anti-money laundering legislation, with the resulting risk of being found in non-compliance with it. Thus, current situation could cause us to be in violation of the identification requirements. In case we are forced to change our approaches to identification procedure or in case the identification requirements are further tightened, it could negatively affect the number of our consumers and, consequently, our volumes and revenues. Additionally, Russian anti-money laundering legislation is in a constant state of development and is subject to varying interpretations. S</w:t>
      </w:r>
      <w:r>
        <w:rPr>
          <w:rFonts w:eastAsia="Times New Roman" w:asciiTheme="majorHAnsi" w:hAnsiTheme="majorHAnsi" w:cstheme="majorHAnsi"/>
          <w:lang w:eastAsia="ru-RU"/>
        </w:rPr>
        <w:t>ee also “</w:t>
      </w:r>
      <w:r>
        <w:rPr>
          <w:rFonts w:eastAsia="Times New Roman" w:asciiTheme="majorHAnsi" w:hAnsiTheme="majorHAnsi" w:cstheme="majorHAnsi"/>
          <w:i/>
          <w:lang w:eastAsia="ru-RU"/>
        </w:rPr>
        <w:t>– Our services have been and may continue to be used for fraudulent, illegal or improper purposes, which could expose us to additional liability and harm our business</w:t>
      </w:r>
      <w:r>
        <w:rPr>
          <w:rFonts w:eastAsia="Times New Roman" w:asciiTheme="majorHAnsi" w:hAnsiTheme="majorHAnsi" w:cstheme="majorHAnsi"/>
          <w:lang w:eastAsia="ru-RU"/>
        </w:rPr>
        <w:t>”.</w:t>
      </w:r>
      <w:r>
        <w:rPr>
          <w:rFonts w:eastAsia="Arial" w:asciiTheme="majorHAnsi" w:hAnsiTheme="majorHAnsi" w:cstheme="majorHAnsi"/>
          <w:lang w:eastAsia="ru-RU"/>
        </w:rPr>
        <w:t xml:space="preserve"> If we are found to be in non-compliance with any of its requirements, we could not only become subject to fines and other sanctions, but could also have to discontinue to process operations that are deemed to be in breach of the applicable rules and lose associated revenue streams.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Political and governmental instability could adversely affect the value of investments in Russia.</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Political conditions in Russia were highly volatile in the 1990s, as evidenced by the frequent conflicts amongst executive, legislative and judicial authorities, which negatively impacted the business and investment climate in the Russian Federation. Over the past three decades the course of political and other reforms has in some respects been uneven and the composition of the Russian Government has at times been unstable. </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Any significant changes in the Russian Government, the State Duma or the presidency, major policy shifts or eventual lack of consensus between the president, the Russian Government, Russia’s parliament and powerful economic groups could lead to political instability, which could be further exacerbated by the ongoing conflict between Russia and Ukraine. Additionally, the potential for political instability resulting from the worsening of the economic situation in Russia and deteriorating standards of living should not be underestimated. Any such instability could negatively affect the economic and political environment in Russia, particularly in the short term. Shifts in governmental policy and regulation in Russia are less predictable than in many Western democracies and could disrupt or reverse political, economic and regulatory reforms. Any significant change in the Russian Government’s program of reform in Russia could lead to the deterioration of Russia’s investment climate that might limit our ability to obtain financing in the international capital markets or otherwise have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The implementation of government policies in Russia targeted at specific individuals or companies could harm our business as well as investments in Russia more generally.</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The use of governmental power against particular companies or persons, for example, through the tax, environmental or prosecutorial authorities, could adversely affect the Russian economic climate and, if directed against us, our senior management or our major shareholders, could materially adversely affect our business, financial condition and results of operations. Russian authorities have challenged some Russian companies and prosecuted their executive officers and shareholders on the grounds of tax evasion and related charges. In some cases, the results of such prosecutions and challenges have been significant claims against companies for unpaid taxes and the imposition of prison sentences on individuals. There has been speculation that in certain cases these challenges and prosecutions were intended to punish, and deter, opposition to the government or the pursuit of disfavored political or economic agendas. More generally, some observers have noted that takeovers in recent years of major private sector companies in the oil and gas, metals and manufacturing sectors by state-controlled companies following tax, environmental and other challenges may reflect a shift in official policy in favor of state control at the expense of individual or private ownership, at least where large and important enterprises are concerned.</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Deterioration of Russia’s relations with other countries could negatively affect the Russian economy and those of the nearby regions.</w:t>
      </w:r>
    </w:p>
    <w:p w:rsidR="009534E2" w:rsidRDefault="003369EB">
      <w:pPr>
        <w:spacing w:after="200"/>
        <w:ind w:firstLine="461"/>
        <w:rPr>
          <w:rFonts w:eastAsia="Arial" w:asciiTheme="majorHAnsi" w:hAnsiTheme="majorHAnsi" w:cstheme="majorHAnsi"/>
          <w:i/>
          <w:iCs/>
          <w:lang w:eastAsia="ru-RU"/>
        </w:rPr>
      </w:pPr>
      <w:r>
        <w:rPr>
          <w:rFonts w:eastAsia="Arial" w:asciiTheme="majorHAnsi" w:hAnsiTheme="majorHAnsi" w:cstheme="majorHAnsi"/>
          <w:lang w:eastAsia="ru-RU"/>
        </w:rPr>
        <w:t xml:space="preserve">Over the past several years, Russia has been involved in conflicts, both economic and military, involving other members of the CIS or other countries, including, most recently, the conflict with the Ukraine. This has resulted in the deterioration of Russia’s relations with other members of the international community, including the US and various countries in Europe, including unprecedented sanctions imposed against a number of Russian entities and other persons as well as whole sectors of economy and prevailing anti-Russian sentiment in the international community in connection with such conflict (see “– </w:t>
      </w:r>
      <w:r>
        <w:rPr>
          <w:rFonts w:eastAsia="Arial" w:asciiTheme="majorHAnsi" w:hAnsiTheme="majorHAnsi" w:cstheme="majorHAnsi"/>
          <w:i/>
          <w:iCs/>
          <w:lang w:eastAsia="ru-RU"/>
        </w:rPr>
        <w:t>The conflict between Russia and Ukraine, and particularly its 2022 escalation, the US, EU, UK and other countries’ sanctions that have been imposed in connection therewith, the resulting negative implications on the Russian economy, and the measures that are being adopted by Russia in response, could adversely impact our operations and financial condition</w:t>
      </w:r>
      <w:r>
        <w:rPr>
          <w:rFonts w:eastAsia="Arial" w:asciiTheme="majorHAnsi" w:hAnsiTheme="majorHAnsi" w:cstheme="majorHAnsi"/>
          <w:lang w:eastAsia="ru-RU"/>
        </w:rPr>
        <w:t>”). Many of these jurisdictions are home to financial institutions and corporations that are significant investors in Russia and whose investment strategies and decisions have been and may continue to be affected by such conflicts and by worsening relations between Russia and other countries. In addition to the current military conflict in the Ukraine, there have been certain other points of tension between Russia and Western governments in the past. All of the above have led to escalation of geopolitical tensions, including introduction or expansion of international sanctions or other countermeasures by Western countries against Russia, or calls for introduction of additional sanctions, which may continue in the future. These sanctions have had and will continue to have the effect of damaging the Russian economy and may result in a material adverse effect on the Russian economy in 2023-2024. The emergence of new or escalated tensions between Russia and neighboring states or other states could further negatively affect the Russian economy. In addition to the general anti-Russian sentiment that currently prevails among investors as a result of the Ukraine conflict, this may result in a further general lack of confidence among international investors in the region’s economic and political stability and in Russian investments generally in the future. Such lack of confidence may result in reduced liquidity, trading volatility and significant declines in the price of listed securities of companies with significant operations in Russia, including our ADSs, and in our inability to raise debt or equity capital in the international capital markets, which may affect our ability to achieve the level of growth to which we aspire.</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Economic instability in Russia could have an adverse effect on our business.</w:t>
      </w:r>
    </w:p>
    <w:p w:rsidR="009534E2" w:rsidRDefault="003369EB">
      <w:pPr>
        <w:keepNext/>
        <w:spacing w:after="200"/>
        <w:ind w:firstLine="461"/>
        <w:rPr>
          <w:rFonts w:eastAsia="Times New Roman" w:asciiTheme="majorHAnsi" w:hAnsiTheme="majorHAnsi" w:cstheme="majorHAnsi"/>
        </w:rPr>
      </w:pPr>
      <w:r>
        <w:rPr>
          <w:rFonts w:eastAsia="Arial" w:asciiTheme="majorHAnsi" w:hAnsiTheme="majorHAnsi" w:cstheme="majorHAnsi"/>
          <w:lang w:eastAsia="ru-RU"/>
        </w:rPr>
        <w:t>Any of the following risks, which the Russian economy has experienced at various points in the past, may have or have already had a significant adverse effect on the economic climate in Russia and may burden or have already burdened our operations:</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val="ru-RU" w:eastAsia="ru-RU"/>
        </w:rPr>
        <w:t>international sanctions;</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significant declines in gross domestic product, or GDP;</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val="ru-RU" w:eastAsia="ru-RU"/>
        </w:rPr>
        <w:t>high levels of inflation;</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sudden price declines in the natural resource sector;</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high and fast-growing interest rates;</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val="ru-RU" w:eastAsia="ru-RU"/>
        </w:rPr>
        <w:t>unstable credit conditions;</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high state debt/GDP ratio;</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instability in the local currency market;</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a weakly diversified economy which depends significantly on global prices of commodities;</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lack of reform in the banking sector and a weak banking system providing limited liquidity to Russian enterprises;</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val="ru-RU" w:eastAsia="ru-RU"/>
        </w:rPr>
        <w:t>pervasive capital flight;</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corruption and the penetration of organized crime into the economy;</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significant increases in unemployment and underemployment;</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the impoverishment of a large portion of the Russian population;</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large number of unprofitable enterprises which continue to operate due to deficiency in the existing bankruptcy procedure;</w:t>
      </w:r>
    </w:p>
    <w:p w:rsidR="009534E2" w:rsidRDefault="003369EB">
      <w:pPr>
        <w:tabs>
          <w:tab w:val="left" w:pos="1080"/>
        </w:tabs>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prevalent practice of tax evasion; and</w:t>
      </w:r>
    </w:p>
    <w:p w:rsidR="009534E2" w:rsidRDefault="003369EB">
      <w:pPr>
        <w:tabs>
          <w:tab w:val="left" w:pos="1080"/>
        </w:tabs>
        <w:spacing w:after="200"/>
        <w:ind w:left="821" w:hanging="360"/>
        <w:rPr>
          <w:rFonts w:eastAsia="Arial" w:asciiTheme="majorHAnsi" w:hAnsiTheme="majorHAnsi" w:cstheme="majorHAnsi"/>
        </w:rPr>
      </w:pPr>
      <w:r>
        <w:rPr>
          <w:rFonts w:eastAsia="Arial" w:asciiTheme="majorHAnsi" w:hAnsiTheme="majorHAnsi" w:cstheme="majorHAnsi"/>
        </w:rPr>
        <w:t></w:t>
      </w:r>
      <w:r>
        <w:rPr>
          <w:rFonts w:eastAsia="Arial" w:asciiTheme="majorHAnsi" w:hAnsiTheme="majorHAnsi" w:cstheme="majorHAnsi"/>
        </w:rPr>
        <w:tab/>
      </w:r>
      <w:r>
        <w:rPr>
          <w:rFonts w:eastAsia="Arial" w:asciiTheme="majorHAnsi" w:hAnsiTheme="majorHAnsi" w:cstheme="majorHAnsi"/>
          <w:lang w:eastAsia="ru-RU"/>
        </w:rPr>
        <w:t>growth of the black-market economy.</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As Russia produces and exports large quantities of crude oil, natural gas, petroleum products and other commodities, the Russian economy is particularly vulnerable to fluctuations in oil and gas prices as well as other commodities prices, which historically have been subject to significant volatility over time, as illustrated by the recent decline in crude oil prices. Russian banks, and the Russian economy generally, were adversely affected by the global financial crisis. In 2014 and 2015, Russia experienced an economic downturn characterized by substantial depreciation of its currency, sharp fluctuations of interest rates, a decline in disposable income, a steep decline in the value of shares traded on its stock exchanges, a material increase in the inflation rate, and a decline in the gross domestic product. In 2016-2017 some of those economic trends reversed or moderated, with oil prices increasing somewhat, inflation rates declining significantly and gross domestic product returning to modest growth. Economic instability resumed in 2018, with the ruble depreciating significantly and inflation exceeding the government’s forecasts. In 2019, the ruble was relatively stable with intermittent volatility and inflation was below government forecast; however, the value of the ruble significantly dropped in 2020 and then continued to be volatile in 2020, 2021. Another major decline in ruble value occurred in early 2022 in the wake of the military conflict in Ukraine and resulting sanctions. The ruble regained much of the ground it lost by late March 2022 due to extreme protective measures adopted by the Russian government and the CBR, ending the year at RUB 70.34 per US $1.00 on December 31, 2022. See “– </w:t>
      </w:r>
      <w:r>
        <w:rPr>
          <w:rFonts w:eastAsia="Arial" w:asciiTheme="majorHAnsi" w:hAnsiTheme="majorHAnsi" w:cstheme="majorHAnsi"/>
          <w:i/>
          <w:iCs/>
          <w:lang w:eastAsia="ru-RU"/>
        </w:rPr>
        <w:t>We are subject to the economic risk and business cycles of our merchants, partners and agents and the overall level of consumer spending</w:t>
      </w:r>
      <w:r>
        <w:rPr>
          <w:rFonts w:eastAsia="Arial" w:asciiTheme="majorHAnsi" w:hAnsiTheme="majorHAnsi" w:cstheme="majorHAnsi"/>
          <w:lang w:eastAsia="ru-RU"/>
        </w:rPr>
        <w:t>”. The escalation of the Ukraine conflict and the resulting geopolitical crisis and international actions in response to it have had a further adverse effect on the Russian economy in 2022, resulting also in, among other things, the imposition of currency controls, increased levels of migration from Russia, materially increased interest rates and inflation, and are reportedly likely to send Russian economy into recession. There can be no assurance that any measures adopted by the Russian government to mitigate the abovementioned negative effects will result in a sustainable recovery of the Russian economy. Discussions are constantly ongoing with respect to introduction of further sanctions, including various further limits on trade in energy with Russia (in addition to those already introduced), which represent a major source of income for the country. If such measures are adopted, this could further exacerbate the negative implication on the Russian economy.</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As an emerging economy, Russia remains particularly vulnerable to further external shocks. Events occurring in one geographic or financial market sometimes result in an entire region or class of investments being disfavored by international investors – so-called “contagion effects”. Russia has been adversely affected by contagion effects in the past, and it is possible that it will be similarly affected in the future by negative economic or financial developments in other countries. Economic volatility, or a future economic crisis, may undermine the confidence of investors in the Russian markets, which has already been significantly impacted by the Ukraine crisis, and the ability of Russian businesses to raise capital in international markets, which in turn could have a material adverse effect on the Russian economy and the Group’s results of operations, financial condition and prospects. In addition, any further declines in oil and gas prices or other commodities pricing could disrupt the Russian economy and materially adversely affect our business, financial condition, results of operations and prospects.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The banking system in Russia is subject to rapid change and increasing regulatory supervision.</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The banking and other financial systems in Russia have been rapidly developing, and underlying regulation and regulatory scrutiny over the banking and financial services sector has been increasing. Russian legislation relating to banks and bank accounts is subject to varying interpretation and inconsistent application. The 1998 financial crisis resulted in the bankruptcy and liquidation of many Russian banks and almost entirely eliminated the developing market for commercial bank loans at that time. From April to July 2004, the Russian banking sector experienced further serious turmoil. As a result of various market rumors and certain regulatory and liquidity problems, several privately-owned Russian banks experienced liquidity problems and were unable to attract funds on the inter-bank market or from their client base. Simultaneously, they faced large withdrawals of deposits by both retail and corporate customers. Several of these privately-owned Russian banks collapsed or ceased or severely limited their operations. Russian banks owned or controlled by the government and foreign owned banks generally were not adversely affected by the turmoil.</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Although the CBR has the mandate and authority to suspend banking licenses of insolvent banks, some insolvent banks still operate. Many Russian banks also do not meet international banking standards, and the transparency of the Russian banking sector in some respects still lags behind internationally accepted norms. While the CBR has been increasing controls over banks, many banks still may not follow existing CBR regulations with respect to lending criteria, credit quality, loan loss reserves, diversification of exposure or other requirements. The imposition of more stringent regulations or interpretations could lead to weakened capital adequacy and the insolvency of some banks. Prior to the onset of the 2008 global economic crisis, there had been a rapid increase in lending by Russian banks, which many believe had been accompanied by a deterioration in the credit quality of the loan portfolio of those banks. In addition, a robust domestic corporate debt market was leading Russian banks to hold increasingly large amounts of Russian corporate ruble bonds in their portfolios, which further deteriorated the risk profile of the assets of Russian banks. The global financial crisis of 2007-2008 has led to the collapse or bailout of some Russian banks and to significant liquidity constraints for others. Profitability levels of most Russian banks have been adversely affected. Indeed, the global crisis has prompted the government to inject substantial funds into the banking system amid reports of difficulties among Russian banks and other financial institutions. In recent years, the CBR has considerably increased the intensity of its supervision and regulation of the Russian banking sector. Historically, the revocation of banking licenses by the CBR has been a relatively rare event mostly occurring to local banks with little assets and little or no significance for the banking sector as a whole. Starting October 2013, however, the CBR has launched a campaign aimed at cleansing the Russian banking industry, revoking the licenses from an unusually high number of banks (including significant banks such as Ugra, Master-Bank, Investbank, ProBusinessBank, Vneshprombank, Tatfondbank and others) on allegations of money laundering, financial statements manipulation and other illegal activities, as well as inability of certain banks to discharge their financial obligations, which resulted in turmoil in the industry, instigated bank runs on a number of Russian credit institutions, and severely undermined the trust that the Russian population had with private banks. In addition, in the course of 2017 three of Russia’s largest private banks, Otkritie Bank, Binbank and Promsvyazbank, were all bailed out and taken over by the CBR through the newly established Banking Industry Consolidation Fund, since all of them were allegedly unable to perform their obligations as they fell due for various reasons. License revocations have continued throughout 2018 and 2019, again with some major banks impacted. The private banking sector in Russia, always relatively minor compared to state players like Sberbank and VTB to begin with, has contracted severely as a result. This can be expected to result in reduced competition in the banking sector (while at the same time putting alternative payment solution providers such as ourselves in the position of having to predominantly compete with the government itself), increased inflation and a general deterioration of the quality of the Russian banking industry. It could be expected that the difficulties currently faced by the Russian economy could result in further collapses of Russian banks. With few exceptions (notably the state-owned banks), the Russian banking system suffers from weak depositor confidence, high concentration of exposure to certain borrowers and their affiliates, poor credit quality of borrowers and related party transactions. Current economic circumstances in Russia, and foreign sanctions that have hit the banking industry in particular disproportionately hard, are putting stress on the Russian banking system. These circumstances decrease the affordability of consumer credit, putting further pressure on overall consumer purchasing power. In addition, these factors could further tighten liquidity on the Russian market and add pressure onto the ruble.</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Our business is significantly affected by development in the Russian banking sector. First, we periodically hold funds in a number of Russian banks and rely on guarantees given by those banks to enhance our liquidity. Increased uncertainty in the Russian banking sector exposes us to additional counterparty risk and affects our liquidity. As a result, the bankruptcy or insolvency of one or more of these banks could adversely affect our business, financial condition and results of operations. The continuation or worsening of the banking crisis could decrease our transaction volumes, while the bankruptcy or insolvency of any of the banks which hold our funds could prevent us from accessing our funds. All of these factors could have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Social instability could lead to labor and social unrest, increased support for renewed centralized authority, nationalism or violence.</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Failures to adequately address social problems have led in the past, and could lead in the future, to labor and social unrest. Labor and social unrest could have political, social and economic consequences, such as increased support for a renewal of centralized authority; increased nationalism, with support for re-nationalization of property, or expropriation of or restrictions on foreign involvement in the economy of Russia; and increased violence. Any of these could have an adverse effect on confidence in Russia’s social environment and the value of investments in Russia, could restrict our operations and lead to a loss of revenue, and could otherwise have a material adverse effect on its business, results of operations and financial condition.</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Russia is exposed to high levels of inflation.</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As a substantial portion of our expenses (including operating costs and capital expenditures) are denominated in rubles, the relative movement of inflation and exchange rates significantly affects our results of operations. The effects of inflation could cause some of our costs to rise. Russia has experienced high levels of inflation since the early 1990s. For example, inflation increased dramatically after the 1998 financial crisis, reaching a rate of 84.4% in that year. Starting from 2016, inflation relatively stabilized reaching 3% in 2019 and 4.9% in 2020. In 2021, the level of inflation significantly increased and amounted to 8.4%, according to Rosstat, mainly as a result of the COVID-19 pandemic, and, in 2022, the inflation reached 11.9% as a result of the effect the escalation of the conflict between Russia and Ukraine has had on the Russian economy. Certain of our costs, such as salaries and rent, are affected by inflation in Russia. To the extent the inflation causes these costs to increase, such inflation may materially adversely affect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The immaturity of legal systems, processes and practices in Russia may adversely affect our business, financial condition and results of operations.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Risks associated with the legal system of Russia include, to varying degrees, inconsistencies between and among laws, presidential decrees, edicts and governmental and ministerial orders and resolutions; conflicting local, regional, and federal rules and regulations; the lack of judicial or administrative guidance regarding the interpretation of the applicable rules; the untested nature of the independence of the judiciary and its immunity from political, social and commercial influences; the relative inexperience of jurists, judges and courts in interpreting recently enacted legislation and complex commercial arrangements; a high degree of unchecked discretion on the part of governmental authorities; alleged corruption within the judiciary and governmental authorities; substantial gaps in the regulatory structure due to delays in or absence of implementing regulations; bankruptcy procedures that are not well-developed and are subject to abuse; and a lack of binding judicial precedent. All of these weaknesses affect our ability to protect and enforce our legal rights, including rights under contracts, and to defend against claims by others. In addition, the merger of the Supreme Arbitration Court of the Russian Federation, which used to oversee business disputes, into the Supreme Court, which used to only handle criminal cases and civil lawsuits, is viewed by some as having further aggravated these issues. The Russian judicial system is not immune from economic and political influences.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The Russian court system is understaffed and underfunded, and the quality of justice, duration of legal proceedings, and performance of courts and enforcement of judgments remain problematic. Under Russian legislation, judicial precedents generally have no binding effect on subsequent decisions and are not recognized as a source of law. However, in practice, courts usually consider judicial precedents in their decisions. Enforcement of court judgments can in practice be very difficult and time-consuming in Russia. Additionally, court claims are sometimes used in furtherance of political and commercial aims. All of these factors can make judicial decisions in Russia difficult to predict and make effective redress problematic in certain instances.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The relatively recent enactment of many laws, the lack of consensus about the scope, content and pace of political and economic reform and the rapid evolution of legal systems in ways that may not always coincide with market developments have resulted in legal ambiguities, inconsistencies and anomalies and, in certain cases, the enactment of laws without a clear constitutional or legislative basis. Legal and bureaucratic obstacles and corruption exist to varying degrees in each of the regions in which we operate, and these factors are likely to hinder our further development. These characteristics give rise to investment risks that do not exist in countries with more developed legal systems. The developing nature of the legal systems in Russia could materially adversely affect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Unlawful, selective or arbitrary government action may have an adverse effect on our business.</w:t>
      </w:r>
    </w:p>
    <w:p w:rsidR="009534E2" w:rsidRDefault="003369EB">
      <w:pPr>
        <w:keepLines/>
        <w:spacing w:after="200"/>
        <w:ind w:firstLine="461"/>
        <w:rPr>
          <w:rFonts w:eastAsia="Times New Roman" w:asciiTheme="majorHAnsi" w:hAnsiTheme="majorHAnsi" w:cstheme="majorHAnsi"/>
        </w:rPr>
      </w:pPr>
      <w:r>
        <w:rPr>
          <w:rFonts w:eastAsia="Arial" w:asciiTheme="majorHAnsi" w:hAnsiTheme="majorHAnsi" w:cstheme="majorHAnsi"/>
          <w:lang w:eastAsia="ru-RU"/>
        </w:rPr>
        <w:t>Governmental authorities have a high degree of discretion in Russia and at times appear to act selectively or arbitrarily, without hearing or prior notice, and in a manner that is contrary to law or influenced by political or commercial considerations. Moreover, the Russian Government also has the power in certain circumstances, by regulation or government act, to interfere with the performance of, nullify or terminate contracts. Unlawful, selective or arbitrary governmental actions have reportedly included denial or withdrawal of licenses, sudden and unexpected tax audits, criminal prosecutions and civil actions. Federal and local government entities also appear to have used common defects in matters surrounding share issuances and registration as pretexts for court claims and other demands to invalidate the issuances or registrations or to void transactions, seemingly for political purposes. Moreover, selective, public criticism by Russian Government officials of Russian companies has in the past caused the price of publicly traded securities in such Russian companies to sharply decline, and there is no assurance that any such public criticism by Russian Government officials in the future will not have the same negative affect. Standard &amp; Poor’s has expressed concerns that “Russian companies and their investors can be subjected to government pressure through selective implementation of regulations and legislation that is either politically motivated or triggered by competing business groups”. In this environment, our competitors could receive preferential treatment from the government, potentially giving them a competitive advantage. Unlawful, selective or arbitrary governmental action, if directed at our operations in Russia, could materially and adversely affect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Shareholder liability under Russian corporate law could cause us to become liable for the obligations of our subsidiaries.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Russian law generally provides that shareholders in a Russian joint-stock company or participants in a limited liability company are not liable for that company’s obligations and risk only the loss of their investment. This may not be the case, however, when one company (the “effective parent”) is capable of making decisions for another (the “effective subsidiary”). Under certain circumstances, the effective parent bears joint and several responsibilities for transactions concluded by the effective subsidiary in carrying out such decisions.</w:t>
      </w:r>
    </w:p>
    <w:p w:rsidR="009534E2" w:rsidRDefault="003369EB">
      <w:pPr>
        <w:spacing w:after="200"/>
        <w:ind w:firstLine="461"/>
        <w:rPr>
          <w:rFonts w:eastAsia="Arial" w:asciiTheme="majorHAnsi" w:hAnsiTheme="majorHAnsi" w:cstheme="majorHAnsi"/>
        </w:rPr>
      </w:pPr>
      <w:r>
        <w:rPr>
          <w:rFonts w:eastAsia="Arial" w:asciiTheme="majorHAnsi" w:hAnsiTheme="majorHAnsi" w:cstheme="majorHAnsi"/>
          <w:lang w:eastAsia="ru-RU"/>
        </w:rPr>
        <w:t>In addition, under Russian law, an effective parent is secondarily liable for an effective subsidiary’s debts if an effective subsidiary becomes insolvent or bankrupt as a result of the action of an effective parent. In these instances, the other shareholders of the effective subsidiary may claim compensation for the effective subsidiary’s losses from the effective parent that causes the effective subsidiary to take action or fail to take action knowing that such action or failure to take action would result in losses. We could be found to be the effective parent of our subsidiaries, in which case we would become liable for their debts, which could have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Arial" w:asciiTheme="majorHAnsi" w:hAnsiTheme="majorHAnsi" w:cstheme="majorHAnsi"/>
          <w:b/>
          <w:bCs/>
          <w:i/>
          <w:iCs/>
          <w:lang w:eastAsia="ru-RU"/>
        </w:rPr>
        <w:t>Our operations in Kazakhstan are growing, and many of the risks we face in Kazakhstan are similar to those we face in Russia.</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 xml:space="preserve">In addition to Russia, we have operations in Kazakhstan. In many respects, the risks we face in operating in payment business in Kazakhstan are similar to those in Russia as set out above in “– </w:t>
      </w:r>
      <w:r>
        <w:rPr>
          <w:rFonts w:eastAsia="Arial" w:asciiTheme="majorHAnsi" w:hAnsiTheme="majorHAnsi" w:cstheme="majorHAnsi"/>
          <w:i/>
          <w:iCs/>
          <w:lang w:eastAsia="ru-RU"/>
        </w:rPr>
        <w:t>Risks Relating to the Russia and Other Markets in Which We Operate</w:t>
      </w:r>
      <w:r>
        <w:rPr>
          <w:rFonts w:eastAsia="Arial" w:asciiTheme="majorHAnsi" w:hAnsiTheme="majorHAnsi" w:cstheme="majorHAnsi"/>
          <w:lang w:eastAsia="ru-RU"/>
        </w:rPr>
        <w:t xml:space="preserve">”. As is typical of an emerging market, Kazakhstan does not possess a well-developed business, legal and regulatory infrastructure and has been subject to substantial political, economic and social change. Our business in Kazakhstan is subject to Kazakhstan specific laws and regulations including with respect to tax, anti-corruption, and foreign exchange controls. Such laws are often rapidly changing and are unpredictable.  Kazakhstan continues to develop its regulatory framework. Any new laws that may be introduced may significantly affect the regulatory environment in Kazakhstan which, in turn, may impact our operations there and impose additional regulatory compliance burden on us. </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In addition, we are exposed to foreign currency fluctuations between the Russian ruble and the Kazakh tenge, which could affect our financial position and our profitability. Our failure to manage the risks associated with doing business in Kazakhstan could have an adverse effect upon our results of operations.</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lang w:eastAsia="ru-RU"/>
        </w:rPr>
        <w:t>Risks Relating to Taxation</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Global anti-offshore measures may have adverse impact on our business, financial condition and results of operations.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 2013 the Organization for Economic Co-operation and Development (“OECD”) and G20 countries accepted that existing international tax rules create opportunities for base erosion and profit shifting, because these rules have been designed more than a century ago. Pursuing solutions for this problem, OECD and G20 countries adopted a 15-point Action Plan to Base Erosion and Profit Shifting (“BEPS”). The BEPS package of measures represents the substantial renovation of the international tax rules. In light of the new measures, it is expected that profits will be reported where the economic activities that generate them are carried out and where value is created.</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 Convention on Mutual Administrative Assistance in Tax Matters developed by the Council of Europe and the OECD in 1988 and amended by Protocol in 2010 is now signed by 146 jurisdictions (the Russian Federation, Cyprus, UAE are among the signatories). This Convention, by virtue of its Article 6, requires competent authorities of jurisdictions-signatories to participate in the automatic exchange of information that is foreseeably relevant for the administration or enforcement of their domestic laws concerning the taxes. In addition, by virtue of Article 5 the Convention requires competent authorities of jurisdictions-signatories to participate in the exchange of information on request and, by virtue of Article 7, stipulates that such competent authorities should participate in spontaneous exchange of information. The tax authorities (including, Russian, Cypriot and UAE tax authorities) already cooperate in terms of mutual administrative assistance in tax matters. In compliance with the requirements of Article 6 of this Convention in 2016 the Russian Federation joined the Standard for Automatic Exchange of Financial Account Information (Common Reporting Standard, the “CRS”). CRS calls on jurisdictions to obtain information from their financial institutions and automatically exchange that information with other jurisdictions on an annual basis. On October, 2022 G-20 agreed to supplement the CRS model rules by adopting rules on exchange of information on cryptocurrency transactions and approved additions to unified standards on exchange of information on financial accounts, which will become an integral part of the automatic exchange of information for tax purposes. The Russian Federation does not apply automatic exchange of financial information with the UK, US and some other jurisdictions. In addition, in 2022, a number of countries suspended international exchange of tax information with Russia and Russia was also included in “the EU black list” (see “– </w:t>
      </w:r>
      <w:r>
        <w:rPr>
          <w:rFonts w:eastAsia="Times New Roman" w:asciiTheme="majorHAnsi" w:hAnsiTheme="majorHAnsi" w:cstheme="majorHAnsi"/>
          <w:i/>
          <w:iCs/>
          <w:lang w:eastAsia="ru-RU"/>
        </w:rPr>
        <w:t>Weaknesses and changes in the Russian tax system could materially and adversely affect our business and the value of investments in Russia</w:t>
      </w:r>
      <w:r>
        <w:rPr>
          <w:rFonts w:eastAsia="Times New Roman" w:asciiTheme="majorHAnsi" w:hAnsiTheme="majorHAnsi" w:cstheme="majorHAnsi"/>
          <w:lang w:eastAsia="ru-RU"/>
        </w:rPr>
        <w:t>”). Russia still applies automatic exchange of financial information with Cyprus, UAE and other jurisdictions.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Russian Federation also adopted country-by-country reporting (“CbCR”) requirements which assume automatic exchange of county-by-country reports. The mandatory CbCR reporting for multinational enterprise groups was introduced in Cyprus as well. The new means of global exchange of financial information provide for much more transparency of international transactions. Due to information exchange instruments the tax authorities are becoming much more efficient in combating tax avoidance.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above developments in terms of global information exchange could complicate tax planning as well as related business decisions and could possibly expose us to significant fines and penalties and to enforcement measures, despite our best efforts at compliance, and could result in a greater than expected tax burden.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On November 24, 2016, the OECD published the Multilateral Convention to Implement Tax Treaty Related Measures to Prevent BEPS (“MLI”) which introduces new provisions to existing double tax treaties limiting the use of tax benefits provided thereof. As a minimum standard MLI implements principle purposes test, under which treaty benefits are disallowed if one of the principle purposes of the transaction or the structure was to obtain tax benefit. Depending on the position chosen by the party of MLI, certain optional provisions limiting tax treaty benefits could also apply. For example, the reduced rate on dividends provided under a double tax treaty shall be denied if the conditions for holding equity interest or shares by the time of the dividend payout are met over less than a 365-day period. T</w:t>
      </w:r>
      <w:r>
        <w:rPr>
          <w:rFonts w:eastAsia="Times New Roman" w:asciiTheme="majorHAnsi" w:hAnsiTheme="majorHAnsi" w:cstheme="majorHAnsi"/>
          <w:szCs w:val="18"/>
          <w:lang w:eastAsia="ru-RU"/>
        </w:rPr>
        <w:t xml:space="preserve">he optional provisions of MLI also provide for Dual Resident Entities rules under which if there is a conflict of tax residency for the person (other than an individual) and competent authorities do not come to an agreement on the relevant person, it shall not be entitled to any tax relief or exemption provided by the relevant double tax treaty except to the extent as may be agreed upon by the competent authorities. Given that certain provisions of MLI are optional and are subject to notifications and reservations by the states-parties, </w:t>
      </w:r>
      <w:r>
        <w:rPr>
          <w:rFonts w:eastAsia="Times New Roman" w:asciiTheme="majorHAnsi" w:hAnsiTheme="majorHAnsi" w:cstheme="majorHAnsi"/>
          <w:lang w:eastAsia="ru-RU"/>
        </w:rPr>
        <w:t>tax consequences should now be determined by way of considering several sources of legislation, namely the domestic tax law, double tax treaties and MLI provisions, which have been adopted by states-parties to the relevant double tax treaty.</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Cyprus Government ratified the MLI on January 22, 2020. </w:t>
      </w:r>
      <w:r>
        <w:rPr>
          <w:rFonts w:eastAsia="Times New Roman" w:asciiTheme="majorHAnsi" w:hAnsiTheme="majorHAnsi" w:cstheme="majorHAnsi"/>
          <w:szCs w:val="18"/>
          <w:lang w:eastAsia="ru-RU"/>
        </w:rPr>
        <w:t xml:space="preserve">Cyprus has adopted the minimum standards of the MLI and made full reservations on all other provisions of the MLI, including replacement of the “effective management” concept with the mutual agreement procedure between the jurisdictions of which the entity shall be deemed to be a resident. In effect, the double tax treaties of Cyprus will be amended to include these provisions without further bilateral negotiations after the other jurisdiction of the respective tax treaty has deposited its instrument of ratification, acceptance, or approval of the MLI, and a specified time period has passed. </w:t>
      </w:r>
      <w:r>
        <w:rPr>
          <w:rFonts w:eastAsia="Times New Roman" w:asciiTheme="majorHAnsi" w:hAnsiTheme="majorHAnsi" w:cstheme="majorHAnsi"/>
          <w:lang w:eastAsia="ru-RU"/>
        </w:rPr>
        <w:t xml:space="preserve">The UAE has ratified MLI on May </w:t>
      </w:r>
      <w:r>
        <w:rPr>
          <w:rFonts w:eastAsia="Times New Roman" w:asciiTheme="majorHAnsi" w:hAnsiTheme="majorHAnsi" w:cstheme="majorHAnsi"/>
          <w:szCs w:val="18"/>
          <w:lang w:eastAsia="ru-RU"/>
        </w:rPr>
        <w:t xml:space="preserve">29, </w:t>
      </w:r>
      <w:r>
        <w:rPr>
          <w:rFonts w:eastAsia="Times New Roman" w:asciiTheme="majorHAnsi" w:hAnsiTheme="majorHAnsi" w:cstheme="majorHAnsi"/>
          <w:lang w:eastAsia="ru-RU"/>
        </w:rPr>
        <w:t>2019 covering 114 of its double tax treaties, adopting the minimum standards and making certain reservations with respect to optional provisions.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On May 1, 2019 the MLI was ratified by the Russian Federation. Starting from 2021, MLI has come into effect in respect of withholding taxes covered by tax treaties concluded by the Russian Federation with 34 countries (including tax treaty with Cyprus). Starting from 2022, MLI has become into effect in respect of withholding taxes covered by tax treaties concluded by the Russian Federation with 7 more countries. Application of MLI could potentially limit tax benefits granted by double tax treaties of the Russian Federation and Cyprus.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OECD Inclusive Framework (IF) on BEPS have been developing a ‘two-pillar’ approach in an effort to address the tax challenges arising from the digitalization of the economy (also known as the BEPS 2.0 project). In June and July 2021, a political agreement on the key aspects of the proposals was reached by the G7, G20, and many of the OECD IF countries. Furthermore, in October 2021, the OECD/G20 IF published an updated statement on the two-pillar solution. Under Pillar One, a formulaic share of the consolidated profit of certain multinational enterprises (MNE) will be allocated to markets (i.e. where sales arise). Pillar One will apply to MNEs with profitability above 10% and global turnover above EUR 20 billion. Pillar Two introduces a global minimum effective tax rate of 15%. Companies with global turnover above EUR 750 million will be within the scope of Pillar Two, with headquarter jurisdictions retaining the option to apply the rules to smaller, domestic MNEs. Pillar Two should also introduce Subject to Tax Rule resulting in additional taxation of certain types of income paid at source to jurisdictions where it taxed at tax rates below certain threshold. Pillar One and Pillar Two are expected to take effect in 2023 at the earliest.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Russian Federation and UAE are members of the IF. Cyprus is not currently a member of the IF, however an announcement issued by the Cyprus Ministry of Finance on October 9 2021 highlighted that Cyprus is in alignment with the principles governing the two-pillar plan of the IF’s agreement.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implementation of global instruments means the application of such instruments by competent authorities on mutually agreed grounds, however, there might be a risk that competent authorities of jurisdictions where our subsidiaries operate would apply newly introduced global transparency instruments inconsistently, which would lead to the imposition of additional taxes on us.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For more details on the possible impact of these measures, see sections below.</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Significant change of substance requirements in certain jurisdictions may adversely impact our business.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Following the global trend on increase of substance requirements in various jurisdictions, starting from 2019, certain jurisdictions (including traditional offshore jurisdictions) implement legislation that requires companies registered in the relevant offshore jurisdiction to maintain actual substance on the territory of such jurisdictions, which may include, amongst others, the qualified personnel, premises located in the particular jurisdiction, reasonable expenses to support daily operation of the company.</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cannot exclude that we might be subject to additional costs and/or tax liabilities resulting from the said requirements, which could have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b/>
          <w:i/>
          <w:lang w:eastAsia="ru-RU"/>
        </w:rPr>
      </w:pPr>
      <w:r>
        <w:rPr>
          <w:rFonts w:eastAsia="Times New Roman" w:asciiTheme="majorHAnsi" w:hAnsiTheme="majorHAnsi" w:cstheme="majorHAnsi"/>
          <w:b/>
          <w:i/>
          <w:lang w:eastAsia="ru-RU"/>
        </w:rPr>
        <w:t>Changes in the Kazakhstan tax system could adversely affect our business and the value of investments in Kazakhstan.</w:t>
      </w:r>
    </w:p>
    <w:p w:rsidR="009534E2" w:rsidRDefault="003369EB">
      <w:pPr>
        <w:keepNext/>
        <w:spacing w:after="200"/>
        <w:ind w:firstLine="461"/>
        <w:rPr>
          <w:rFonts w:eastAsia="Times New Roman" w:asciiTheme="majorHAnsi" w:hAnsiTheme="majorHAnsi" w:cstheme="majorHAnsi"/>
        </w:rPr>
      </w:pPr>
      <w:r>
        <w:rPr>
          <w:rFonts w:eastAsia="Times New Roman" w:asciiTheme="majorHAnsi" w:hAnsiTheme="majorHAnsi" w:cstheme="majorHAnsi"/>
        </w:rPr>
        <w:t>Tax laws and regulations are changing in Kazakhstan. On 21 December 2022, the President signed the Law on introduction of amendments to the Tax Code. An additional condition was introduced for the automatic application of double tax treaties in respect of non-residents’ income in the form of dividends, interest and royalties. In case such income is paid to a related party, a tax resident of the country with which the double tax treaty has been amended by MLI provisions, a tax agent has the right to apply the treaty protection if the following conditions are met:</w:t>
      </w:r>
    </w:p>
    <w:p w:rsidR="009534E2" w:rsidRDefault="003369EB">
      <w:pPr>
        <w:pStyle w:val="ListParagraph"/>
        <w:numPr>
          <w:ilvl w:val="0"/>
          <w:numId w:val="42"/>
        </w:numPr>
        <w:spacing w:after="200"/>
        <w:ind w:left="1080"/>
        <w:rPr>
          <w:rFonts w:eastAsia="Times New Roman" w:asciiTheme="majorHAnsi" w:hAnsiTheme="majorHAnsi" w:cstheme="majorHAnsi"/>
        </w:rPr>
      </w:pPr>
      <w:r>
        <w:rPr>
          <w:rFonts w:eastAsia="Times New Roman" w:asciiTheme="majorHAnsi" w:hAnsiTheme="majorHAnsi" w:cstheme="majorHAnsi"/>
        </w:rPr>
        <w:t>income is subject to inclusion in taxable income of a non-resident and is taxable in the country of its residence without the right to exclude / decrease / adjust such income from taxable income in a reporting period, and (or) refund in a reporting and (or) subsequent periods of tax paid from such taxable income; and</w:t>
      </w:r>
    </w:p>
    <w:p w:rsidR="009534E2" w:rsidRDefault="003369EB">
      <w:pPr>
        <w:pStyle w:val="ListParagraph"/>
        <w:numPr>
          <w:ilvl w:val="0"/>
          <w:numId w:val="42"/>
        </w:numPr>
        <w:spacing w:after="200"/>
        <w:ind w:left="1080"/>
        <w:rPr>
          <w:rFonts w:eastAsia="Times New Roman" w:asciiTheme="majorHAnsi" w:hAnsiTheme="majorHAnsi" w:cstheme="majorHAnsi"/>
        </w:rPr>
      </w:pPr>
      <w:r>
        <w:rPr>
          <w:rFonts w:eastAsia="Times New Roman" w:asciiTheme="majorHAnsi" w:hAnsiTheme="majorHAnsi" w:cstheme="majorHAnsi"/>
        </w:rPr>
        <w:t>the nominal tax rate, which is applied when taxing such income in the country of residence of the non-resident in the reporting period is at least 15%.</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We cannot be guaranteed that the application of the rates established by double tax treaties will not be challenged by tax authorities. In practice, the Kazakhstan tax authorities generally interpret the tax laws in ways that do not favor taxpayers, this may lead to the imposition of arbitrary or onerous taxes and penalties in the future, which could adversely affect our business, financial condition and results of operations.</w:t>
      </w:r>
    </w:p>
    <w:p w:rsidR="009534E2" w:rsidRDefault="003369EB">
      <w:pPr>
        <w:keepNext/>
        <w:keepLines/>
        <w:spacing w:after="200"/>
        <w:rPr>
          <w:rFonts w:eastAsia="Times New Roman" w:asciiTheme="majorHAnsi" w:hAnsiTheme="majorHAnsi" w:cstheme="majorHAnsi"/>
          <w:b/>
          <w:i/>
          <w:lang w:eastAsia="ru-RU"/>
        </w:rPr>
      </w:pPr>
      <w:r>
        <w:rPr>
          <w:rFonts w:eastAsia="Times New Roman" w:asciiTheme="majorHAnsi" w:hAnsiTheme="majorHAnsi" w:cstheme="majorHAnsi"/>
          <w:b/>
          <w:i/>
          <w:lang w:eastAsia="ru-RU"/>
        </w:rPr>
        <w:t>Changes in the UAE tax system, the introduction of income tax and transfer pricing rules could adversely affect our business in UAE.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 xml:space="preserve">On December 9, Federal Decree-Law No. 47/2022 "On Corporate Tax and Income Tax" was published by the Ministry of Finance of the UAE, which establishes income tax and transfer pricing rules in the UAE. </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 xml:space="preserve">The Corporate Tax law provides the legislative basis for the introduction and implementation of a Federal Corporate Tax in the UAE and is effective for financial years starting on or after 1 June 2023. The Corporate Tax law will be effective 15 days after publishing in the official gazette. </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Following from the Consultation Document that was issued in April 2022, the Corporate Tax law clarifies and expands on many key provisions. However, it also leaves a number of areas that remain to be fully clarified in subsequent Cabinet and ministerial decisions and tax authority guidance.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Corporate entities that conduct Business/Business Activity in the UAE are considered a Taxable Person and will be liable to pay Corporate Tax. A Taxable Person can either be a Resident Person or a Non-Resident Person (including Branches, Partnerships and Foundations).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 xml:space="preserve">The Corporate Tax law also imposes an obligation to pay Corporate Tax on residents of Free Zones. The law suggests that a Qualifying Free Zone Person can have both Qualifying Income (taxed at the rate of 0%) and non-qualifying Taxable Income (taxed at 9%), a significant open question from the Consultation Document. However, some questions remain to be answered on this. </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The conditions to be considered a Qualifying Free Zone Person include among others maintaining adequate substance, complying with transfer pricing provisions and not electing to be subject to Corporate Tax. All Free Zone entities will be required to register and file a Corporate Tax return, irrespective of whether they are a Qualifying Free Zone Person or not.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A number of points remain unanswered such as what constitutes Qualifying Income (subject to Cabinet decision), the treatment of transactions between Free Zone entities and group entities located in mainland UAE, and whether the election to become subject to regular Corporate Tax in the UAE is irrevocable.</w:t>
      </w:r>
    </w:p>
    <w:p w:rsidR="009534E2" w:rsidRDefault="003369EB">
      <w:pPr>
        <w:keepNext/>
        <w:spacing w:after="200"/>
        <w:ind w:firstLine="461"/>
        <w:rPr>
          <w:rFonts w:eastAsia="Times New Roman" w:asciiTheme="majorHAnsi" w:hAnsiTheme="majorHAnsi" w:cstheme="majorHAnsi"/>
        </w:rPr>
      </w:pPr>
      <w:r>
        <w:rPr>
          <w:rFonts w:eastAsia="Times New Roman" w:asciiTheme="majorHAnsi" w:hAnsiTheme="majorHAnsi" w:cstheme="majorHAnsi"/>
        </w:rPr>
        <w:t>The UAE Corporate Tax law contains several articles relating to Transfer Pricing. The key points covered under the Corporate Tax law are summarised below:</w:t>
      </w:r>
    </w:p>
    <w:p w:rsidR="009534E2" w:rsidRDefault="003369EB">
      <w:pPr>
        <w:pStyle w:val="ListParagraph"/>
        <w:numPr>
          <w:ilvl w:val="0"/>
          <w:numId w:val="43"/>
        </w:numPr>
        <w:ind w:left="1080"/>
        <w:rPr>
          <w:rFonts w:eastAsia="Times New Roman" w:asciiTheme="majorHAnsi" w:hAnsiTheme="majorHAnsi" w:cstheme="majorHAnsi"/>
        </w:rPr>
      </w:pPr>
      <w:r>
        <w:rPr>
          <w:rFonts w:eastAsia="Times New Roman" w:asciiTheme="majorHAnsi" w:hAnsiTheme="majorHAnsi" w:cstheme="majorHAnsi"/>
        </w:rPr>
        <w:t>Transactions with related parties and connected persons must meet the arm’s length principle.</w:t>
      </w:r>
    </w:p>
    <w:p w:rsidR="009534E2" w:rsidRDefault="003369EB">
      <w:pPr>
        <w:pStyle w:val="ListParagraph"/>
        <w:numPr>
          <w:ilvl w:val="0"/>
          <w:numId w:val="43"/>
        </w:numPr>
        <w:ind w:left="1080"/>
        <w:rPr>
          <w:rFonts w:eastAsia="Times New Roman" w:asciiTheme="majorHAnsi" w:hAnsiTheme="majorHAnsi" w:cstheme="majorHAnsi"/>
        </w:rPr>
      </w:pPr>
      <w:r>
        <w:rPr>
          <w:rFonts w:eastAsia="Times New Roman" w:asciiTheme="majorHAnsi" w:hAnsiTheme="majorHAnsi" w:cstheme="majorHAnsi"/>
        </w:rPr>
        <w:t>TP methods, broadly in line with the OECD TP Guidelines, are introduced.</w:t>
      </w:r>
    </w:p>
    <w:p w:rsidR="009534E2" w:rsidRDefault="003369EB">
      <w:pPr>
        <w:pStyle w:val="ListParagraph"/>
        <w:numPr>
          <w:ilvl w:val="0"/>
          <w:numId w:val="43"/>
        </w:numPr>
        <w:ind w:left="1080"/>
        <w:rPr>
          <w:rFonts w:eastAsia="Times New Roman" w:asciiTheme="majorHAnsi" w:hAnsiTheme="majorHAnsi" w:cstheme="majorHAnsi"/>
        </w:rPr>
      </w:pPr>
      <w:r>
        <w:rPr>
          <w:rFonts w:eastAsia="Times New Roman" w:asciiTheme="majorHAnsi" w:hAnsiTheme="majorHAnsi" w:cstheme="majorHAnsi"/>
        </w:rPr>
        <w:t xml:space="preserve">Definitions of ‘Related Parties’, ‘Control’ and ‘Connected Persons’ are covered. </w:t>
      </w:r>
    </w:p>
    <w:p w:rsidR="009534E2" w:rsidRDefault="003369EB">
      <w:pPr>
        <w:pStyle w:val="ListParagraph"/>
        <w:numPr>
          <w:ilvl w:val="0"/>
          <w:numId w:val="43"/>
        </w:numPr>
        <w:ind w:left="1080"/>
        <w:rPr>
          <w:rFonts w:eastAsia="Times New Roman" w:asciiTheme="majorHAnsi" w:hAnsiTheme="majorHAnsi" w:cstheme="majorHAnsi"/>
        </w:rPr>
      </w:pPr>
      <w:r>
        <w:rPr>
          <w:rFonts w:eastAsia="Times New Roman" w:asciiTheme="majorHAnsi" w:hAnsiTheme="majorHAnsi" w:cstheme="majorHAnsi"/>
        </w:rPr>
        <w:t xml:space="preserve">Concept of transfer pricing adjustments, including corresponding adjustments and potential mechanisms, is provided. </w:t>
      </w:r>
    </w:p>
    <w:p w:rsidR="009534E2" w:rsidRDefault="003369EB">
      <w:pPr>
        <w:pStyle w:val="ListParagraph"/>
        <w:numPr>
          <w:ilvl w:val="0"/>
          <w:numId w:val="43"/>
        </w:numPr>
        <w:ind w:left="1080"/>
        <w:rPr>
          <w:rFonts w:eastAsia="Times New Roman" w:asciiTheme="majorHAnsi" w:hAnsiTheme="majorHAnsi" w:cstheme="majorHAnsi"/>
        </w:rPr>
      </w:pPr>
      <w:r>
        <w:rPr>
          <w:rFonts w:eastAsia="Times New Roman" w:asciiTheme="majorHAnsi" w:hAnsiTheme="majorHAnsi" w:cstheme="majorHAnsi"/>
        </w:rPr>
        <w:t>Taxpayers to prepare TP documentation (disclosure form, master file, local file). Conditions and format to be provided under separate ministerial decisions and tax authority guidance.</w:t>
      </w:r>
    </w:p>
    <w:p w:rsidR="009534E2" w:rsidRDefault="003369EB">
      <w:pPr>
        <w:pStyle w:val="ListParagraph"/>
        <w:numPr>
          <w:ilvl w:val="0"/>
          <w:numId w:val="43"/>
        </w:numPr>
        <w:spacing w:after="200"/>
        <w:ind w:left="1080"/>
        <w:rPr>
          <w:rFonts w:eastAsia="Times New Roman" w:asciiTheme="majorHAnsi" w:hAnsiTheme="majorHAnsi" w:cstheme="majorHAnsi"/>
        </w:rPr>
      </w:pPr>
      <w:r>
        <w:rPr>
          <w:rFonts w:eastAsia="Times New Roman" w:asciiTheme="majorHAnsi" w:hAnsiTheme="majorHAnsi" w:cstheme="majorHAnsi"/>
        </w:rPr>
        <w:t>Further details expected via separate ministerial decisions and tax authority guidance.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The provisions put forward in the UAE Corporate Tax law build from best practices globally and incorporate principles that are internationally known and accepted. However, there are still some questions that remain to be answered. It also leaves a number of areas that remain to be fully clarified in subsequent Cabinet and ministerial decisions and tax authority guidance. Upcoming regime will have profound implications on the flow of our business in UAE but we do not know what other changes and additions will be made to the Corporate Tax law, what will be the requirements and issues of local tax authorities. This could adversely affect our business in UAE.</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Weaknesses and changes in the Russian tax system could materially and adversely affect our business and the value of investments in Russia.</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are subject to a broad range of taxes and other compulsory payments imposed at federal, regional and local levels, including, but not limited to, profits tax, VAT and social contributions. Tax laws, namely the Russian Tax Code, have been in force for a short period relative to tax laws in more developed market economies, and the implementation of these tax laws is still unclear or inconsistent. Historically, the system of tax collection has been relatively ineffective. The Russian tax laws and regulations are subject to frequent changes, varying and contradicting interpretations and inconsistent and selective enforcement. Although the quality of Russian tax legislation has generally improved since the introduction of the first and second parts of the Russian Tax Code, the possibility exists that Russia may impose arbitrary or onerous taxes and penalties in the future, which could adversely affect our business, financial condition and results of operations.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A large number of changes have been made to various chapters of the Russian Tax Code since their introduction. Since Russian federal, regional and local tax laws and regulations are subject to changes and some of the sections of the Russian Tax Code relating to the aforementioned taxes are comparatively new, interpretation of these regulations is still unclear or non-existent. Also, different interpretations of tax regulations exist both among and within government bodies at the federal, regional and local levels, which creates uncertainties and inconsistent enforcement. The current practice is that private clarifications to specific taxpayers’ queries with respect to particular situations issued by the Russian Ministry of Finance are not binding on the Russian tax authorities and there can be no assurance that the Russian tax authorities will not take positions contrary to those set out in such clarifications. During the past several years the Russian tax authorities have shown a tendency to take more assertive positions in their interpretation of the tax legislation, which has led to an increased number of material tax assessments issued by them as a result of tax audits. Starting from January 1, 2019 tax authorities are entitled to claim documents (information) used for calculation and payment of taxes (other obligatory payments) from the taxpayers’ auditors. In practice, the Russian tax authorities generally interpret the tax laws in ways that do not favor taxpayers, who often have to resort to court proceedings against the Russian tax authorities to defend their position. In some instances, the Russian tax authorities have applied new interpretations of tax laws retroactively. There is no established precedent or consistent court practice in respect of these issues. Furthermore, in the absence of binding precedent, court rulings on tax or other related matters by different courts relating to the same or similar circumstances may also be inconsistent or contradictory.</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Starting from January 1, 2015</w:t>
      </w:r>
      <w:r>
        <w:rPr>
          <w:rFonts w:eastAsia="Times New Roman" w:asciiTheme="majorHAnsi" w:hAnsiTheme="majorHAnsi" w:cstheme="majorHAnsi"/>
          <w:szCs w:val="18"/>
          <w:lang w:eastAsia="ru-RU"/>
        </w:rPr>
        <w:t>,</w:t>
      </w:r>
      <w:r>
        <w:rPr>
          <w:rFonts w:eastAsia="Times New Roman" w:asciiTheme="majorHAnsi" w:hAnsiTheme="majorHAnsi" w:cstheme="majorHAnsi"/>
          <w:lang w:eastAsia="ru-RU"/>
        </w:rPr>
        <w:t xml:space="preserve"> a number of amendments have been made to the Russian tax legislation introducing, among others, the concepts of controlled foreign companies, corporate tax residency and beneficial ownership (see also “</w:t>
      </w:r>
      <w:r>
        <w:rPr>
          <w:rFonts w:eastAsia="Times New Roman" w:asciiTheme="majorHAnsi" w:hAnsiTheme="majorHAnsi" w:cstheme="majorHAnsi"/>
          <w:i/>
          <w:iCs/>
          <w:lang w:eastAsia="ru-RU"/>
        </w:rPr>
        <w:t xml:space="preserve">Risk Factors – Risks Relating to Taxation - </w:t>
      </w:r>
      <w:r>
        <w:rPr>
          <w:rFonts w:eastAsia="Times New Roman" w:asciiTheme="majorHAnsi" w:hAnsiTheme="majorHAnsi" w:cstheme="majorHAnsi"/>
          <w:i/>
          <w:lang w:eastAsia="ru-RU"/>
        </w:rPr>
        <w:t>Russian anti-offshore measures may have adverse impact on our business, financial condition and results of operations</w:t>
      </w:r>
      <w:r>
        <w:rPr>
          <w:rFonts w:eastAsia="Times New Roman" w:asciiTheme="majorHAnsi" w:hAnsiTheme="majorHAnsi" w:cstheme="majorHAnsi"/>
          <w:lang w:eastAsia="ru-RU"/>
        </w:rPr>
        <w: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On November 27, 2017</w:t>
      </w:r>
      <w:r>
        <w:rPr>
          <w:rFonts w:eastAsia="Times New Roman" w:asciiTheme="majorHAnsi" w:hAnsiTheme="majorHAnsi" w:cstheme="majorHAnsi"/>
          <w:szCs w:val="18"/>
          <w:lang w:eastAsia="ru-RU"/>
        </w:rPr>
        <w:t>,</w:t>
      </w:r>
      <w:r>
        <w:rPr>
          <w:rFonts w:eastAsia="Times New Roman" w:asciiTheme="majorHAnsi" w:hAnsiTheme="majorHAnsi" w:cstheme="majorHAnsi"/>
          <w:lang w:eastAsia="ru-RU"/>
        </w:rPr>
        <w:t xml:space="preserve"> the Federal Law No. 340-FZ introducing CbCR requirements was published. The mandatory filing of CbCR is, in general, in line with the OECD recommendations within the BEPS initiative. The law has taken effect on the date of its official publication, and its provisions apply to financial years starting in 2017 (except for the provisions regarding the national documentation). These amendments require multinational corporate enterprise groups with consolidated revenues of over certain threshold to submit annual CbCR, as well as certain other reporting forms detailing multinational corporate enterprises groups operations (locally and globally, respectively), as well as transfer pricing methodologies applied to intra-group transactions. Thus, if we reach the reporting threshold established for the consolidated revenue of the group (over RUB 50 billion if parent company for CbCR purposes is regarded as Russian tax resident or over relevant threshold established in any other jurisdiction as applicable (e.g. EUR 750 million for Cyprus)) we may be liable to submit relevant CbCR. It is unclear at the moment how the above measures will be applied in practice by the tax authorities and courts. It is important that, for example, the above changes and amendments to the Russian Tax Code introduced by the law do not replace the already existing transfer pricing documentation requirements.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As mentioned in “</w:t>
      </w:r>
      <w:r>
        <w:rPr>
          <w:rFonts w:eastAsia="Times New Roman" w:asciiTheme="majorHAnsi" w:hAnsiTheme="majorHAnsi" w:cstheme="majorHAnsi"/>
          <w:i/>
          <w:iCs/>
          <w:lang w:eastAsia="ru-RU"/>
        </w:rPr>
        <w:t xml:space="preserve">Global anti-offshore measures may have adverse impact on our business, financial condition and results of operations” </w:t>
      </w:r>
      <w:r>
        <w:rPr>
          <w:rFonts w:eastAsia="Times New Roman" w:asciiTheme="majorHAnsi" w:hAnsiTheme="majorHAnsi" w:cstheme="majorHAnsi"/>
          <w:lang w:eastAsia="ru-RU"/>
        </w:rPr>
        <w:t>the OECD is actively developing a ‘two-pillar’ approach in an effort to address the tax challenges arising from the digitalization of the economy (also known as the BEPS 2.0 project). It is currently unclear how this initiative will be addressed in the Russian tax legislation (if at all), what will be the effect from these initiatives and how these initiatives will impact on business and operations.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Certain other changes were introduced to the Russian Tax Code over the recent years, namely changes to types of controlled transactions subject to transfer pricing rules, increase of the VAT rate to 20%, etc.</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On 2020, the President of the Russian Federation instructed to start the process of changing the double tax treaties with a number of countries, including Cyprus, Netherlands, Malta, Luxembourg and Switzerland. On September 8, 2020 the protocol on amendment of double tax treaty between Russia and Cyprus was signed. The amendments increased withholding tax rate envisaged by this double tax treaty in respect of dividends and interest to 15% (with certain exceptions). The amendments were ratified in the end of 2020 and came into effect starting from January 1, 2021. Similar protocols were signed with Malta and Luxembourg with effect from January 2021 for Malta and from 1 January 2022 for Luxembourg.</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Furthermore, in view of recent events in the first quarter of 2022 Latvia announced the suspension of the double tax treaty with Russia although the treaty does not provide for such mechanism. A similar decision to suspend the DTT until Latvia eliminates its violations of obligations under DTT was confirmed by Russia (President Decree No. 688 dated September 26, 2022) and further developed in draft of the Federal Law No. 260077-8. Despite the fact that such decisions of the Latvia and Russia do not comply with the terms of the DTT and their legal status is not entirely clear, we expect that in practice benefits under the double tax treaty between the Russian Federation and Latvia could be challenged. </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After the events in February 2022, a number of countries announced that they suspend international exchange of tax information with Russia (such as Isle of Man, Guernsey, Jersey, Germany, USA, Latvia, Ukraine, Austria, Switzerland). Moreover, on February 14, 2023, Russia was included in the EU list of non-cooperative jurisdictions for tax purposes (“the EU black list”). At the moment there is no certainty what measures the EU countries will apply to Russia and what impact these measures will have on the tax burden in the countries where the company operates. In turn, the Russian Government included Canada and Cayman Islands in Russian “black list” of non-cooperative jurisdictions for tax purposes. Certain tax benefits and exemptions envisaged by the Russian Tax Code could be not achievable if companies from such black-listed jurisdictions are involved, such as exemptions related to international holding companies, CFCs, etc. </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Further, in February 2023 Russian Federation was included into the list of jurisdictions non-cooperative in tax sphere (“the EU black list”). </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On 15 March 2023 the official press release was published by Ministry of Finance of the Russian Federation stating that the Ministry of Finance and Ministry of Foreign Affairs of Russian Federation initiate the proposal to the President of Russian Federation to issue a decree suspending the application of double tax treaties with the jurisdictions regarded as “unfriendly” until “the unilateral economic and other measures in relation to the Russian Federation violating its rights are removed”. Currently, it is not known how this new initiative will develop. We cannot exclude that Russian double tax treaties with certain jurisdictions may be either denounced or suspended which may result in disallowance of tax benefits with respect to income paid to such jurisdictions from Russian sources. This may lead to the increased tax costs and have an adverse effect on our business and financial condition. </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ongoing conflict between Russia and Ukraine with subsequent increased tension in political environment and introduction of the economic sanctions and counter-sanctions could have effect on international positions related to tax matters and on possible further changes of the Russian tax legislation, introduction of new tax rules and additional tax-raising measures. We cannot exclude the possibility that the Russian Government and (or) other jurisdictions could implement certain unpredictable and unforeseen tax measures which may have a material adverse effect on our business, financial condition and results of operations.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Some of the employees employed by our Russian subsidiaries could work remotely outside the territory of Russian Federation without informing their employers. Although, there are technical arguments to say that our Russian subsidiaries should not be regarded as tax agents with respect to the remuneration paid to such employees we believe that there is certain risk that our Russian subsidiaries could, nevertheless, be asked to withhold additional personal income tax in such situation. In particular, if the tax residency status of the employees has been changed (i.e. the employees become non-residents for Russian tax purposes), we cannot exclude that such Russian employers could be asked to withhold additional personal tax at a rate of 30%. Alternatively, we cannot exclude that the employees could claim from the employer personal income tax withheld from their remuneration received while they worked outside of the Russian Federation. In this case we believe that our Russian subsidiaries could face difficulties in getting this tax refunded/offset from the tax authorities.  </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There are also officially discussed plans to introduce windfall tax in Russia to be paid by the corporate taxpayers in 2023 or 2024. Although, no formal decisions are taken yet, it is generally understood that such tax is applicable to major taxpayers (except for those operating in oil and gas industry) with profits exceeding certain thresholds. It is aimed to raise overall 200-300 billion rubles to the Russian budget. The tax rate as well as the mechanism of its calculation are not yet agreed. Based on currently available information we cannot exclude that some of our Russian subsidiaries may fall under the scope of the above windfall tax which may have a material adverse effect on our business, financial condition and results of operations.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There can be no assurance that the Russian Tax Code will not be changed in the future in a manner adverse to the stability and predictability of the tax system. These factors, together with the potential for state budget deficits, raise the risk of the imposition of additional taxes on us. The introduction of new taxes or amendments to current taxation rules may have a substantial impact on the overall amount of our tax liabilities. There is no assurance that we would not be required to make substantially larger tax payments in the future, which may adversely affect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Our business in Russia may be deemed to receive unjustified tax benefits.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its decision No 138-0 dated July 25, 2001, the Constitutional Court of the Russian Federation, or the Constitutional Court, introduced the concept of “a taxpayer acting in a bad faith” without clearly stipulating the criteria for it. Although this concept is not defined in Russian tax law, it has been used by the tax authorities to deny, for instance, the taxpayer’s right to obtain tax deductions and benefits provided by the tax law. The tax authorities and courts often exercise significant discretion in interpreting this concept in a manner that is unfavorable to taxpayers.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concept of “unjustified tax benefit” was formulated in Resolution No. 53 issued by the Plenum of the Supreme Arbitrazh Court of the Russian Federation in 2006. The concept is defined in the resolution mainly by reference to specific examples of tax benefits obtained as a result of a transaction that has no reasonable business purpose and which may lead to disallowance of their application.</w:t>
      </w:r>
    </w:p>
    <w:p w:rsidR="009534E2" w:rsidRDefault="003369EB">
      <w:pPr>
        <w:keepLines/>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On July 19, 2017</w:t>
      </w:r>
      <w:r>
        <w:rPr>
          <w:rFonts w:eastAsia="Times New Roman" w:asciiTheme="majorHAnsi" w:hAnsiTheme="majorHAnsi" w:cstheme="majorHAnsi"/>
          <w:szCs w:val="18"/>
          <w:lang w:eastAsia="ru-RU"/>
        </w:rPr>
        <w:t>,</w:t>
      </w:r>
      <w:r>
        <w:rPr>
          <w:rFonts w:eastAsia="Times New Roman" w:asciiTheme="majorHAnsi" w:hAnsiTheme="majorHAnsi" w:cstheme="majorHAnsi"/>
          <w:lang w:eastAsia="ru-RU"/>
        </w:rPr>
        <w:t xml:space="preserve"> new anti-avoidance provisions were introduced by the Article 54.1 of the Russian Tax Code, which replaced the previously existing concept of “unjustified tax benefit”. These anti-avoidance provisions establish two specific criteria that should be met simultaneously to entitle a taxpayer to reduce the tax base or the amount of tax: (i) the main purpose of the transaction (operation) is not a non-payment (incomplete payment) and (or) offset (refund) of the amount of tax; and (ii) the obligation under the transaction (operation) is executed by a person who is a party to a contract entered into with the taxpayer and / or a person to whom the obligation to execute a transaction (operation) was transferred under a contract or law. The Russian Tax Code specifically indicates that signing of primary documents by an unidentified or unauthorized person, violation by the counterparty of tax legislation, the possibility to obtain the same result by a taxpayer by entering into other transactions not prohibited by law cannot be considered in itself as a basis for recognizing the reduction of the tax base or the amount of tax unlawful. However, application of these criteria is still under consideration of the tax authorities, therefore, no assurance can be given that positions of taxpayers will not be challenged by the Russian tax authorities.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Russian Ministry of Finance issued clarifications that the concepts expressed in Resolution No. 53 and evolved in the relevant court practice should not be applied by the Russian tax authorities in the course of tax audits following the enactment of new anti-avoidance rules. However, it cannot be excluded that this new concept could be applied by the tax authorities in a broader sense. There were some publications in mass media with reference to the Head of Federal Tax Service of the Russian Federation stating that more than 85% of tax disputes based on Article 54.1 of the Russian Tax Code are ruled out in favor of the tax authorities. Furthermore, recently the Russian tax authorities issued the new clarifications regarding application of Article 54.1 of the Russian Tax Code and on the practice of application of Article 54.1 of the Russian Tax Code where, among other, tax authorities clarify their approach to the general requirement of the Article 54.1 of the Russian Tax Code, approaches to assessing intentionality in the actions of the taxpayer, legal reclassification of operations for tax purposes and the assessment of business purpose criteria. In view of this trend and taking into the account the uncertainties with application of anti-avoidance concept, this could possibly expose our Group to significant fines and penalties and to enforcement measures, despite our best efforts at compliance, and could result in a greater than expected tax burden.</w:t>
      </w:r>
    </w:p>
    <w:p w:rsidR="009534E2" w:rsidRDefault="003369EB">
      <w:pPr>
        <w:keepNext/>
        <w:keepLines/>
        <w:spacing w:after="200"/>
        <w:rPr>
          <w:rFonts w:eastAsia="Times New Roman" w:asciiTheme="majorHAnsi" w:hAnsiTheme="majorHAnsi" w:cstheme="majorHAnsi"/>
          <w:b/>
          <w:i/>
          <w:lang w:eastAsia="ru-RU"/>
        </w:rPr>
      </w:pPr>
      <w:r>
        <w:rPr>
          <w:rFonts w:eastAsia="Times New Roman" w:asciiTheme="majorHAnsi" w:hAnsiTheme="majorHAnsi" w:cstheme="majorHAnsi"/>
          <w:b/>
          <w:i/>
          <w:lang w:eastAsia="ru-RU"/>
        </w:rPr>
        <w:t>The Russian tax authorities may challenge the application of reduced social security contributions, VAT and corporate profits tax rates by some of our Russian companies.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Starting from the January 1, 2022, Russian qualifying IT companies can apply 0% corporate income tax rate instead of general tax rate 20%. The above 0% corporate income tax rate is set for the period from 2022 to 2024. The tax rate after 2024 is not currently established and there is uncertainty on whether 0% or any other beneficial corporate income tax rate could be applied after 2024. IT companies can also enjoy reduced VAT tax rate (0% instead of general tax rate 20%) and a reduced social security contributions rate of 7.6% in relation to payments to employees.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In order to apply the reduced profit tax and social security contributions rates, a taxpayer should be officially accredited to perform IT activity, the share of its income from development, sale and provision of exclusive rights on own developed computer programs and databases, from rendering of services involving development, adaptation, modification and support of computer programs and databases and from some other IT activities with certain exceptions (“preferential IT activity”) should comprise 70% of total income. The VAT exemption applies for providing rights to the use of software and databases included in the Unified Register of Russian Software for Computers and Databases.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 xml:space="preserve">Some of our subsidiaries apply reduced social security contributions, profits tax and VAT rates in accordance with the above preferential tax regime for IT companies. </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There is some uncertainty as to the classification of some types of activities as preferential IT activities for the purposes of application of the reduced tax rates. Relevant provisions of the Tax Code regarding the requirements for application of benefits for IT companies are relatively untested. Given the absence of substantial administrative and court practice, the tax authorities may challenge the application of reduced rates by some of our subsidiaries. Moreover, there is no assurance that the above tax benefits, including reduced corporate income tax rate of 0%, would not be cancelled or amended going forward. This may have an adverse effect on our business, financial condition and results of operations.</w:t>
      </w:r>
    </w:p>
    <w:p w:rsidR="009534E2" w:rsidRDefault="003369EB">
      <w:pPr>
        <w:keepNext/>
        <w:keepLines/>
        <w:spacing w:after="200"/>
        <w:rPr>
          <w:rFonts w:eastAsia="Times New Roman" w:asciiTheme="majorHAnsi" w:hAnsiTheme="majorHAnsi" w:cstheme="majorHAnsi"/>
          <w:b/>
          <w:i/>
          <w:lang w:eastAsia="ru-RU"/>
        </w:rPr>
      </w:pPr>
      <w:r>
        <w:rPr>
          <w:rFonts w:eastAsia="Times New Roman" w:asciiTheme="majorHAnsi" w:hAnsiTheme="majorHAnsi" w:cstheme="majorHAnsi"/>
          <w:b/>
          <w:i/>
          <w:lang w:eastAsia="ru-RU"/>
        </w:rPr>
        <w:t>Certain tax reliefs currently applied by some of our Russian subsidiaries having status of participants of territories with special preferential regimes could cease to be available in the future.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Some of our Russian subsidiaries currently apply tax benefits envisaged for qualified participants of territories with special preferential regimes which is aimed to attract R&amp;D activity in a number of specific technical fields. These tax benefits usually provide for tax exemption from corporate income tax, VAT and property tax and for reduced rates of social security contributions. The above tax benefits have a limited validity period and expire after a certain number of years from the date, when taxpayers became participants of such special territories, or upon losing the status of participant of such special territories. In addition, special preferential regime could be lost once certain revenue/profit thresholds are exceeded by the participants. Certain compliance requirements are applicable to the qualifying participants of territories with special preferential regimes, including those required to confirm the eligibility to some of the above tax benefits.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Given that the volume of operations of our Russian subsidiaries applying tax benefits envisaged in special territories could increase over the time, there cannot be any assurance that the financial thresholds required to apply such tax benefits will not be exceeded which will result in losing the eligibility to such benefits. Losing tax benefits envisaged in special territories may have an adverse effect on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Our Russian subsidiaries are subject to tax audits by the Russian tax authorities which may result in additional tax liabilities.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Generally, taxpayers are subject to tax audits for a period of three calendar years immediately preceding the year in which the decision to conduct the audit is taken. Nevertheless, in some cases the fact that a tax period has been reviewed by the tax authorities does not prevent further review of that tax period, or any tax return applicable to that tax period within three-year statute of limitation period. In addition, based on the court practice and the first part of the Russian Tax Code, the three-year statute of limitations for tax liabilities is extended if the actions of the taxpayer create insurmountable obstacles for the tax audit. Because none of the relevant terms is defined in Russian law, the tax authorities may have broad discretion to argue that a taxpayer has “obstructed” or “hindered” or “created insurmountable obstacles” in respect of an audit, effectively linking any difficulty experienced in the course of their tax audit with obstruction by the taxpayer and use that as a basis to seek tax adjustments and penalties beyond the three-year term. Therefore, the statute of limitations is not entirely effective. Tax audits may result in additional costs to our Group if the relevant tax authorities conclude that our Russian subsidiaries did not satisfy their tax obligations in any given year. Such audits may also impose additional tax burdens on our Group by diverting the attention of management resources. The outcome of these audits could have a material adverse effect on our business, financial condition and results of operations.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In accordance with president’s decree dated 02.03.2022 №83 Federal Tax Service of Russian Federation issued letter dated 24.03.2022 № СД-4-2/3586@ according to which tax audits for all accredited IT-companies were postponed until the 3</w:t>
      </w:r>
      <w:r>
        <w:rPr>
          <w:rFonts w:eastAsia="Times New Roman" w:asciiTheme="majorHAnsi" w:hAnsiTheme="majorHAnsi" w:cstheme="majorHAnsi"/>
          <w:vertAlign w:val="superscript"/>
        </w:rPr>
        <w:t>rd</w:t>
      </w:r>
      <w:r>
        <w:rPr>
          <w:rFonts w:eastAsia="Times New Roman" w:asciiTheme="majorHAnsi" w:hAnsiTheme="majorHAnsi" w:cstheme="majorHAnsi"/>
        </w:rPr>
        <w:t xml:space="preserve"> March 2025, unless tax audit is sanctioned with consent of head of the higher tax authority or with consent of the head of federal tax service. Some of our Russian IT subsidiaries currently enjoy the above preferential approach. There is no assurance that such approach applicable to IT companies will not be cancelled or that our Russian IT subsidiaries will not lose the status of qualifying IT companies to benefit from the above.</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Russian transfer pricing legislation may require pricing adjustments and impose additional tax liabilities with respect to all controlled transactions.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existing Russian transfer pricing rules became effective from January 1, 2012. Under these rules the Russian tax authorities are allowed to make transfer-pricing adjustments and impose additional tax liabilities in respect of certain types of transactions (“controlled” transactions). The list of the “controlled” transactions includes transactions with related parties (with several exceptions such as guarantees between Russian non-banking organizations and interest-free loans between Russian related parties) and certain types of cross border transactions. Starting from 2019, transactions between Russian tax residents are subject to transfer pricing control only if the amount of income from the transactions between these parties within one year exceeds RUB 1 billion and at the same time one of the conditions stipulated in Article 105.14 of the Russian Tax Code (e.g., the parties to the transaction apply different corporate income tax rates) is met. Certain other transactions, such as foreign trade transactions in commodities traded on global exchanges, transactions with counterparties from blacklisted countries, transactions between related parties with participation of the independent intermediary, as well as transactions between the Russian tax resident and foreign tax resident (related parties) remain under control in case the amount of income from transactions between these parties within one year exceeds RUB 120 million threshold. As a side effect of this change, the Russian tax authorities who are entitled to perform tax audits of Russian taxpayers with focus on compliance with existing transfer pricing legislation will no longer be involved in tax audit of transactions between Russian parties due to increased limits on transactions between Russian tax residents but they will be able to pay more attention to cross-border transactions.</w:t>
      </w:r>
    </w:p>
    <w:p w:rsidR="009534E2" w:rsidRDefault="003369EB">
      <w:pPr>
        <w:keepLines/>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The burden of proving market prices, as well as keeping specific documentation, lies with the taxpayers. In certain circumstances, the Russian tax authorities may apply the transfer pricing rules and methods in cases where the rules are formally not applicable, claiming additional tax charges calculated using the transfer rules but based on other tax concepts (e.g. anti-avoidance rules, lack of economic justification of expenses, etc.). For more information see “– </w:t>
      </w:r>
      <w:r>
        <w:rPr>
          <w:rFonts w:eastAsia="Times New Roman" w:asciiTheme="majorHAnsi" w:hAnsiTheme="majorHAnsi" w:cstheme="majorHAnsi"/>
          <w:i/>
          <w:iCs/>
          <w:lang w:eastAsia="ru-RU"/>
        </w:rPr>
        <w:t>Our business in Russia may be deemed to receive unjustified tax benefits</w:t>
      </w:r>
      <w:r>
        <w:rPr>
          <w:rFonts w:eastAsia="Times New Roman" w:asciiTheme="majorHAnsi" w:hAnsiTheme="majorHAnsi" w:cstheme="majorHAnsi"/>
          <w:lang w:eastAsia="ru-RU"/>
        </w:rPr>
        <w:t>”. It is therefore possible that the Group entities established in Russia may become subject to transfer pricing tax audits by tax authorities in the foreseeable future. Due to the uncertainty and developing practice of application of the Russian transfer pricing legislation and some unpredictable effect of possible further changes in Russian tax legislation as a result of current unstable international economical and political environment the Russian tax authorities may challenge the level of prices applied by the Group under the “controlled” transactions (including certain intercompany transactions) or challenge the methods used to prove prices applied by the Group, and as a result accrue additional tax liabilities. If additional taxes are assessed with respect to these matters, they could have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Cyprus transfer pricing legislation may require pricing adjustments and impose additional tax liabilities with respect to intra group financing transactions and/or all related party transactions.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arm’s length principle in the Cyprus income tax law requires that all transactions between related parties should be carried out on an arm’s length basis, being at fair values and on normal commercial terms.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More specifically, under the arm’s length principle, where conditions are made or imposed upon the commercial or financial relations of two related parties which differ from those which would have been made between independent parties, any profits which would have accrued to one of the parties had the two parties been independent, but have not so accrued, may be included in the profits of that party and taxed accordingly. The amendment to the income tax law, effective as of January 1, 2015, extends the arm’s length principle by introducing the possibility of, in cases where two related Cyprus tax residents transact and the Cyprus tax authorities make an upward arm’s length adjustment to one of them, effecting a corresponding downwards adjustment to the other one.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On June 30, 2017, the Cyprus tax authorities issued a tax technical circular (Circular) providing guidance for the tax treatment of intra-group financing transactions (IGFTs). The Circular effective as from July 1, 2017 closely follows the application of the arm’s length principle of the OECD Transfer Pricing Guidelines and it applies for all relevant existing and future IGFTs. In this respect, the remuneration on all IGFTs should be supported by a transfer pricing study in order to be accepted by the Cyprus tax authorities.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IGFTs for the purposes of the Circular are defined as (i) any activity relating to granting of loans or cash advances to related companies that is or should be remunerated by interest; and (ii) such activity is financed by financial means and instruments, such as debentures, private loans, cash advances and bank loans.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Circular requires that the transfer pricing study should be prepared by independent experts and will have to be based on the relevant OECD standards for the purposes of (i) describing (delineating) the IGFT by performing a comparability analysis based on the functional and risk profile of the company; and (ii) determining the applicable arm’s length remuneration by performing an economic analysis.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On 30 June 2022 the Cyprus Parliament passed a law introducing detailed transfer pricing legislation, with effect from 1 January 2022, explicitly incorporating the OECD Transfer Pricing Guidelines under legislation in Cyprus. As a result, the Transfer Pricing rules are legislatively implemented and it is now a requirement to justify full compliance with the arm’s length principle on controlled transactions through appropriate documentation.</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We may encounter difficulties in obtaining lower rates of Russian withholding income tax envisaged by the Russia-Cyprus double tax treaty for dividends distributed from Russia.</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Dividends paid by a Russian legal entity to a foreign legal entity are generally subject to Russian withholding income tax at a rate of 15%, although this tax rate may be reduced under an applicable double tax treaty. We intend to rely on the Russia-Cyprus double tax treaty. The Russian-Cyprus double tax treaty allows reduction of withholding income tax on dividends paid by a Russian company to a Cypriot company provided that the following conditions are met: (i) the Cypriot company is a tax resident of Cyprus within the meaning of the tax treaty; (ii) the Cypriot company is the beneficial owner of the dividends; (iii) the dividends are not attributable to a permanent establishment of the Cypriot company in Russia; (iv) the conditions established by the Russia-Cyprus double tax treaty for application of the reduced tax rate are satisfied; (v) the treaty benefits are not disallowed by the applicable provisions of MLI; and (vi) the treaty clearance procedures are duly performed.</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Protocol of September 8, 2020 coming into effect from January 2021 and amending Russia-Cyprus double tax treaty increased withholding tax rates in respect of interest and dividend income to 15% (though it provides for a number of exceptions where the lower rates of 5% or 0% are envisaged). The reduced 5% tax rate in respect of dividend and interest income is envisaged for certain categories of income recipients, including public companies whose shares are listed on a registered stock exchange provided that at least 15% of the voting shares of that company are in free float and which holds directly at least 15% of the capital of the company paying the dividends throughout a 365 days period that includes the day of payment of the dividends. The Cypriot holding company believes that it fulfills the conditions for application of the reduced 5% tax rate under the amended Russia-Cyprus double tax treaty in respect of dividend income, including more than 15% free float. However, there is some uncertainty in respect of the approach as to how to establish the percentage of depository receipts in free float. Although, the Russian Ministry of Finance issued some clarifications on this matter there is still some possibility that different interpretations could be applied given the vague wording of such clarification. Also, there is no assurance that the Russian Ministry of Finance will not revise its position in the future or that the Russian tax authorities will not challenge the company’s position in this respect. There is also no assurance that the reduced withholding income tax rate under the Russia-Cyprus double tax treaty will be applied to interest income.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 xml:space="preserve">Moreover, having regard to current unstable political and economic environment resulting in recent unfavorable developments in double tax treaty relations between Russia and other countries (see “– </w:t>
      </w:r>
      <w:r>
        <w:rPr>
          <w:rFonts w:eastAsia="Times New Roman" w:asciiTheme="majorHAnsi" w:hAnsiTheme="majorHAnsi" w:cstheme="majorHAnsi"/>
          <w:i/>
          <w:iCs/>
        </w:rPr>
        <w:t>Weaknesses and changes in the Russian tax system could materially and adversely affect our business and the value of investments in Russia</w:t>
      </w:r>
      <w:r>
        <w:rPr>
          <w:rFonts w:eastAsia="Times New Roman" w:asciiTheme="majorHAnsi" w:hAnsiTheme="majorHAnsi" w:cstheme="majorHAnsi"/>
        </w:rPr>
        <w:t>”), we cannot exclude that double tax treaty between Russia and Cyprus may be either denounced or suspended in the future which may result in increased tax costs and have an adverse effect on our business and financial condition.</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application of Russia-Cyprus double tax treaty benefits could be also disallowed if our Cypriot holding company fails to duly perform the treaty clearance procedures at the date when the dividend payment is made. In this case, we may seek to claim as a refund the difference between the 15% tax withheld and the reduced rate of 5% (as applicable). However, there can be no assurance that such taxes would be refunded in practice. Furthermore, starting from January 1, 2015, a number of amendments had been made to the Russian tax legislation introducing, amongst others, the concept of beneficial ownership. Under this concept, double tax treaty benefits are only available to the recipient of income from Russian sources, if such recipient is the beneficial owner of the relevant income. Foreign entities that do not qualify as beneficial owners may not claim double tax treaty relief even if they are residents in a double tax treaty country. Starting from 1 January 2017, the Russian Tax Code requires the tax agent to obtain confirmation from the non-resident holder-legal entity that it is the beneficial owner of the relevant income. Russian tax law provides neither the form of such confirmation nor the precise list of documents which can demonstrate the beneficial owner status of the recipient with respect to the received income. Due to the introduction of these changes, there can be no assurance that treaty relief at source will be available in practice. According to the clarifications of the Russian tax authorities, a foreign company may not benefit from a double tax treaty if its activity does not have a real business purpose, if such company does not bear any risks that are normal for business activity, such company does not benefit from the use of such income and its employees actually do not control/ manage such company. If activities of the company are limited to investments and/or financing of a group of companies, it cannot be considered as an independent business activity and it is not enough to confirm the beneficial owner status of the recipient of income. In addition, it is unclear how the beneficial ownership concept will evolve in the future. As a result, there is a risk that application of the concept of beneficial ownership may result in the inability of the foreign companies within our Group to claim benefits under a double taxation treaty through structures which historically have benefited from double taxation treaty protection in Russia.</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Cypriot holding company intends to use simplified approach for confirmation of the beneficial ownership status that has recently been adopted for public companies with shares and (or) depository receipts comprising more that 25% of their share capital admitted to trade on a qualifying stock exchange if the respective confirmation letter on its beneficial ownership status and documents confirming publicly traded company status are in place. Since this simplified approach is relatively new and untested there is no assurance that the Russian tax authorities will not challenge our beneficial ownership status.</w:t>
      </w:r>
    </w:p>
    <w:p w:rsidR="009534E2" w:rsidRDefault="003369EB">
      <w:pPr>
        <w:keepNext/>
        <w:keepLines/>
        <w:spacing w:after="200"/>
        <w:rPr>
          <w:rFonts w:eastAsia="Times New Roman" w:asciiTheme="majorHAnsi" w:hAnsiTheme="majorHAnsi" w:cstheme="majorHAnsi"/>
          <w:bCs/>
          <w:iCs/>
        </w:rPr>
      </w:pPr>
      <w:r>
        <w:rPr>
          <w:rFonts w:eastAsia="Times New Roman" w:asciiTheme="majorHAnsi" w:hAnsiTheme="majorHAnsi" w:cstheme="majorHAnsi"/>
          <w:b/>
          <w:i/>
          <w:lang w:eastAsia="ru-RU"/>
        </w:rPr>
        <w:t>We may be deemed to be a tax resident outside of Cyprus.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According to the provisions of the Cyprus Income Tax Law, a company is considered to be a resident in Cyprus for tax purposes if its management and control is exercised in Cyprus. The concept of “management and control” is not defined in the Cypriot tax legislation. For more details in relation to tax residency in Cyprus see Item 10.E “Taxation – Material Cypriot Tax Considerations – Tax residency of a company”. On 9 December 2021, the Cyprus Parliament voted to pass into law two bills for amending the Cyprus tax legislation in order to address aggressive tax planning, one of which being the introduction of a corporate tax residency test based on incorporation in addition to the existing “management and control” test.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If we are deemed not to be a tax resident in Cyprus, we may not be subject to the Cypriot tax regime other than in respect of Cyprus sourced income and we may be subject to the tax regime of the country in which we are deemed to be a tax resident. Further, we would not be eligible for benefits under the double tax treaties entered into between Cyprus and other countries.</w:t>
      </w:r>
    </w:p>
    <w:p w:rsidR="009534E2" w:rsidRDefault="003369EB">
      <w:pPr>
        <w:keepLines/>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double tax treaty in force between Cyprus and Russia provides that a company shall be deemed to be a tax resident of the state in which the place of effective management of the company is situated. In case both states claim the tax residency of the company, the process of determining the effective management will be achieved through the two states endeavoring to determine the place of effective management by mutual agreement having regard to all relevant factors.</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Our companies established outside of Russia may be exposed to taxation in Russia.</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Due to our international structure (see Item 18 “</w:t>
      </w:r>
      <w:r>
        <w:rPr>
          <w:rFonts w:eastAsia="Times New Roman" w:asciiTheme="majorHAnsi" w:hAnsiTheme="majorHAnsi" w:cstheme="majorHAnsi"/>
          <w:i/>
          <w:iCs/>
          <w:lang w:eastAsia="ru-RU"/>
        </w:rPr>
        <w:t>Financial Statements, Note 5. Consolidated subsidiaries</w:t>
      </w:r>
      <w:r>
        <w:rPr>
          <w:rFonts w:eastAsia="Times New Roman" w:asciiTheme="majorHAnsi" w:hAnsiTheme="majorHAnsi" w:cstheme="majorHAnsi"/>
          <w:lang w:eastAsia="ru-RU"/>
        </w:rPr>
        <w:t>”), we are subject to permanent establishment, tax residency rules and transfer pricing risks in various jurisdictions in which we operate. We manage the related risks by looking at management functions and risks in various countries and level of profits allocated to each subsidiary. If additional taxes are assessed in connection with these matters, they may be material.</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Under the Russian Tax Code, a foreign legal entity may be recognized as a Russian tax resident if such entity is managed from Russia. There are certain rules for determining the place of effective management for foreign companies. In particular, a foreign entity is considered to be managed from Russia if such entity and its business meet at least one of the following criteria: (i) its executive body (bodies) regularly acts (act) on its behalf from Russia; or (ii) its senior (management) staff (persons authorized to plan, supervise and manage the undertaking’s business, and who are liable therefor) predominantly perform their management functions (that is, making decisions and carrying out other actions relating to the business of the entity falling within the competence of its executive bodies) in Russia. If an entity is recognized as Russian tax resident it is obligated to register with the Russian tax authorities, calculate and pay Russian tax on its worldwide income and comply with other tax-related rules established for Russian legal entities or organizations. There is an uncertainty as to how these criteria could be applied by the Russian tax authorities in practice.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may not rule out the possibility that, as a result of these regulations, we or our companies established outside of Russia might be deemed to have become Russian tax residents, subject to all applicable Russian taxes, which could have a material adverse effect on our business, financial conditions and results of operations. In addition, if we are regarded as Russian tax resident dividend income received by the Non-Resident Holders of ADSs may be subject to Russian withholding tax at 15%. Due to certain specifics and uncertainty surrounding the withholding tax mechanism in Russia our recognition as Russian tax resident may also lead to taxation of dividends received by Russian Resident Holders at source at a 15% tax rate, normally applicable to Non-Resident Holders.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Each jurisdiction has its own tax residency requirements. We believe that our subsidiaries do comply with tax residency requirements of the jurisdiction, where they are incorporated; however, there might be a risk that they may be deemed a tax resident outside of countries of their incorporations.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Russian Tax Code contains the concept of a permanent establishment in Russia as means for taxing foreign legal entities, which carry on regular operational activities in Russia beyond the activities of preparatory and auxiliary nature. The Russian double tax treaties with other countries also contain a similar concept. If a foreign company is treated as having a permanent establishment in Russia, it would be subject to Russian taxation in a manner broadly similar to the taxation of a Russian legal entity, but only to the extent of the amount of the foreign company’s income that is attributable to the permanent establishment in Russia. However, the practical application of the concept of a permanent establishment under Russian domestic law is not well developed and so foreign companies having even limited operations in Russia, which would not normally satisfy the conditions for creating a permanent establishment under international rules, may be at risk of being treated as having a permanent establishment in Russia and hence being exposed to Russian taxation. Furthermore, the Russian Tax Code contains attribution rules, which are not sufficiently developed, and there is a risk that the tax authorities might seek to assess Russian tax on the global income of a foreign company. Having a permanent establishment in Russia may also lead to other adverse tax implications, including challenging a reduced withholding tax rate on dividends under an applicable double tax treaty, potential effect on VAT and property tax obligations. There is also a risk that penalties could be imposed by the tax authorities for failure to register a permanent establishment with the Russian tax authorities. Recent events in Russia suggest that the tax authorities may be seeking more actively to investigate and assert whether foreign entities of our Group operate through a permanent establishment in Russia. Any such taxes or penalties could have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Russian anti-offshore measures may have adverse impact on our business, financial condition and results of operations.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Russian Federation, like a number of other countries in the world, is actively involved in introduction of measures against tax evasion through the use of low tax jurisdictions as well as aggressive tax planning structures. Starting from January 1, 2015, the Federal Law No. 376-FZ, introducing the concept of “controlled foreign companies” (the “CFC Rules”), the concept of “corporate tax residency” and the concept of “beneficial ownership” into Russian tax legislation, came into force. Moreover, Russia has entered into several multilateral agreements for the exchange of information between the tax authorities of different countries.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Under the Russian CFC Rules, in certain circumstances, undistributed profits of foreign companies and non-corporate structures (e.g., trusts, funds or partnerships) domiciled in foreign jurisdictions, which are ultimately owned and/ or controlled by Russian tax residents (legal entities and individuals) will be subject to taxation in Russia. The Russian CFC Rules are being constantly developed. In the meantime, certain provisions of the Russian CFC Rules are still ambiguous and may be subject to arbitrary interpretation by the Russian tax authorities.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Under the concept of “corporate tax residency” a foreign legal entity may be recognized as a Russian tax resident (see </w:t>
      </w:r>
      <w:r>
        <w:rPr>
          <w:rFonts w:eastAsia="Times New Roman" w:asciiTheme="majorHAnsi" w:hAnsiTheme="majorHAnsi" w:cstheme="majorHAnsi"/>
          <w:i/>
          <w:iCs/>
          <w:lang w:eastAsia="ru-RU"/>
        </w:rPr>
        <w:t>“</w:t>
      </w:r>
      <w:r>
        <w:rPr>
          <w:rFonts w:eastAsia="Times New Roman" w:asciiTheme="majorHAnsi" w:hAnsiTheme="majorHAnsi" w:cstheme="majorHAnsi"/>
          <w:lang w:eastAsia="ru-RU"/>
        </w:rPr>
        <w:t xml:space="preserve">– </w:t>
      </w:r>
      <w:r>
        <w:rPr>
          <w:rFonts w:eastAsia="Times New Roman" w:asciiTheme="majorHAnsi" w:hAnsiTheme="majorHAnsi" w:cstheme="majorHAnsi"/>
          <w:i/>
          <w:iCs/>
          <w:lang w:eastAsia="ru-RU"/>
        </w:rPr>
        <w:t>Our companies established outside of Russia may be exposed to taxation in Russia</w:t>
      </w:r>
      <w:r>
        <w:rPr>
          <w:rFonts w:eastAsia="Times New Roman" w:asciiTheme="majorHAnsi" w:hAnsiTheme="majorHAnsi" w:cstheme="majorHAnsi"/>
          <w:lang w:eastAsia="ru-RU"/>
        </w:rPr>
        <w:t>”). When an entity is recognized as Russian tax resident it is obligated to register with the Russian tax authorities, calculate and pay Russian tax on its worldwide income and comply with other tax-related rules established for Russian entities. There is still an uncertainty as to how these criteria will be applied by the Russian tax authorities in practice.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Under the Russian Tax Code, a beneficial owner is defined as a person with by means of direct and/or indirect participation or control over other organizations or otherwise, has the right to own, use or dispose of income, or the person on whose behalf another person is authorized to use and/or dispose of such income. When determining the beneficial owner, the functions of a foreign person that is claiming the application of reduced tax rates under an applicable double tax treaty and the risks that such person takes should be analyzed. In accordance with the provisions of the Russian Tax Code, the benefits of a double tax treaty will not apply if a foreign person claiming such benefits has limited powers to dispose of the relevant income, fulfills intermediary functions without performing any other duties or taking any risks and paying such income (partially or in full) directly or indirectly to another person who would not be entitled to the same benefits should it received the income in question directly from Russia. Starting from January 1, 2017, the Russian Tax Code requires a tax agent, i.e. the payer of income, in addition to a certificate of tax residency to obtain a confirmation from the recipient of the income that it is the beneficial owner of the income. To date, there is still no approved or recommended format of such confirmation letter and (or) the precise list of documents to be obtained from the recipient of income claiming the beneficial owner status.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It cannot be excluded that we might be subject to additional tax liabilities because of these changes being introduced and applied to transactions carried out by us, which could have a material adverse effect on our business, financial condition and results of operations (see also “– </w:t>
      </w:r>
      <w:r>
        <w:rPr>
          <w:rFonts w:eastAsia="Times New Roman" w:asciiTheme="majorHAnsi" w:hAnsiTheme="majorHAnsi" w:cstheme="majorHAnsi"/>
          <w:i/>
          <w:iCs/>
          <w:lang w:eastAsia="ru-RU"/>
        </w:rPr>
        <w:t>We may encounter difficulties in obtaining lower rates of Russian withholding income tax envisaged by the Russia-Cyprus double tax treaty for dividends distributed from Russia”, “Global anti-offshore measures may have adverse impact on our business, financial condition and results of operations”</w:t>
      </w:r>
      <w:r>
        <w:rPr>
          <w:rFonts w:eastAsia="Times New Roman" w:asciiTheme="majorHAnsi" w:hAnsiTheme="majorHAnsi" w:cstheme="majorHAnsi"/>
          <w:lang w:eastAsia="ru-RU"/>
        </w:rPr>
        <w:t xml:space="preserve"> and </w:t>
      </w:r>
      <w:r>
        <w:rPr>
          <w:rFonts w:eastAsia="Times New Roman" w:asciiTheme="majorHAnsi" w:hAnsiTheme="majorHAnsi" w:cstheme="majorHAnsi"/>
          <w:i/>
          <w:iCs/>
          <w:lang w:eastAsia="ru-RU"/>
        </w:rPr>
        <w:t>“Our companies established outside of Russia may be exposed to taxation in Russia”</w:t>
      </w:r>
      <w:r>
        <w:rPr>
          <w:rFonts w:eastAsia="Times New Roman" w:asciiTheme="majorHAnsi" w:hAnsiTheme="majorHAnsi" w:cstheme="majorHAnsi"/>
          <w:lang w:eastAsia="ru-RU"/>
        </w:rPr>
        <w:t>).</w:t>
      </w:r>
    </w:p>
    <w:p w:rsidR="009534E2" w:rsidRDefault="003369EB">
      <w:pPr>
        <w:keepNext/>
        <w:keepLines/>
        <w:spacing w:after="200"/>
        <w:rPr>
          <w:rFonts w:eastAsia="Times New Roman" w:asciiTheme="majorHAnsi" w:hAnsiTheme="majorHAnsi" w:cstheme="majorHAnsi"/>
          <w:bCs/>
          <w:iCs/>
        </w:rPr>
      </w:pPr>
      <w:r>
        <w:rPr>
          <w:rFonts w:eastAsia="Times New Roman" w:asciiTheme="majorHAnsi" w:hAnsiTheme="majorHAnsi" w:cstheme="majorHAnsi"/>
          <w:b/>
          <w:bCs/>
          <w:i/>
          <w:iCs/>
          <w:lang w:eastAsia="ru-RU"/>
        </w:rPr>
        <w:t>The Russian thin capitalization rules allow for different interpretations, which may affect our business, results of operations and financial condition</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Russian tax legislation contains thin capitalization rules envisaged under the point 2 of the Article 269 of the Russian Tax Code. These rules under certain conditions limit the amount of interest that could be deducted by the Russian companies with direct or indirect participation of foreign company. These rules were subject to frequent amendments and different interpretations over the past years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Our Russian subsidiaries may be affected by the Russian Federation’s thin capitalisation rules in respect of loans from or have loans guaranteed by foreign or Russian related parties.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It is currently unclear how the Russian tax authorities could interpret and apply thin capitalisation rules. Specifically, it is unclear whether thin capitalization rules should be applied to coupon payments on bonds issued by one of our Russian subsidiaries when the investors in such bonds have irrevocable public offer from Group companies in place. If thin capitalization rules are applied, the Russian tax authorities may disallow part or full coupon payments for income tax deduction purposes. As a result, non-deductible coupon payments would be considered as payment of dividends and subsequently would be subject to withholding tax rate at 13% or 15%. As at the date of this Report there is no available court practice on this matter. It cannot be ruled out that we might be subject to additional tax liabilities, which could have a material adverse effect on our business.</w:t>
      </w:r>
    </w:p>
    <w:p w:rsidR="009534E2" w:rsidRDefault="003369EB">
      <w:pPr>
        <w:keepNext/>
        <w:keepLines/>
        <w:spacing w:after="200"/>
        <w:rPr>
          <w:rFonts w:eastAsia="Times New Roman" w:asciiTheme="majorHAnsi" w:hAnsiTheme="majorHAnsi" w:cstheme="majorHAnsi"/>
          <w:bCs/>
          <w:iCs/>
        </w:rPr>
      </w:pPr>
      <w:r>
        <w:rPr>
          <w:rFonts w:eastAsia="Times New Roman" w:asciiTheme="majorHAnsi" w:hAnsiTheme="majorHAnsi" w:cstheme="majorHAnsi"/>
          <w:b/>
          <w:bCs/>
          <w:i/>
          <w:iCs/>
          <w:lang w:eastAsia="ru-RU"/>
        </w:rPr>
        <w:t>ADS holders outside of Russia may be subject to Russian tax for income earned upon a sale, exchange or disposal of our ADSs.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 the event that the proceeds from a sale, exchange or disposal of ADSs are deemed to be received from a source within Russia, a non-resident holder that is an individual may be subject to Russian tax in respect of such proceeds at a rate of 30% of the gain (such gain being computed as the sales price less any available documented cost deduction, including the acquisition price of the ADSs and other documented expenses, such as depositary expenses and brokers’ fees). In case of non-resident holders that are legal entities or organizations proceeds from sale, exchange or disposal of ADSs would be regarded as Russian source proceeds subject to tax in Russia at the rate of 20% if more than 50% of our assets directly or indirectly consist of immovable property in located in Russia. Relevant tax may be eliminated under any available double tax treaty relief, provided that the necessary requirements to qualify for the treaty relief, including beneficial ownership requirements, and the appropriate administrative requirements under the Russian tax legislation have been met. For example, holders of ADSs that are eligible for the benefits of the US-Russia double tax treaty should generally not be subject to tax in Russia on any gain arising from the disposal of ADSs, provided that the gain is not attributable to a permanent establishment or a fixed base that is or was located in Russia and/or provided that no more than 50% of our assets consist of immovable property situated in Russia (as defined in the treaty). If not less than 50% of our assets were to consist of immovable property situated in Russia, the benefits of the US-Russia double tax treaty may not be available to an ADS holder (whether a legal entity or an individual). For more details, see “</w:t>
      </w:r>
      <w:r>
        <w:rPr>
          <w:rFonts w:eastAsia="Times New Roman" w:asciiTheme="majorHAnsi" w:hAnsiTheme="majorHAnsi" w:cstheme="majorHAnsi"/>
          <w:i/>
          <w:iCs/>
          <w:lang w:eastAsia="ru-RU"/>
        </w:rPr>
        <w:t>Russian Tax Considerations Relevant to the Purchase, Ownership and Disposal of the ADSs</w:t>
      </w:r>
      <w:r>
        <w:rPr>
          <w:rFonts w:eastAsia="Times New Roman" w:asciiTheme="majorHAnsi" w:hAnsiTheme="majorHAnsi" w:cstheme="majorHAnsi"/>
          <w:lang w:eastAsia="ru-RU"/>
        </w:rPr>
        <w:t>”. We believe that this should not be applicable to ADSs as our assets do not directly or indirectly by more than 50% consist of the immovable property located in Russia as of the date of this Report.</w:t>
      </w:r>
    </w:p>
    <w:p w:rsidR="009534E2" w:rsidRDefault="003369EB">
      <w:pPr>
        <w:keepNext/>
        <w:keepLines/>
        <w:spacing w:after="200"/>
        <w:rPr>
          <w:rFonts w:eastAsia="Times New Roman" w:asciiTheme="majorHAnsi" w:hAnsiTheme="majorHAnsi" w:cstheme="majorHAnsi"/>
          <w:bCs/>
          <w:iCs/>
        </w:rPr>
      </w:pPr>
      <w:r>
        <w:rPr>
          <w:rFonts w:eastAsia="Times New Roman" w:asciiTheme="majorHAnsi" w:hAnsiTheme="majorHAnsi" w:cstheme="majorHAnsi"/>
          <w:b/>
          <w:bCs/>
          <w:i/>
          <w:iCs/>
          <w:lang w:eastAsia="ru-RU"/>
        </w:rPr>
        <w:t>Income in the form of material benefit from the acquisition of the ADSs below the fair market value may be subject to Russian personal income tax</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Generally, no Russian tax implications should arise for holders of ADSs, whether resident in Russia or not, upon the purchase of the ADSs. However, in certain circumstances, taxable income in the form of a so-called material benefit (imputed income) may arise for holders who are individuals if the ADSs are purchased at a price below market value. The difference may become subject to Russian personal income tax at the rate of 13% or 15% (if an individual’s annual income is over RUB 5 million) for Russian resident holders which are individuals and, if treated as Russian-source income, 30% (or such other tax rate as may be effective at the time of acquisition) for non-resident holders which are individuals, which may be subject to reduction or elimination under an applicable double taxation treaty. Income in the form of material benefit received in 2022 - 2023 is temporary exempt from Russian personal income tax.</w:t>
      </w:r>
    </w:p>
    <w:p w:rsidR="009534E2" w:rsidRDefault="003369EB">
      <w:pPr>
        <w:keepNext/>
        <w:keepLines/>
        <w:spacing w:after="200"/>
        <w:rPr>
          <w:rFonts w:eastAsia="Times New Roman" w:asciiTheme="majorHAnsi" w:hAnsiTheme="majorHAnsi" w:cstheme="majorHAnsi"/>
          <w:b/>
          <w:i/>
          <w:lang w:eastAsia="ru-RU"/>
        </w:rPr>
      </w:pPr>
      <w:r>
        <w:rPr>
          <w:rFonts w:eastAsia="Times New Roman" w:asciiTheme="majorHAnsi" w:hAnsiTheme="majorHAnsi" w:cstheme="majorHAnsi"/>
          <w:b/>
          <w:i/>
          <w:lang w:eastAsia="ru-RU"/>
        </w:rPr>
        <w:t>We may be classified as a passive foreign investment company (“PFIC”) for US federal income tax purposes, which could result in adverse US federal income tax consequences to US Holders of our ADSs.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We will be classified as a PFIC in any taxable year if either: (a) 50% or more of the fair market value of our gross assets (determined on the basis of a quarterly average) for the taxable year produce passive income or are held for the production of passive income, or (b) 75% or more of our gross income for the taxable year is passive income. For this purpose, cash and assets readily convertible into cash are generally treated as passive assets and our goodwill and other unbooked intangibles will generally be taken into account in determining the value of our assets. </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Based on the composition of our income and assets, we believe that we were classified as a PFIC for the taxable year ended December 31, 2022. The application of the PFIC rules is subject to uncertainty in several respects, and we must make a separate determination after the close of each taxable year as to whether we were a PFIC for such year. Accordingly, there can be no assurance regarding our PFIC status for any taxable year. </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If we are a PFIC for any taxable year during which a US Holder (defined below) holds our ADSs, such holder may be subject to certain adverse US federal income tax consequences. We do not intend to provide the information necessary for the US investor to make a qualified electing fund election with respect to our ADSs. See “</w:t>
      </w:r>
      <w:r>
        <w:rPr>
          <w:rFonts w:eastAsia="Times New Roman" w:asciiTheme="majorHAnsi" w:hAnsiTheme="majorHAnsi" w:cstheme="majorHAnsi"/>
          <w:i/>
          <w:iCs/>
          <w:lang w:eastAsia="ru-RU"/>
        </w:rPr>
        <w:t>Taxation – United States Federal Income Tax Considerations – Passive Foreign Investment Companies</w:t>
      </w:r>
      <w:r>
        <w:rPr>
          <w:rFonts w:eastAsia="Times New Roman" w:asciiTheme="majorHAnsi" w:hAnsiTheme="majorHAnsi" w:cstheme="majorHAnsi"/>
          <w:lang w:eastAsia="ru-RU"/>
        </w:rPr>
        <w:t>”.</w:t>
      </w:r>
    </w:p>
    <w:p w:rsidR="009534E2" w:rsidRDefault="003369EB">
      <w:pPr>
        <w:keepNext/>
        <w:spacing w:after="200"/>
        <w:rPr>
          <w:rFonts w:eastAsia="Times New Roman" w:asciiTheme="majorHAnsi" w:hAnsiTheme="majorHAnsi" w:cstheme="majorHAnsi"/>
        </w:rPr>
      </w:pPr>
      <w:r>
        <w:rPr>
          <w:rFonts w:eastAsia="Times New Roman" w:asciiTheme="majorHAnsi" w:hAnsiTheme="majorHAnsi" w:cstheme="majorHAnsi"/>
          <w:b/>
          <w:lang w:eastAsia="ru-RU"/>
        </w:rPr>
        <w:t>Risks Relating to our ADSs</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The class B shares underlying the ADSs are not listed and may be illiquid.</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The class B shares underlying the ADSs are neither listed nor traded on any stock exchange, and we do not intend to apply for the listing or admission to trading of the class B shares on any stock exchange. As a result, a withdrawal of class B shares by a holder of ADSs, whether by election or due to certain other events will result in that holder obtaining securities that are significantly less liquid than the ADSs and the price of those class B shares may be discounted as a result of such withdrawal.</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Our ADSs trade on more than one market and this may result in increased volatility and price variations between such markets.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While trading in our ADSs has been halted by Nasdaq and trading in our ADSs on the Moscow Exchange is subject to certain limitations, our ADSs have historically traded on both Nasdaq and the Moscow Exchange. See “–</w:t>
      </w:r>
      <w:r>
        <w:rPr>
          <w:rFonts w:eastAsia="Arial" w:asciiTheme="majorHAnsi" w:hAnsiTheme="majorHAnsi" w:cstheme="majorHAnsi"/>
          <w:i/>
          <w:iCs/>
          <w:lang w:eastAsia="ru-RU"/>
        </w:rPr>
        <w:t>Holders of our ADSs currently have limited or no liquidity in our ADSs. Following the trading halt introduced on our ADSs by Nasdaq, Nasdaq informed us of its determination to delist our securities. Although we requested a hearing to appeal the delisting determination, there can be no assurance that Nasdaq will reverse its decision and when or if the trading will be resumed. Trading in our ADSs on the Moscow Exchange is subject to certain limitations</w:t>
      </w:r>
      <w:r>
        <w:rPr>
          <w:rFonts w:eastAsia="Arial" w:asciiTheme="majorHAnsi" w:hAnsiTheme="majorHAnsi" w:cstheme="majorHAnsi"/>
          <w:lang w:eastAsia="ru-RU"/>
        </w:rPr>
        <w:t>”, Prior to the trading halt, trading in our ADSs on these markets occurred in different currencies (US dollars on Nasdaq and Russian rubles on the Moscow Exchange) and at different times (due to different time zones, trading days and public holidays in the US and Russia). The trading prices of our ADSs on these two markets may differ due to these and other factors. The liquidity of trading in our ADSs on the Moscow Exchange is limited and has been even more limited due to the lingering stock market infrastructure issues resulting from the EU sanctions in relation to NSD, which made it impossible to settle ADSs between the markets. If the trading halt and restrictions are lifted, inherent limited liquidity of our ADSs on the Moscow Exchange may impair your ability to sell your ADSs on the Moscow Exchange at the time you wish to sell them or at a price that you consider reasonable. In addition, trading of a small number of ADSs on that market could adversely impact the price of our ADSs significantly and could, in turn, impact the price in the US. Any decrease in the trading price of our ADSs on one of these markets could cause a decrease in the trading price of our ADSs on the other market. Additionally, as there is no direct trading or settlement between the two stock markets, there can be no assurance that ADSs resume to move between markets in the current market environment.</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Future sales of ADSs or ordinary shares by significant shareholders could cause the price of our ADSs to decline.</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If any of our significant shareholders sell, or indicate an intent to sell, substantial amounts of our ADSs or ordinary shares, including both class A shares and class B shares, in the market, the trading price of our ADSs could decline significantly. We cannot predict the effect, if any, that future sales of these ADSs or ordinary shares or the availability of these ADSs or ordinary shares for sale will have on the market price of our ADSs. As of the date of this annual report, we have outstanding 62,712,975 ordinary shares, including those represented by ADSs. Our shares that are not currently represented by ADSs could generally be added into our ADS program in relatively short order, subject to applicable securities laws restrictions. The only significant shareholder (see Item 7.A “</w:t>
      </w:r>
      <w:r>
        <w:rPr>
          <w:rFonts w:eastAsia="Arial" w:asciiTheme="majorHAnsi" w:hAnsiTheme="majorHAnsi" w:cstheme="majorHAnsi"/>
          <w:i/>
          <w:iCs/>
          <w:lang w:eastAsia="ru-RU"/>
        </w:rPr>
        <w:t>Major Shareholders</w:t>
      </w:r>
      <w:r>
        <w:rPr>
          <w:rFonts w:eastAsia="Arial" w:asciiTheme="majorHAnsi" w:hAnsiTheme="majorHAnsi" w:cstheme="majorHAnsi"/>
          <w:lang w:eastAsia="ru-RU"/>
        </w:rPr>
        <w:t>”) has certain registration rights and are able to cause us to conduct registered offerings. A significant sale of our securities by any of these holders or any other future owner of a substantial stake in our company could have a detrimental effect on the trading price of our ADSs. We cannot predict what effect, if any, market sales of securities held by our significant shareholders or any other shareholder or the availability of these securities for future sale will have on the market price of the ADSs.</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Investors in our ADSs may have limited recourse against us, our directors and executive officers because we conduct our operations outside the US and most of our current directors and executive officers reside outside the US.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Our presence outside the US may limit investors’ legal recourse against us. We are incorporated under the laws of the Republic of Cyprus. All of our current directors and senior officers reside outside the US, principally in the Russian Federation. Substantially all of our assets and the assets of our current directors and executive officers are located outside the US, principally in the Russian Federation. As a result, investors may not be able to effect service of process within the US upon our company or its directors and executive officers or to enforce US court judgments obtained against our company or its directors and executive officers in Russia, Cyprus or other jurisdictions outside the US, including actions under the civil liability provisions of US securities laws. In addition, it may be difficult for investors to enforce, in original actions brought in courts in jurisdictions outside the US, liabilities predicated upon US securities laws. There is no treaty between the US and Russia providing for reciprocal recognition and enforcement of foreign court judgments in civil and commercial matters. These limitations may deprive investors of effective legal recourse for claims related to their investment in our ADSs.</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Our ADS holders may not be able to exercise their pre-emptive rights in relation to future issuances of class B shares.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In order to raise funding in the future, we may issue additional class B shares, including class B shares represented by ADSs. Generally, existing holders of shares in Cypriot public companies are entitled by law to pre-emptive rights on the issue of new shares in that company (provided that such shares are paid in cash and the pre-emption rights have not been disapplied). Our ADS holders may not be able to exercise pre-emptive rights for class B shares represented by ADSs unless applicable securities law requirements are adhered to or an exemption from such requirements is available. In the US, we may be required to file a registration statement under the Securities Act to implement pre-emptive rights. We can give no assurance that an exemption from the registration requirements of the Securities Act would be available to enable US holders of ADSs to exercise such pre-emptive rights and, if such exemption is available, we may not take the steps necessary to enable US holders of ADSs to rely on it. Accordingly, our ADS holders may not be able to exercise their pre-emptive rights on future issuances of shares, and, as a result, their percentage ownership interest in us would be reduced.</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In April 2013, our shareholders authorized the disapplication of pre-emptive rights for a period of five years from May 8, 2013, the date of the closing of our initial public offering, in connection with the issue of up to an additional 52,000,000 class B shares, including in the form of ADSs. Such disapplication has expired on May 8, 2018, and while we have solicited further disapplication by our shareholders, such disapplication has not been supported by our public shareholders so far. If no further disapplication of pre-emptive rights is approved by our shareholders, any of our share issuances would be subject to the pre-emptive rights of our shareholders which some of our ADS holders may not be able to exercise due to the factors described above. At the same time, to the extent we attempt an offering of ADSs in the US pursuant to the pre-emptive rights of our shareholders, we may not be able to do so due to the fact that rights offerings are difficult to implement effectively under the current US securities laws, and our ability to raise capital in the future may be compromised if we need to do so via a rights offering in the US.</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ADS holders have no legal interest in the underlying class B shares.</w:t>
      </w:r>
    </w:p>
    <w:p w:rsidR="009534E2" w:rsidRDefault="003369EB">
      <w:pPr>
        <w:spacing w:after="200"/>
        <w:ind w:firstLine="461"/>
        <w:rPr>
          <w:rFonts w:eastAsia="Times New Roman" w:asciiTheme="majorHAnsi" w:hAnsiTheme="majorHAnsi" w:cstheme="majorHAnsi"/>
        </w:rPr>
      </w:pPr>
      <w:r>
        <w:rPr>
          <w:rFonts w:eastAsia="Arial" w:asciiTheme="majorHAnsi" w:hAnsiTheme="majorHAnsi" w:cstheme="majorHAnsi"/>
          <w:lang w:eastAsia="ru-RU"/>
        </w:rPr>
        <w:t>ADS holders acquire the beneficial, and not the legal, interest in the underlying class B shares, which the depositary holds for them, under the terms of the deposit agreement. The intended effect is to ring-fence the class B shares in the hands of the depositary by conferring a property interest on ADS holders as beneficiaries. However, the interest of the ADS holders as beneficiaries in the class B shares, is indirect, in the sense that in the normal course they do not have any direct recourse to the class B shares nor do they have any direct right of action against us.</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i/>
          <w:lang w:eastAsia="ru-RU"/>
        </w:rPr>
        <w:t>ADS holders may be subject to limitations on transfer of their ADSs.</w:t>
      </w:r>
    </w:p>
    <w:p w:rsidR="009534E2" w:rsidRDefault="003369EB">
      <w:pPr>
        <w:spacing w:after="200"/>
        <w:ind w:firstLine="461"/>
        <w:rPr>
          <w:rFonts w:eastAsia="Arial" w:asciiTheme="majorHAnsi" w:hAnsiTheme="majorHAnsi" w:cstheme="majorHAnsi"/>
          <w:lang w:eastAsia="ru-RU"/>
        </w:rPr>
      </w:pPr>
      <w:r>
        <w:rPr>
          <w:rFonts w:eastAsia="Arial" w:asciiTheme="majorHAnsi" w:hAnsiTheme="majorHAnsi" w:cstheme="majorHAnsi"/>
          <w:lang w:eastAsia="ru-RU"/>
        </w:rPr>
        <w:t>ADSs are transferable on the books of the depositary. However, the depositary may close its transfer books at any time or from time to time when it deems expedient in connection with the performance of its duties. In addition, the depositary may refuse to deliver, transfer or register transfers of ADSs generally when our books or the books of the depositary are closed, or at any time if we or the depositary deems it advisable to do so because of any requirement of law or of any government or governmental body, or under any provision of the deposit agreement, or for any other reason in accordance with the terms of the deposit agreement.</w:t>
      </w:r>
    </w:p>
    <w:p w:rsidR="009534E2" w:rsidRDefault="003369EB">
      <w:pPr>
        <w:keepNext/>
        <w:tabs>
          <w:tab w:val="left" w:pos="938"/>
        </w:tabs>
        <w:spacing w:after="200"/>
        <w:ind w:left="360" w:hanging="36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4.</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Information on the Company</w:t>
      </w:r>
      <w:bookmarkStart w:name="ITEM4InformationontheCompany_427105" w:id="65"/>
      <w:bookmarkEnd w:id="65"/>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A.</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eastAsia="ru-RU"/>
        </w:rPr>
        <w:t>History and Development of the Company</w:t>
      </w:r>
      <w:bookmarkStart w:name="AHistoryandDevelopmentoftheCompany_99091" w:id="66"/>
      <w:bookmarkEnd w:id="66"/>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We were incorporated in Cyprus under the name of OE Investments Limited on February 26, 2007 as a new holding company for JSC QIWI (previously known as OSMP CJSC and QIWI CJSC). The company operates under the Companies Law, related legislation, and common law of Cyprus. In 2007, we acquired, among other entities, CJSC E-port and LLC QIWI Wallet, which were reorganized in the form of accession to JSC QIWI. In April 2008, we launched the Qiwi brand, which gradually became the marketing name for our businesses. We changed our legal name to Qiwi Limited on September 13, 2010, and subsequently to QIWI plc upon going public on February 25, 2013.</w:t>
      </w:r>
    </w:p>
    <w:p w:rsidR="009534E2" w:rsidRDefault="003369EB">
      <w:pPr>
        <w:spacing w:after="200"/>
        <w:ind w:firstLine="461"/>
        <w:rPr>
          <w:rFonts w:eastAsia="Times New Roman" w:asciiTheme="majorHAnsi" w:hAnsiTheme="majorHAnsi" w:cstheme="majorHAnsi"/>
          <w:color w:val="000000"/>
          <w:lang w:eastAsia="ru-RU"/>
        </w:rPr>
      </w:pPr>
      <w:r>
        <w:rPr>
          <w:rFonts w:eastAsia="Times New Roman" w:asciiTheme="majorHAnsi" w:hAnsiTheme="majorHAnsi" w:cstheme="majorHAnsi"/>
          <w:lang w:eastAsia="ru-RU"/>
        </w:rPr>
        <w:t xml:space="preserve">Our primary subsidiaries are </w:t>
      </w:r>
      <w:r>
        <w:rPr>
          <w:rFonts w:eastAsia="Times New Roman" w:asciiTheme="majorHAnsi" w:hAnsiTheme="majorHAnsi" w:cstheme="majorHAnsi"/>
          <w:color w:val="000000"/>
          <w:lang w:eastAsia="ru-RU"/>
        </w:rPr>
        <w:t>QIWI Bank (JSC), or Qiwi Bank, and JSC QIWI.</w:t>
      </w:r>
      <w:r>
        <w:rPr>
          <w:rFonts w:eastAsia="Times New Roman" w:asciiTheme="majorHAnsi" w:hAnsiTheme="majorHAnsi" w:cstheme="majorHAnsi"/>
          <w:lang w:eastAsia="ru-RU"/>
        </w:rPr>
        <w:t xml:space="preserve"> JSC QIWI was incorporated in Russia in January 2004, and </w:t>
      </w:r>
      <w:r>
        <w:rPr>
          <w:rFonts w:eastAsia="Times New Roman" w:asciiTheme="majorHAnsi" w:hAnsiTheme="majorHAnsi" w:cstheme="majorHAnsi"/>
          <w:color w:val="000000"/>
          <w:lang w:eastAsia="ru-RU"/>
        </w:rPr>
        <w:t>its key business functions include the provision of payment processing services as well as development and maintenance of our physical distribution network.</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September 2010, we acquired Qiwi Bank from a group of our then-current shareholders. In June 2015, we acquired the Rapida payment processing system and the CONTACT money transfer system, and subsequently in April 2017, they merged into Qiwi Bank.</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2016, we launched a payment-by-installment card project SOVEST. In July 2020, following a strategic decision to divest the project, we sold the SOVEST consumer-lending business to Sovcombank. In connection with this transaction we assigned receivables from SOVEST customers (the portfolio of installment card loans) and transferred certain other assets related to the SOVEST project to Sovcombank.</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March 2017, we acquired Flocktory, a SaaS platform for customer lifecycle management and personalization focused primarily on the development of automated marketing solutions for the e-commerce, financial, media and travel industries, based on data collection and analysis.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June 2018, QIWI signed a partnership agreement to establish a new entity JSC Tochka to collectively develop the Tochka business, as a digital banking service focused on offering a broad range of services to small and medium-sized businesses. JSC Tochka commenced its business operations in February 2019. In September 2021, we sold our stake in JSC Tochka.</w:t>
      </w:r>
    </w:p>
    <w:p w:rsidR="009534E2" w:rsidRDefault="003369EB">
      <w:pPr>
        <w:spacing w:after="200"/>
        <w:ind w:firstLine="461"/>
        <w:rPr>
          <w:rFonts w:eastAsia="Times New Roman" w:asciiTheme="majorHAnsi" w:hAnsiTheme="majorHAnsi" w:cstheme="majorHAnsi"/>
          <w:color w:val="000000"/>
          <w:lang w:eastAsia="ru-RU"/>
        </w:rPr>
      </w:pPr>
      <w:r>
        <w:rPr>
          <w:rFonts w:eastAsia="Times New Roman" w:asciiTheme="majorHAnsi" w:hAnsiTheme="majorHAnsi" w:cstheme="majorHAnsi"/>
          <w:lang w:eastAsia="ru-RU"/>
        </w:rPr>
        <w:t xml:space="preserve">In July 2018, we acquired Rocketbank, a digital banking service offering debit cards and deposits to retail customers. In </w:t>
      </w:r>
      <w:r>
        <w:rPr>
          <w:rFonts w:eastAsia="Times New Roman" w:asciiTheme="majorHAnsi" w:hAnsiTheme="majorHAnsi" w:cstheme="majorHAnsi"/>
          <w:color w:val="000000"/>
          <w:lang w:eastAsia="ru-RU"/>
        </w:rPr>
        <w:t>20</w:t>
      </w:r>
      <w:r>
        <w:rPr>
          <w:rFonts w:eastAsia="Times New Roman" w:asciiTheme="majorHAnsi" w:hAnsiTheme="majorHAnsi" w:cstheme="majorHAnsi"/>
          <w:lang w:eastAsia="ru-RU"/>
        </w:rPr>
        <w:t xml:space="preserve">19, the Board of Directors requested the management to investigate the potential for a partial or complete sale of Rocketbank. As we were unable to find a suitable buyer for Rocketbank, the Board of Directors resolved to wind down Rocketbank’s operations. </w:t>
      </w:r>
      <w:r>
        <w:rPr>
          <w:rFonts w:eastAsia="Times New Roman" w:asciiTheme="majorHAnsi" w:hAnsiTheme="majorHAnsi" w:cstheme="majorHAnsi"/>
          <w:color w:val="000000"/>
          <w:lang w:eastAsia="ru-RU"/>
        </w:rPr>
        <w:t>The wind-down of Rocketbank’s operations was substantially completed in 2020.</w:t>
      </w:r>
    </w:p>
    <w:p w:rsidR="009534E2" w:rsidRDefault="003369EB">
      <w:pPr>
        <w:spacing w:after="200"/>
        <w:ind w:firstLine="461"/>
        <w:rPr>
          <w:rFonts w:eastAsia="Times New Roman" w:asciiTheme="majorHAnsi" w:hAnsiTheme="majorHAnsi" w:cstheme="majorHAnsi"/>
          <w:color w:val="000000"/>
          <w:lang w:eastAsia="ru-RU"/>
        </w:rPr>
      </w:pPr>
      <w:r>
        <w:rPr>
          <w:rFonts w:eastAsia="Times New Roman" w:asciiTheme="majorHAnsi" w:hAnsiTheme="majorHAnsi" w:cstheme="majorHAnsi"/>
          <w:color w:val="000000"/>
          <w:lang w:eastAsia="ru-RU"/>
        </w:rPr>
        <w:t xml:space="preserve">In 2019, we launched the Factoring PLUS project (renamed ROWI project in 2021), which develops factoring financing and digital bank guarantee products. </w:t>
      </w:r>
      <w:r>
        <w:rPr>
          <w:rFonts w:eastAsia="Times New Roman" w:asciiTheme="majorHAnsi" w:hAnsiTheme="majorHAnsi" w:cstheme="majorHAnsi"/>
          <w:lang w:eastAsia="ru-RU"/>
        </w:rPr>
        <w:t xml:space="preserve">In 2021, as part of our ROWI project we also started providing online loans for performance of public procurement contracts and online funding for marketplace sellers based on sales scoring via personal account data. </w:t>
      </w:r>
      <w:r>
        <w:rPr>
          <w:rFonts w:eastAsia="Times New Roman" w:asciiTheme="majorHAnsi" w:hAnsiTheme="majorHAnsi" w:cstheme="majorHAnsi"/>
          <w:color w:val="000000"/>
          <w:lang w:eastAsia="ru-RU"/>
        </w:rPr>
        <w:t>In order to fund the growth of the factoring portfolio, in October 2020 our special purpose finance vehicle, QIWI Finance LLC, incorporated in Russia, issued RUB 5 billion unsecured bonds due in 2023 that were listed on the Moscow Stock Exchange.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color w:val="000000"/>
          <w:lang w:eastAsia="ru-RU"/>
        </w:rPr>
        <w:t>In 2021 ContactPay Solution Ltd., our subsidiary in UK, obtained an EMI (Electronic Money Institution) license in UK that enables us to provide payment services to consumers, merchants and partners throughout the European Union.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color w:val="000000"/>
          <w:lang w:eastAsia="ru-RU"/>
        </w:rPr>
        <w:t>In 1Q 2022, QIWI acquired the Taxiaggregator SaaS platform that provides payment solutions and data analytics tool for taxi companies and taxi drivers. The transaction aims to further develop QIWI’s value proposition in the payment segment for the self-employed. It serves as a foundation for transforming QIWI’s offering from a “payment solution provider” into a “full-cycle taxi ecosystem.”</w:t>
      </w:r>
    </w:p>
    <w:p w:rsidR="009534E2" w:rsidRDefault="003369EB">
      <w:pPr>
        <w:spacing w:after="200"/>
        <w:ind w:firstLine="461"/>
        <w:rPr>
          <w:rFonts w:eastAsia="Times New Roman" w:asciiTheme="majorHAnsi" w:hAnsiTheme="majorHAnsi" w:cstheme="majorHAnsi"/>
          <w:i/>
          <w:iCs/>
          <w:color w:val="000000"/>
          <w:lang w:eastAsia="ru-RU"/>
        </w:rPr>
      </w:pPr>
      <w:r>
        <w:rPr>
          <w:rFonts w:eastAsia="Times New Roman" w:asciiTheme="majorHAnsi" w:hAnsiTheme="majorHAnsi" w:cstheme="majorHAnsi"/>
          <w:color w:val="000000"/>
          <w:lang w:eastAsia="ru-RU"/>
        </w:rPr>
        <w:t xml:space="preserve">In 1Q 2022, QIWI convened an EGM to approve a buyback program. On the recommendation of the Board of Directors it was proposed to approve acquisition by the company directly or through any of its subsidiary of ordinary shares of the company represented by the ADSs listed at Nasdaq Global Select Market and Moscow Exchange (MOEX), and to authorize the Board to buyback ordinary shares of the company represented by the ADSs. The Board of Directors did not approve the commencement of the buyback program due to the stock market infrastructure issues resulting from the introduction of European sanctions against the Russian National Settlement Depositary. See Item 3D Risk Factors </w:t>
      </w:r>
      <w:r>
        <w:rPr>
          <w:rFonts w:eastAsia="Times New Roman" w:asciiTheme="majorHAnsi" w:hAnsiTheme="majorHAnsi" w:cstheme="majorHAnsi"/>
          <w:i/>
          <w:iCs/>
          <w:color w:val="000000"/>
          <w:lang w:eastAsia="ru-RU"/>
        </w:rPr>
        <w:t>“– We cannot guarantee that we will buy back any of our ordinary shares represented by ADSs pursuant to the buyback program approved by our shareholders or that our buyback program will enhance long-term shareholder value”</w:t>
      </w:r>
    </w:p>
    <w:p w:rsidR="009534E2" w:rsidRDefault="003369EB">
      <w:pPr>
        <w:spacing w:after="200"/>
        <w:ind w:firstLine="461"/>
        <w:rPr>
          <w:rFonts w:eastAsia="Times New Roman" w:asciiTheme="majorHAnsi" w:hAnsiTheme="majorHAnsi" w:cstheme="majorHAnsi"/>
          <w:color w:val="000000"/>
          <w:lang w:eastAsia="ru-RU"/>
        </w:rPr>
      </w:pPr>
      <w:r>
        <w:rPr>
          <w:rFonts w:eastAsia="Times New Roman" w:asciiTheme="majorHAnsi" w:hAnsiTheme="majorHAnsi" w:cstheme="majorHAnsi"/>
          <w:color w:val="000000"/>
          <w:lang w:eastAsia="ru-RU"/>
        </w:rPr>
        <w:t>In 3Q 2022, QIWI acquired IntellectMoney, a payment solutions provider for the e-commerce market. The transaction was a part of QIWI’s strategic ambitions to develop its b2b operations and enhance offering for the small and medium-sized businesses.</w:t>
      </w:r>
    </w:p>
    <w:p w:rsidR="009534E2" w:rsidRDefault="003369EB">
      <w:pPr>
        <w:spacing w:after="200"/>
        <w:ind w:firstLine="461"/>
        <w:rPr>
          <w:rFonts w:eastAsia="Times New Roman" w:asciiTheme="majorHAnsi" w:hAnsiTheme="majorHAnsi" w:cstheme="majorHAnsi"/>
          <w:color w:val="000000"/>
          <w:lang w:eastAsia="ru-RU"/>
        </w:rPr>
      </w:pPr>
      <w:r>
        <w:rPr>
          <w:rFonts w:eastAsia="Times New Roman" w:asciiTheme="majorHAnsi" w:hAnsiTheme="majorHAnsi" w:cstheme="majorHAnsi"/>
          <w:color w:val="000000"/>
          <w:lang w:eastAsia="ru-RU"/>
        </w:rPr>
        <w:t>In September 2022 QIWI acquired a 9.9% stake in PYYPL within series B funding round for the total consideration of RUB 327 million. PYYPL is an innovative fintech company that provides financial services for underbanked customers mainly in the Middle East and North Africa (MENA) region. The company operates on a proprietary blockchain based technology platform that enables clients to manage money and use all the essential financial services directly from a mobile phone. QIWI and PYYPL share a common goal to advocate financial inclusion.The transaction allows QIWI to penetrate rapidly growing and digitalizing payment and financial services markets of MENA region.</w:t>
      </w:r>
    </w:p>
    <w:p w:rsidR="009534E2" w:rsidRDefault="003369EB">
      <w:pPr>
        <w:spacing w:after="200"/>
        <w:ind w:firstLine="461"/>
        <w:rPr>
          <w:rFonts w:eastAsia="Times New Roman" w:asciiTheme="majorHAnsi" w:hAnsiTheme="majorHAnsi" w:cstheme="majorHAnsi"/>
          <w:color w:val="000000"/>
          <w:lang w:eastAsia="ru-RU"/>
        </w:rPr>
      </w:pPr>
      <w:r>
        <w:rPr>
          <w:rFonts w:eastAsia="Times New Roman" w:asciiTheme="majorHAnsi" w:hAnsiTheme="majorHAnsi" w:cstheme="majorHAnsi"/>
          <w:color w:val="000000"/>
          <w:lang w:eastAsia="ru-RU"/>
        </w:rPr>
        <w:t>In December 2022, QIWI entered into an agreement to acquire a 79% share in RealWeb for a total consideration of RUB 1,773 million. RealWeb is a leading full-cycle digital marketing service provider in Russia, which offers clients with context and media advertising management services, social network presence, programmatic, CPA and mobile marketing type of services. The transaction aims to faster penetrate the growing advertising and digital marketing business segments based on RealWeb expertise.</w:t>
      </w:r>
    </w:p>
    <w:p w:rsidR="009534E2" w:rsidRDefault="003369EB">
      <w:pPr>
        <w:spacing w:after="200"/>
        <w:ind w:firstLine="461"/>
        <w:rPr>
          <w:rFonts w:eastAsia="Times New Roman" w:asciiTheme="majorHAnsi" w:hAnsiTheme="majorHAnsi" w:cstheme="majorHAnsi"/>
          <w:color w:val="000000"/>
          <w:lang w:eastAsia="ru-RU"/>
        </w:rPr>
      </w:pPr>
      <w:r>
        <w:rPr>
          <w:rFonts w:eastAsia="Times New Roman" w:asciiTheme="majorHAnsi" w:hAnsiTheme="majorHAnsi" w:cstheme="majorHAnsi"/>
          <w:color w:val="000000"/>
          <w:lang w:eastAsia="ru-RU"/>
        </w:rPr>
        <w:t>In 4Q 2022, we presented Sustainable Development Strategy and released our inaugural 2021 Sustainable Development Report prepared in accordance with the GRI standards. QIWI aims to create financial comfort through simple, affordable and technological financial products, covering the demands of people of different ages, races, lifestyles and professional fulfillment.</w:t>
      </w:r>
    </w:p>
    <w:p w:rsidR="009534E2" w:rsidRDefault="003369EB">
      <w:pPr>
        <w:keepNext/>
        <w:spacing w:after="200"/>
        <w:ind w:firstLine="461"/>
        <w:rPr>
          <w:rFonts w:eastAsia="Times New Roman" w:asciiTheme="majorHAnsi" w:hAnsiTheme="majorHAnsi" w:cstheme="majorHAnsi"/>
          <w:color w:val="000000"/>
          <w:lang w:eastAsia="ru-RU"/>
        </w:rPr>
      </w:pPr>
      <w:r>
        <w:rPr>
          <w:rFonts w:eastAsia="Times New Roman" w:asciiTheme="majorHAnsi" w:hAnsiTheme="majorHAnsi" w:cstheme="majorHAnsi"/>
          <w:color w:val="000000"/>
          <w:lang w:eastAsia="ru-RU"/>
        </w:rPr>
        <w:t>Our Sustainable Development Strategy is aligned with the Sustainable development goals of the United Nations and focuses the following action areas:</w:t>
      </w:r>
    </w:p>
    <w:p w:rsidR="009534E2" w:rsidRDefault="003369EB">
      <w:pPr>
        <w:pStyle w:val="ListParagraph"/>
        <w:numPr>
          <w:ilvl w:val="0"/>
          <w:numId w:val="43"/>
        </w:numPr>
        <w:ind w:left="821"/>
        <w:rPr>
          <w:rFonts w:eastAsia="Times New Roman" w:asciiTheme="majorHAnsi" w:hAnsiTheme="majorHAnsi" w:cstheme="majorHAnsi"/>
        </w:rPr>
      </w:pPr>
      <w:r>
        <w:rPr>
          <w:rFonts w:eastAsia="Times New Roman" w:asciiTheme="majorHAnsi" w:hAnsiTheme="majorHAnsi" w:cstheme="majorHAnsi"/>
        </w:rPr>
        <w:t>Financial Inclusion,</w:t>
      </w:r>
    </w:p>
    <w:p w:rsidR="009534E2" w:rsidRDefault="003369EB">
      <w:pPr>
        <w:pStyle w:val="ListParagraph"/>
        <w:numPr>
          <w:ilvl w:val="0"/>
          <w:numId w:val="43"/>
        </w:numPr>
        <w:ind w:left="821"/>
        <w:rPr>
          <w:rFonts w:eastAsia="Times New Roman" w:asciiTheme="majorHAnsi" w:hAnsiTheme="majorHAnsi" w:cstheme="majorHAnsi"/>
        </w:rPr>
      </w:pPr>
      <w:r>
        <w:rPr>
          <w:rFonts w:eastAsia="Times New Roman" w:asciiTheme="majorHAnsi" w:hAnsiTheme="majorHAnsi" w:cstheme="majorHAnsi"/>
        </w:rPr>
        <w:t>Digital Bank, and</w:t>
      </w:r>
    </w:p>
    <w:p w:rsidR="009534E2" w:rsidRDefault="003369EB">
      <w:pPr>
        <w:pStyle w:val="ListParagraph"/>
        <w:numPr>
          <w:ilvl w:val="0"/>
          <w:numId w:val="43"/>
        </w:numPr>
        <w:spacing w:after="240"/>
        <w:ind w:left="821"/>
        <w:rPr>
          <w:rFonts w:eastAsia="Times New Roman" w:asciiTheme="majorHAnsi" w:hAnsiTheme="majorHAnsi" w:cstheme="majorHAnsi"/>
        </w:rPr>
      </w:pPr>
      <w:r>
        <w:rPr>
          <w:rFonts w:eastAsia="Times New Roman" w:asciiTheme="majorHAnsi" w:hAnsiTheme="majorHAnsi" w:cstheme="majorHAnsi"/>
        </w:rPr>
        <w:t>Employees.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Our principal executive office is located at Kennedy 12, Kennedy Business Centre, 2nd floor, P.C. 1087, Nicosia, Cyprus. Our telephone number at this address is: +357-22-653390. Our registered office is at the same address.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SEC maintains an internet website that contains reports and other information about issuers, like us, that file electronically with the SEC. The address of that website is www.sec.gov. Our website address is www.qiwi.com. The information contained on, or that can be accessed through, our website is not part of, and is not incorporated into, this Annual Report. References herein to the company’s websites shall not be deemed to cause such incorporation.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For a description of our principal capital expenditures and divestitures for the three years ended December 31, 2022 and for those currently in progress, see Item 5 “</w:t>
      </w:r>
      <w:r>
        <w:rPr>
          <w:rFonts w:eastAsia="Times New Roman" w:asciiTheme="majorHAnsi" w:hAnsiTheme="majorHAnsi" w:cstheme="majorHAnsi"/>
          <w:i/>
          <w:iCs/>
          <w:lang w:eastAsia="ru-RU"/>
        </w:rPr>
        <w:t>Operating and Financial Review and Prospects</w:t>
      </w:r>
      <w:r>
        <w:rPr>
          <w:rFonts w:eastAsia="Times New Roman" w:asciiTheme="majorHAnsi" w:hAnsiTheme="majorHAnsi" w:cstheme="majorHAnsi"/>
          <w:lang w:eastAsia="ru-RU"/>
        </w:rPr>
        <w: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For a description of the rules and regulations under which we are governed, see Item 4 “</w:t>
      </w:r>
      <w:r>
        <w:rPr>
          <w:rFonts w:eastAsia="Times New Roman" w:asciiTheme="majorHAnsi" w:hAnsiTheme="majorHAnsi" w:cstheme="majorHAnsi"/>
          <w:i/>
          <w:iCs/>
          <w:lang w:eastAsia="ru-RU"/>
        </w:rPr>
        <w:t>Regulation</w:t>
      </w:r>
      <w:r>
        <w:rPr>
          <w:rFonts w:eastAsia="Times New Roman" w:asciiTheme="majorHAnsi" w:hAnsiTheme="majorHAnsi" w:cstheme="majorHAnsi"/>
          <w:lang w:eastAsia="ru-RU"/>
        </w:rPr>
        <w:t>”.</w:t>
      </w:r>
    </w:p>
    <w:p w:rsidR="009534E2" w:rsidRDefault="003369EB">
      <w:pPr>
        <w:keepNext/>
        <w:tabs>
          <w:tab w:val="left" w:pos="479"/>
        </w:tabs>
        <w:spacing w:after="200"/>
        <w:ind w:left="461" w:hanging="461"/>
        <w:rPr>
          <w:rFonts w:eastAsia="Times New Roman" w:asciiTheme="majorHAnsi" w:hAnsiTheme="majorHAnsi" w:cstheme="majorHAnsi"/>
          <w:sz w:val="24"/>
        </w:rPr>
      </w:pPr>
      <w:r>
        <w:rPr>
          <w:rFonts w:eastAsia="Times New Roman" w:asciiTheme="majorHAnsi" w:hAnsiTheme="majorHAnsi" w:cstheme="majorHAnsi"/>
          <w:b/>
          <w:lang w:val="ru-RU" w:eastAsia="ru-RU"/>
        </w:rPr>
        <w:t>B.</w:t>
      </w:r>
      <w:r>
        <w:rPr>
          <w:rFonts w:eastAsia="Times New Roman" w:asciiTheme="majorHAnsi" w:hAnsiTheme="majorHAnsi" w:cstheme="majorHAnsi"/>
          <w:sz w:val="24"/>
          <w:lang w:val="ru-RU" w:eastAsia="ru-RU"/>
        </w:rPr>
        <w:tab/>
      </w:r>
      <w:r>
        <w:rPr>
          <w:rFonts w:eastAsia="Times New Roman" w:asciiTheme="majorHAnsi" w:hAnsiTheme="majorHAnsi" w:cstheme="majorHAnsi"/>
          <w:b/>
          <w:lang w:val="ru-RU" w:eastAsia="ru-RU"/>
        </w:rPr>
        <w:t>Business Overview</w:t>
      </w:r>
      <w:bookmarkStart w:name="BBusinessOverview_657173" w:id="67"/>
      <w:bookmarkEnd w:id="67"/>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We are a leading provider of cutting-edge payment and financial services in Russia and the CIS. For over 20 years we have been at the forefront of fintech innovation to facilitate and secure digitalization of payments and take care of the financially underserved clients. Our mission is to connect our clients providing unique financial and technological solutions to make the impossible accessible and simple. We offer a wide range of products through our main product families: QIWI payment and financial services ecosystem for merchants, including QIWI Business products for the leading B2B markets: banks, SME, e-commerce, taxi, recycling, payouts for outstaff and self-employed, and B2C clients across various digital use cases; ROWI digital structured financial products for SME, Flocktory services in marketing automation and advertising technologies, Taxiaggregator SaaS platform for taxi companies and drivers, RealWeb context and media advertising management services, provision of social network presence, programmatic, CPA and mobile marketing services, as well as several startup projects at various stages of development.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We have an integrated proprietary network that enables payment services across online, mobile and physical channels and provides access to financial services for retail customers and B2B partners. As of December 31, 2022, our network allows our customers and partners to accept and transfer RUB 156 billion of cash and electronic payments monthly and our money remittance payment platform CONTACT connects businesses and people across the globe via thousands of service points. Our customers and partners can use cash, stored value, prepaid cards and other electronic payment methods in order to pay for goods and services or transfer money across virtual or physical environments interchangeably, as well as employ QIWI’s open API infrastructure and highly customizable, sophisticated payment solutions to serve their business or personal needs. Our ROWI brand offers small and medium-sized businesses (SMEs) digital factoring, bank guarantees and other financial solutions. Our full-cycle digital marketing service provider RealWeb operates on its proprietary technological solutions: the Centra as a marketplace of advertising products and services, the МЕТА platform which provides complex, end-to-end, customized business applications, the GARPUN as an automated system for managing context advertising. </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We continuously strive to broaden the scope of services, products, and use cases that we offer our customers and partners and aim penetrate new market niches where our offering could be a fit. We believe the complementary combination of our physical and virtual payment and financial services as well as our open infrastructure provide differentiated convenience to our customers and create a strong network effect that drives payment volume, scale across the business and helps us sustain robust profitability.</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We operate in and target growing markets and segments that lack convenient digital solutions for customers and partners to pay or accept payments for goods and services, transfer money or use other financial tools in online, mobile and physical environments or that are largely cash-based. We help consumers, merchants and partners connect more efficiently in these markets by providing an integrated network of virtual wallets, applications, acquiring and payout services, open APIs and physical distribution points as well as payment gateways and methods that enable consumers to use differentiated funding sources to pay to any merchant or to another user in or outside of our network or access other services quickly and securely through a variety of interfaces.We believe our expertise, infrastructure and efficient business model make us well positioned to benefit from strong secular tailwinds, including growth of the gig economy, overall digitalization of payments, and e-commerce trends.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Our platform and products provide simple and intuitive user interfaces, convenient access, quick on-boarding and high-quality services combined with the reputation and trust associated with the QIWI Group brands. In Russia and Kazakhstan, the QIWI brand is well known and our digital solutions as well as our kiosks and terminals provide differentiated access to alternative payment infrastructure for our customers in those countries. We believe that the popularity and usage of our financial services in Russia is increasing, with these services well regarded by our customers. </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We distribute our payment services primarily through our virtual products, most notably QIWI Wallet, which enables consumers to access, make and receive payments through their computers or mobile devices. Our customers can seamlessly create an online account, or virtual wallet, with QIWI through a variety of interfaces where they can store money, deposited from cash or funded from other sources, such as cards, bank accounts, mobile phone balances or money transfers to make payments and purchases at any time or they can make cash payments directly through our physical distribution network. Our services also allow merchants in Russia and other markets, including leading digital entertainment and online service providers and retailers, financial institutions, MNOs, and utilities, to accept payments via our network, enabling them to attract more consumers, generate more sales and get paid faster and more easily or use other services such as acquiring or payout solutions. Our partners can also use our infrastructure to create sophisticated payment and payout solutions and use various payment and financial tools we provide to service their operations. Our payment infrastructure offers diversity and flexibility that helps us deliver convenient solutions and satisfy the needs of a broad range of customers.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Moreover, our payment solutions target a variety of use cases creating an ecosystem that can be used to meet the diverse needs of our customers. These use cases include secure peer-to-peer and card-to-card money transfers for friends splitting lunch or self-employed people collecting money for their services; a light banking solution with a variety of upload channels; payment tools for the younger and underbanked population with easy on-boarding, wide acceptance and intuitive interfaces; unique payment tools for gamers and other specialized categories of users; and convenient solutions for payment collection for large, small and very small merchants including customizable open API capabilities, mass payouts solutions, online acquiring, etc.</w:t>
      </w:r>
    </w:p>
    <w:p w:rsidR="009534E2" w:rsidRDefault="003369EB">
      <w:pPr>
        <w:keepNext/>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We run our network and process our transactions using a proprietary, advanced technology platform that leverages the latest digital, analytics and security technologies to create a fast, highly reliable, secure and redundant system. We believe that the breadth and reach of our network and product offering, along with the proprietary nature of our technology platform, differentiates us from our competitors and allows us to effectively manage and update our services and realize a strong operating advantage with growth in volumes and diversification of our product offering. Historically, our payment services business has been a major part of our operations and it currently generates most of our revenues. We are constantly striving to diversify our product offering and range of services with certain new projects contributing to our payment services business and others aimed at penetrating new areas of the financial services market. In order to best reflect our current operational and management structure, we distinguish two key operating segments, as set out below:</w:t>
      </w:r>
    </w:p>
    <w:p w:rsidR="009534E2" w:rsidRDefault="003369EB">
      <w:pPr>
        <w:pStyle w:val="ListParagraph"/>
        <w:numPr>
          <w:ilvl w:val="0"/>
          <w:numId w:val="43"/>
        </w:numPr>
        <w:ind w:left="1080"/>
        <w:rPr>
          <w:rFonts w:eastAsia="Times New Roman" w:asciiTheme="majorHAnsi" w:hAnsiTheme="majorHAnsi" w:cstheme="majorHAnsi"/>
        </w:rPr>
      </w:pPr>
      <w:r>
        <w:rPr>
          <w:rFonts w:eastAsia="Times New Roman" w:asciiTheme="majorHAnsi" w:hAnsiTheme="majorHAnsi" w:cstheme="majorHAnsi"/>
          <w:i/>
          <w:lang w:eastAsia="ru-RU"/>
        </w:rPr>
        <w:t>Payment Services segment</w:t>
      </w:r>
      <w:r>
        <w:rPr>
          <w:rFonts w:eastAsia="Times New Roman" w:asciiTheme="majorHAnsi" w:hAnsiTheme="majorHAnsi" w:cstheme="majorHAnsi"/>
          <w:lang w:eastAsia="ru-RU"/>
        </w:rPr>
        <w:t>, which encompasses our virtual distribution services, including QIWI Wallet and other QIWI applications, payment channels and methods; physical distribution, including our kiosks, terminals and other retail points of service, CONTACT Money Remittance system; and our merchant focused services, such as acquiring services;</w:t>
      </w:r>
    </w:p>
    <w:p w:rsidR="009534E2" w:rsidRDefault="003369EB">
      <w:pPr>
        <w:pStyle w:val="ListParagraph"/>
        <w:numPr>
          <w:ilvl w:val="0"/>
          <w:numId w:val="43"/>
        </w:numPr>
        <w:spacing w:after="200"/>
        <w:ind w:left="1080"/>
        <w:rPr>
          <w:rFonts w:eastAsia="Times New Roman" w:asciiTheme="majorHAnsi" w:hAnsiTheme="majorHAnsi" w:cstheme="majorHAnsi"/>
        </w:rPr>
      </w:pPr>
      <w:r>
        <w:rPr>
          <w:rFonts w:eastAsia="Times New Roman" w:asciiTheme="majorHAnsi" w:hAnsiTheme="majorHAnsi" w:cstheme="majorHAnsi"/>
          <w:i/>
          <w:lang w:eastAsia="ru-RU"/>
        </w:rPr>
        <w:t>Corporate and Other category</w:t>
      </w:r>
      <w:r>
        <w:rPr>
          <w:rFonts w:eastAsia="Times New Roman" w:asciiTheme="majorHAnsi" w:hAnsiTheme="majorHAnsi" w:cstheme="majorHAnsi"/>
          <w:lang w:eastAsia="ru-RU"/>
        </w:rPr>
        <w:t>, which encompasses expenses associated with the corporate operations of QIWI Group, as well as our R&amp;D, early stage business models or non-core projects, and projects that don’t pass the threshold for qualifying as separate reporting segments, including ROWI, Flocktory and RealWeb.</w:t>
      </w:r>
    </w:p>
    <w:p w:rsidR="009534E2" w:rsidRDefault="003369EB">
      <w:pPr>
        <w:keepNext/>
        <w:spacing w:after="200"/>
        <w:rPr>
          <w:rFonts w:eastAsia="Times New Roman" w:asciiTheme="majorHAnsi" w:hAnsiTheme="majorHAnsi" w:cstheme="majorHAnsi"/>
          <w:bCs/>
        </w:rPr>
      </w:pPr>
      <w:r>
        <w:rPr>
          <w:rFonts w:eastAsia="Times New Roman" w:asciiTheme="majorHAnsi" w:hAnsiTheme="majorHAnsi" w:cstheme="majorHAnsi"/>
          <w:b/>
          <w:bCs/>
          <w:lang w:eastAsia="ru-RU"/>
        </w:rPr>
        <w:t>Payment Services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Payment Services historically have been and continue to be our key business and core area of expertise. We offer our customers and partners unique payment processing infrastructure with easy on-boarding and diverse functionality that works seamlessly across virtual and physical channels and a wide range of accessible, intuitive digital services. We aim to develop a secure and convenient multi-use case platform to help our customers and partners satisfy a full range of their transactional and financial needs, which among others include:</w:t>
      </w:r>
    </w:p>
    <w:p w:rsidR="009534E2" w:rsidRDefault="003369EB">
      <w:pPr>
        <w:ind w:left="1080" w:hanging="360"/>
        <w:rPr>
          <w:rFonts w:eastAsia="Times New Roman" w:asciiTheme="majorHAnsi" w:hAnsiTheme="majorHAnsi" w:cstheme="majorHAnsi"/>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acceptance of payments;</w:t>
      </w:r>
    </w:p>
    <w:p w:rsidR="009534E2" w:rsidRDefault="003369EB">
      <w:pPr>
        <w:ind w:left="1080" w:hanging="360"/>
        <w:rPr>
          <w:rFonts w:eastAsia="Times New Roman" w:asciiTheme="majorHAnsi" w:hAnsiTheme="majorHAnsi" w:cstheme="majorHAnsi"/>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mass payout;</w:t>
      </w:r>
    </w:p>
    <w:p w:rsidR="009534E2" w:rsidRDefault="003369EB">
      <w:pPr>
        <w:ind w:left="1080" w:hanging="360"/>
        <w:rPr>
          <w:rFonts w:eastAsia="Times New Roman" w:asciiTheme="majorHAnsi" w:hAnsiTheme="majorHAnsi" w:cstheme="majorHAnsi"/>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issuance of plastic and virtual bank cards;</w:t>
      </w:r>
    </w:p>
    <w:p w:rsidR="009534E2" w:rsidRDefault="003369EB">
      <w:pPr>
        <w:ind w:left="1080" w:hanging="360"/>
        <w:rPr>
          <w:rFonts w:eastAsia="Times New Roman" w:asciiTheme="majorHAnsi" w:hAnsiTheme="majorHAnsi" w:cstheme="majorHAnsi"/>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internet acquiring;</w:t>
      </w:r>
    </w:p>
    <w:p w:rsidR="009534E2" w:rsidRDefault="003369EB">
      <w:pPr>
        <w:ind w:left="1080" w:hanging="360"/>
        <w:rPr>
          <w:rFonts w:eastAsia="Times New Roman" w:asciiTheme="majorHAnsi" w:hAnsiTheme="majorHAnsi" w:cstheme="majorHAnsi"/>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payment gateways;</w:t>
      </w:r>
    </w:p>
    <w:p w:rsidR="009534E2" w:rsidRDefault="003369EB">
      <w:pPr>
        <w:ind w:left="1080" w:hanging="360"/>
        <w:rPr>
          <w:rFonts w:eastAsia="Times New Roman" w:asciiTheme="majorHAnsi" w:hAnsiTheme="majorHAnsi" w:cstheme="majorHAnsi"/>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various while label solutions;</w:t>
      </w:r>
    </w:p>
    <w:p w:rsidR="009534E2" w:rsidRDefault="003369EB">
      <w:pPr>
        <w:spacing w:after="200"/>
        <w:ind w:left="1080" w:hanging="360"/>
        <w:rPr>
          <w:rFonts w:eastAsia="Times New Roman" w:asciiTheme="majorHAnsi" w:hAnsiTheme="majorHAnsi" w:cstheme="majorHAnsi"/>
          <w:lang w:eastAsia="ru-RU"/>
        </w:rPr>
      </w:pPr>
      <w:r>
        <w:rPr>
          <w:rFonts w:eastAsia="Times New Roman" w:asciiTheme="majorHAnsi" w:hAnsiTheme="majorHAnsi" w:cstheme="majorHAnsi"/>
          <w:lang w:eastAsia="ru-RU"/>
        </w:rPr>
        <w:t></w:t>
      </w:r>
      <w:r>
        <w:rPr>
          <w:rFonts w:eastAsia="Times New Roman" w:asciiTheme="majorHAnsi" w:hAnsiTheme="majorHAnsi" w:cstheme="majorHAnsi"/>
          <w:lang w:eastAsia="ru-RU"/>
        </w:rPr>
        <w:tab/>
        <w:t>classic money remittance services via CONTACT payment platform</w:t>
      </w:r>
    </w:p>
    <w:p w:rsidR="009534E2" w:rsidRDefault="003369EB">
      <w:pPr>
        <w:keepNext/>
        <w:spacing w:after="200"/>
        <w:ind w:left="461"/>
        <w:rPr>
          <w:rFonts w:eastAsia="Times New Roman" w:asciiTheme="majorHAnsi" w:hAnsiTheme="majorHAnsi" w:cstheme="majorHAnsi"/>
          <w:bCs/>
          <w:iCs/>
        </w:rPr>
      </w:pPr>
      <w:r>
        <w:rPr>
          <w:rFonts w:eastAsia="Times New Roman" w:asciiTheme="majorHAnsi" w:hAnsiTheme="majorHAnsi" w:cstheme="majorHAnsi"/>
          <w:b/>
          <w:bCs/>
          <w:i/>
          <w:iCs/>
          <w:lang w:eastAsia="ru-RU"/>
        </w:rPr>
        <w:t>Our Payment Network</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Consumers and partners access our payment network through two primary channels: 1) virtual distribution, represented by our online products and APIs that we operate and 2) our physical distribution, represented by kiosks and terminals as well as payment gateways. These two channels are highly synergetic, creating a self-reinforcing network that we believe has been key for the continuing success of our business.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In 2020, 2021, and 2022, we processed RUB 1,617 billion, RUB 1,735 billion and RUB 1,875 billion in payments, respectively.</w:t>
      </w:r>
    </w:p>
    <w:p w:rsidR="009534E2" w:rsidRDefault="003369EB">
      <w:pPr>
        <w:keepNext/>
        <w:spacing w:after="200"/>
        <w:ind w:left="461"/>
        <w:rPr>
          <w:rFonts w:eastAsia="Times New Roman" w:asciiTheme="majorHAnsi" w:hAnsiTheme="majorHAnsi" w:cstheme="majorHAnsi"/>
          <w:bCs/>
          <w:iCs/>
        </w:rPr>
      </w:pPr>
      <w:r>
        <w:rPr>
          <w:rFonts w:eastAsia="Times New Roman" w:asciiTheme="majorHAnsi" w:hAnsiTheme="majorHAnsi" w:cstheme="majorHAnsi"/>
          <w:b/>
          <w:bCs/>
          <w:i/>
          <w:iCs/>
          <w:lang w:eastAsia="ru-RU"/>
        </w:rPr>
        <w:t>Virtual Distribution</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i/>
          <w:iCs/>
          <w:lang w:eastAsia="ru-RU"/>
        </w:rPr>
        <w:t>Overview</w:t>
      </w:r>
    </w:p>
    <w:p w:rsidR="009534E2" w:rsidRDefault="003369EB">
      <w:pPr>
        <w:keepLines/>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We offer our customers and partners a variety of payment products and services, including our core QIWI Wallet product. QIWI Wallet is an online and mobile payment processing and money transfer system that we operate in Russia, Kazakhstan and other countries which allows customers to pay for the products and services of the merchants, and to perform peer-to-peer money transfers using a virtual wallet, which effectively replaces a physical wallet in an online and mobile environment. Using a virtual wallet, its holder can make online purchases and payments through a convenient, secure and intuitive online or mobile interface with multiple payment methods. QIWI Wallet allows our customers and partners to create and use highly customizable payment and payout solutions built on our infrastructure and covering a wide variety of business and personal needs. We believe QIWI Wallet is one of the leading virtual wallets in Russia.</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We also operate the QIWI Wallet brand in certain jurisdictions outside of Russia, predominantly in Kazakhstan.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2020, 2021 and 2022, we had 14.5 million, 12.1 million, and 13.8 million active virtual wallets registered with our system as of year-end</w:t>
      </w:r>
      <w:r>
        <w:rPr>
          <w:rFonts w:eastAsia="Times New Roman" w:asciiTheme="majorHAnsi" w:hAnsiTheme="majorHAnsi" w:cstheme="majorHAnsi"/>
          <w:vertAlign w:val="superscript"/>
          <w:lang w:eastAsia="ru-RU"/>
        </w:rPr>
        <w:t>2</w:t>
      </w:r>
      <w:r>
        <w:rPr>
          <w:rFonts w:eastAsia="Times New Roman" w:asciiTheme="majorHAnsi" w:hAnsiTheme="majorHAnsi" w:cstheme="majorHAnsi"/>
          <w:lang w:eastAsia="ru-RU"/>
        </w:rPr>
        <w:t xml:space="preserve"> , respectively. The decline in number of active virtual wallets in 2021 primarily resulted from the introduction of limitations on the anonymous wallets and enhancement of certain KYC, identification and compliance procedures. The number of active wallets was also affected by the CBR restrictions imposed in December 2020 resulting in outflow of clients that customarily used our services specifically for payments to merchants that have become subject to the restrictions. Furthermore, most of the 1.3 million QIWI wallet accounts previously created solely for the purposes of making bets via QIWI TSUPIS using payment methods other than QIWI wallet have been inactive since October 2021 when QIWI stopped providing TSUPIS services. We noticed the increase in number of active virtual wallets in 2022 due to the changes in the competitive landscape which led to an increase in the use of QIWI Wallet as a payment option. However, given the current political and economic climate it's uncertain whether this trend is long-term or whether we only observed the one-off effect.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Apart from the broad functionality of our core QIWI Wallet product, we aim to offer our consumers certain additional products and applications that complement or enhance our main value proposition. For instance, our QIWI Bonus offers discounts, cash-backs and loyalty programs from our merchants, which became a point of differentiation in 2021 after the major cashback providers have withdrawn or significantly reduced their cashback programs. We are also developing digital money remittance services as part of CONTACT money remittance system proposition. Additionally, we offer our customers an open API (Application Programming Interface) solution that allows to customize the interface of QIWI Wallet to make payment acceptance and collection more convenient. QIWI Wallet open API is one of the core features of our QIWI Master product that was developed specifically for self-employed individuals working in the online advertising industry. QIWI Master allows them to issue an infinite number of virtual cards that can be linked to one QIWI Wallet in order to track costs for different advertising campaigns simultaneously in an intuitive and user-friendly manner.</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We offer our merchants and partners a number of solutions that complement and improve on our basic payment acceptance capabilities. These products include a solution for merchants to connect QIWI Wallet directly to their checkout page and manage their account with us online; acquiring services that enable merchants to get a one stop payment acceptance solution with the majority of means of payments, mass payouts solutions for the digital entertainment industry or businesses working with self-employed individuals, and certain other infrastructural solutions. We also provide virtual MIR cards to our customers. Our merchants and partners benefit from our robust infrastructure for customer identification, deposits, payments and transfers, legal and accounting support, AML/CFT controls and fraud monitoring.</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believe that our ability to leverage our technological platform and create convenient infrastructural solutions demanded by our partners and customers is a defining feature of our network that has enabled us to expand our business and penetrate new niches that will continue to fuel our growth going forward.</w:t>
      </w:r>
    </w:p>
    <w:p w:rsidR="009534E2" w:rsidRDefault="00EC0AE1">
      <w:pPr>
        <w:keepNext/>
        <w:rPr>
          <w:rFonts w:eastAsia="Times New Roman" w:asciiTheme="majorHAnsi" w:hAnsiTheme="majorHAnsi" w:cstheme="majorHAnsi"/>
          <w:sz w:val="8"/>
          <w:szCs w:val="8"/>
          <w:lang w:eastAsia="ru-RU"/>
        </w:rPr>
      </w:pPr>
      <w:r>
        <w:rPr>
          <w:rFonts w:eastAsia="Times New Roman" w:asciiTheme="majorHAnsi" w:hAnsiTheme="majorHAnsi" w:cstheme="majorHAnsi"/>
          <w:sz w:val="8"/>
          <w:szCs w:val="8"/>
          <w:lang w:eastAsia="ru-RU"/>
        </w:rPr>
        <w:pict w14:anchorId="7C75040B">
          <v:rect id="_x0000_i1030" style="width:135pt;height:1pt;mso-position-vertical:absolute" o:hr="t" o:hrstd="t" o:hrnoshade="t" o:hrpct="250" fillcolor="black" stroked="f"/>
        </w:pict>
      </w:r>
    </w:p>
    <w:p w:rsidR="009534E2" w:rsidRDefault="003369EB">
      <w:pPr>
        <w:keepNext/>
        <w:ind w:firstLine="461"/>
        <w:rPr>
          <w:rFonts w:eastAsia="Times New Roman" w:asciiTheme="majorHAnsi" w:hAnsiTheme="majorHAnsi" w:cstheme="majorHAnsi"/>
        </w:rPr>
      </w:pPr>
      <w:r>
        <w:rPr>
          <w:rFonts w:eastAsia="Times New Roman" w:asciiTheme="majorHAnsi" w:hAnsiTheme="majorHAnsi" w:cstheme="majorHAnsi"/>
          <w:vertAlign w:val="superscript"/>
        </w:rPr>
        <w:t>2</w:t>
      </w:r>
      <w:r>
        <w:rPr>
          <w:rFonts w:eastAsia="Times New Roman" w:asciiTheme="majorHAnsi" w:hAnsiTheme="majorHAnsi" w:cstheme="majorHAnsi"/>
        </w:rPr>
        <w:t xml:space="preserve"> Active QIWI wallet accounts are calculated on a yearly basis, i.e. an active account is an account that had at least one transaction within the last 12 months from the reporting date, excluding wallets opened for technical purposes.</w:t>
      </w:r>
    </w:p>
    <w:p w:rsidR="009534E2" w:rsidRDefault="003369EB">
      <w:pPr>
        <w:rPr>
          <w:rFonts w:eastAsia="Times New Roman" w:asciiTheme="majorHAnsi" w:hAnsiTheme="majorHAnsi" w:cstheme="majorHAnsi"/>
        </w:rPr>
      </w:pPr>
      <w:r>
        <w:rPr>
          <w:rFonts w:eastAsia="Times New Roman" w:asciiTheme="majorHAnsi" w:hAnsiTheme="majorHAnsi" w:cstheme="majorHAnsi"/>
        </w:rPr>
        <w:br w:type="page"/>
      </w:r>
    </w:p>
    <w:p w:rsidR="009534E2" w:rsidRDefault="003369EB">
      <w:pPr>
        <w:keepNext/>
        <w:keepLines/>
        <w:spacing w:after="200"/>
        <w:ind w:firstLine="461"/>
        <w:rPr>
          <w:rFonts w:eastAsia="Times New Roman" w:asciiTheme="majorHAnsi" w:hAnsiTheme="majorHAnsi" w:cstheme="majorHAnsi"/>
          <w:sz w:val="24"/>
          <w:szCs w:val="24"/>
        </w:rPr>
      </w:pPr>
      <w:r>
        <w:rPr>
          <w:rFonts w:eastAsia="Times New Roman" w:asciiTheme="majorHAnsi" w:hAnsiTheme="majorHAnsi" w:cstheme="majorHAnsi"/>
          <w:b/>
          <w:i/>
          <w:iCs/>
          <w:lang w:eastAsia="ru-RU"/>
        </w:rPr>
        <w:t>Our Virtual Wallet</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 xml:space="preserve">With QIWI Wallet, consumers can create an online account, referred to as a virtual wallet, in which they can store money, whether deposited in cash or funded from a variety of sources such as mobile phone balances, bank accounts, credit or debit cards, or money transfers (including winning repayments and other merchant reloads and peer-to-peer transfers), and use it to make payments, purchases, peer-to-peer transfers or to remit money. To register a virtual wallet, a consumer only needs to have a mobile phone number to which the account is linked. See </w:t>
      </w:r>
      <w:r>
        <w:rPr>
          <w:rFonts w:eastAsia="Times New Roman" w:asciiTheme="majorHAnsi" w:hAnsiTheme="majorHAnsi" w:cstheme="majorHAnsi"/>
          <w:i/>
          <w:lang w:eastAsia="ru-RU"/>
        </w:rPr>
        <w:t>Item 3D Risk Factors – “Know-your-client requirements established by Russian anti-money laundering legislation may adversely impact our transaction volumes</w:t>
      </w:r>
      <w:r>
        <w:rPr>
          <w:rFonts w:eastAsia="Times New Roman" w:asciiTheme="majorHAnsi" w:hAnsiTheme="majorHAnsi" w:cstheme="majorHAnsi"/>
          <w:lang w:eastAsia="ru-RU"/>
        </w:rPr>
        <w:t>.”</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We believe that a key part of our service offering is consumer convenience and ease of use. QIWI Wallet is available through a variety of interfaces, including mobile applications, its own website, touch-screens of our kiosks, and merchant websites. An increasing share of consumers are accessing QIWI Wallet through our mobile applications rather than through our own website (which was historically the most popular QIWI Wallet interface), or our kiosk network. Nevertheless, kiosks remain an important channel for consumers to load and reload their QIWI Wallet accounts, which we believe highlights the synergies between our physical and virtual distribution.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account loading process is simple and intuitive regardless of the interface that the consumer uses to access QIWI Wallet. Normally, a consumer just needs to enter the unique identification number of his or her virtual wallet and indicate the amount and source of money he or she wishes to load to the account. Likewise, while the process of making a payment through QIWI Wallet may vary slightly depending on the interface, we believe it is intuitive.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offer downloadable QIWI Wallet applications for the most popular mobile and digital platforms and devices and support major mobile operating systems, including Android, iOS and other. We believe that these efforts are a vital part of our overall strategy and serve to increase our consumer base.</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i/>
          <w:iCs/>
          <w:lang w:eastAsia="ru-RU"/>
        </w:rPr>
        <w:t>How Our Virtual Wallet Works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Payments made through QIWI Wallet can be categorized into push payments and pull payments. A push payment is a payment initiated by the consumer from a QIWI Wallet interface. Typical push payments include money remittance transactions, utility payments or mobile top-ups. After entering QIWI Wallet through one of its secure interfaces, a consumer is required to select the name of the merchant from hyperlink icon menu or using the search function, and then to type in the payment amount. Consumers are not subject to a fee when making most payments through QIWI Wallet. Additionally, consumers are able to link their bank cards to their QIWI Wallet accounts to make online payments without divulging their bank card details on merchant websites, decreasing the perceived risk of fraud associated with online payments. Payouts to QIWI Wallet made by the partners and merchants we serve are also mostly push payments.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A pull payment is a payment initiated by the consumer from a merchant interface, typically a merchant website through which the consumer makes a purchase. Usually a pull payment includes payments to e-commerce merchants. During the check-out process on a merchant website, the consumer chooses QIWI Wallet as a payment method and is re-directed to a QIWI Wallet web page. Next, if the consumer is already registered with QIWI Wallet, he or she is prompted to enter his or her mobile phone number to which his or her QIWI Wallet account is linked and his or her QIWI Wallet password. If the consumer is not yet registered with QIWI Wallet, our system automatically generates a virtual wallet once the mobile phone number is entered. A registered QIWI Wallet user is then required to select a source of funds to be used, including the prepaid balance of the QIWI Wallet account, a bank card previously linked to the QIWI Wallet account, or his or her mobile phone account. The consumer may also select a deferred payment option, with our system generating an electronic invoice from the merchant to the consumer, which is stored in the consumer’s virtual wallet and can be paid at a later stage. After a payment option is chosen, the consumer is required to confirm the transaction, and then the funds are withdrawn from the source the consumer has selected and transmitted to the merchant. The only option available to consumers who did not have a QIWI Wallet account previously is the deferred payment option. Once the consumer loads his or her newly registered virtual wallet or links a bank card to it, the invoice can be confirmed and paid, and then the transaction is completed.</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i/>
          <w:iCs/>
          <w:lang w:eastAsia="ru-RU"/>
        </w:rPr>
        <w:t>Our Reload Channels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QIWI Wallet accounts can be reloaded through most payment methods available on the market, including making cash deposits at any of our kiosks or terminals or third-party kiosks and terminals, via bank cards and accounts, mobile phone balances, online banking and retail or through peer-to-peer wallet transfers. QIWI Wallet also benefits from access to our own network of kiosks and terminals, which is one of the largest cash-reload networks in Russia. In some cases, QIWI Wallet accounts can be reloaded by our merchants or partners, for example when betting merchants are paying out winnings to our users, taxi companies are making payouts to taxi drivers or when microfinance organizations are issuing loans to wallet accounts. These latter reload channels are becoming consistently more important for us as we develop different infrastructural solutions based on our services, creating an ecosystem that is able to satisfy a wider range of payment and financial service needs of our customers. We believe that by offering the convenience of reloading through a variety of sources, we increase the likelihood of consumers using QIWI Wallet and other services that we offer as well as the adoption of such services.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 xml:space="preserve">QIWI branded kiosks and terminals historically have been the primary means that consumers use to reload their QIWI Wallet accounts. In 2015 the percentage of reloads made through bank cards, mobile phone balances and directly from bank accounts was less than 15% of total reloads, increasing to more than 25% in 2016. After that we observed a further increase in the proportion of non-cash reload channels as well as the growing share of top ups through different payout mechanisms. As of the end of 2022, the share of these non-cash top-ups surpassed 87% of the total reloads following the decline in the number of our kiosks and third party kiosks on the market (see </w:t>
      </w:r>
      <w:r>
        <w:rPr>
          <w:rFonts w:eastAsia="Times New Roman" w:asciiTheme="majorHAnsi" w:hAnsiTheme="majorHAnsi" w:cstheme="majorHAnsi"/>
          <w:i/>
          <w:lang w:eastAsia="ru-RU"/>
        </w:rPr>
        <w:t>Item 3D “Risk Factors — Risks Relating to Our Business and Industry — A decline in the use of cash as a means of payment or a decline in the use of kiosks and terminals may result in a reduced demand for our services</w:t>
      </w:r>
      <w:r>
        <w:rPr>
          <w:rFonts w:eastAsia="Times New Roman" w:asciiTheme="majorHAnsi" w:hAnsiTheme="majorHAnsi" w:cstheme="majorHAnsi"/>
          <w:lang w:eastAsia="ru-RU"/>
        </w:rPr>
        <w:t>”) and diversification of our payment infrastructure and product offering as well as overall market trend towards digitalization of payments.</w:t>
      </w:r>
    </w:p>
    <w:p w:rsidR="009534E2" w:rsidRDefault="003369EB">
      <w:pPr>
        <w:keepNext/>
        <w:spacing w:after="200"/>
        <w:ind w:firstLine="461"/>
        <w:rPr>
          <w:rFonts w:eastAsia="Times New Roman" w:asciiTheme="majorHAnsi" w:hAnsiTheme="majorHAnsi" w:cstheme="majorHAnsi"/>
          <w:bCs/>
          <w:iCs/>
        </w:rPr>
      </w:pPr>
      <w:r>
        <w:rPr>
          <w:rFonts w:eastAsia="Times New Roman" w:asciiTheme="majorHAnsi" w:hAnsiTheme="majorHAnsi" w:cstheme="majorHAnsi"/>
          <w:bCs/>
          <w:i/>
          <w:iCs/>
          <w:lang w:eastAsia="ru-RU"/>
        </w:rPr>
        <w:t>Our International Virtual Wallets</w:t>
      </w:r>
    </w:p>
    <w:p w:rsidR="009534E2" w:rsidRDefault="003369EB">
      <w:pPr>
        <w:spacing w:after="200"/>
        <w:ind w:firstLine="461"/>
        <w:rPr>
          <w:rFonts w:eastAsia="Times New Roman" w:asciiTheme="majorHAnsi" w:hAnsiTheme="majorHAnsi" w:cstheme="majorHAnsi"/>
          <w:bCs/>
          <w:iCs/>
        </w:rPr>
      </w:pPr>
      <w:r>
        <w:rPr>
          <w:rFonts w:eastAsia="Times New Roman" w:asciiTheme="majorHAnsi" w:hAnsiTheme="majorHAnsi" w:cstheme="majorHAnsi"/>
          <w:bCs/>
          <w:iCs/>
          <w:lang w:eastAsia="ru-RU"/>
        </w:rPr>
        <w:t xml:space="preserve">As of December 31, 2022, the vast majority of active QIWI </w:t>
      </w:r>
      <w:r>
        <w:rPr>
          <w:rFonts w:eastAsia="Times New Roman" w:asciiTheme="majorHAnsi" w:hAnsiTheme="majorHAnsi" w:cstheme="majorHAnsi"/>
          <w:lang w:eastAsia="ru-RU"/>
        </w:rPr>
        <w:t xml:space="preserve">Wallet </w:t>
      </w:r>
      <w:r>
        <w:rPr>
          <w:rFonts w:eastAsia="Times New Roman" w:asciiTheme="majorHAnsi" w:hAnsiTheme="majorHAnsi" w:cstheme="majorHAnsi"/>
          <w:bCs/>
          <w:iCs/>
          <w:lang w:eastAsia="ru-RU"/>
        </w:rPr>
        <w:t>accounts were based in Russia. We also have a limited number of electronic wallets in Kazakhstan.</w:t>
      </w:r>
    </w:p>
    <w:p w:rsidR="009534E2" w:rsidRDefault="003369EB">
      <w:pPr>
        <w:keepNext/>
        <w:spacing w:after="200"/>
        <w:ind w:firstLine="461"/>
        <w:rPr>
          <w:rFonts w:eastAsia="Times New Roman" w:asciiTheme="majorHAnsi" w:hAnsiTheme="majorHAnsi" w:cstheme="majorHAnsi"/>
          <w:bCs/>
          <w:iCs/>
        </w:rPr>
      </w:pPr>
      <w:r>
        <w:rPr>
          <w:rFonts w:eastAsia="Times New Roman" w:asciiTheme="majorHAnsi" w:hAnsiTheme="majorHAnsi" w:cstheme="majorHAnsi"/>
          <w:b/>
          <w:bCs/>
          <w:i/>
          <w:iCs/>
          <w:lang w:eastAsia="ru-RU"/>
        </w:rPr>
        <w:t>QIWI Prepaid Cards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At the end of 2009, we launched a prepaid card program in partnership with Visa Inc. Qiwi Visa prepaid cardholders enjoy all the benefits of a Visa card without having to open a bank account or credit line, eliminating the perceived risk of fraud associated with traditional credit and debit cards. Our QIWI Visa Plastic Card is a physical card that can be used to make purchases online or in a physical retail environment through a POS terminal from any merchant that accepts Visa branded cards. QIWI Visa Plastic Cards are linked to the balance of the consumer’s QIWI Wallet and can serve as another extension of QIWI Wallet in to the physical environment. Up until March 10, 2022, these cards could be ordered through a QIWI Wallet. Visa QIWI Plastic Card complemented our online capabilities and offers customers a wide range of use cases such as full scope light banking services including cash and electronic reloads, intuitive online interfaces, all types of payments and remittances and cash withdrawals from participating ATMs.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On March 5, 2022, Visa and Mastercard suspended membership of all their Russian members, rendering banks unable to issue Visa and Mastercard cards, including our Qiwi Bank. Effective March 10, 2022 transactions with Visa and MasterCard cards issued in Russia are no longer supported by these payment systems and these cards no longer work outside of the country. In addition, any Visa and MasterCard cards issued by financial institutions outside of Russia don’t work within the Russian Federation. Nevertheless, operations with such cards issued in Russia before the announced changes remain uninterrupted as they are processed through the alternative payment system. Due to these changes QIWI is no longer able to issue VISA prepaid cards. As majority of our operations conducted in rubles and availability of QIWI Wallet services as payment method was not affected, we do not see any meaningful impact on our operations and financial results due to such changes.</w:t>
      </w:r>
    </w:p>
    <w:p w:rsidR="009534E2" w:rsidRDefault="003369EB">
      <w:pPr>
        <w:keepNext/>
        <w:spacing w:after="200"/>
        <w:ind w:firstLine="461"/>
        <w:rPr>
          <w:rFonts w:eastAsia="Times New Roman" w:asciiTheme="majorHAnsi" w:hAnsiTheme="majorHAnsi" w:cstheme="majorHAnsi"/>
          <w:sz w:val="24"/>
          <w:szCs w:val="24"/>
        </w:rPr>
      </w:pPr>
      <w:r>
        <w:rPr>
          <w:rFonts w:eastAsia="Times New Roman" w:asciiTheme="majorHAnsi" w:hAnsiTheme="majorHAnsi" w:cstheme="majorHAnsi"/>
          <w:b/>
          <w:bCs/>
          <w:i/>
          <w:iCs/>
          <w:lang w:eastAsia="ru-RU"/>
        </w:rPr>
        <w:t>Physical distribution</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i/>
          <w:iCs/>
          <w:lang w:eastAsia="ru-RU"/>
        </w:rPr>
        <w:t>Overview</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Our physical distribution comprises approximately 62,000 kiosks and approximately 12,000 terminals (including various interfaces at physical points of service) that are assembled and sold by third party manufacturers. These kiosks and terminals run our proprietary software, which provides the customized interfaces that display our broad range of payment services and ensure the connectivity to our processing platform.</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In 2020, 2021 and 2022 we had approximately 94,000, 75,000 and 62,000 kiosks and around 19,000, 18,000 and 12,000 terminals in our network as of year-end, respectively (for a discussion of the dynamics of the number of kiosks and terminals please see Item 5A </w:t>
      </w:r>
      <w:r>
        <w:rPr>
          <w:rFonts w:eastAsia="Times New Roman" w:asciiTheme="majorHAnsi" w:hAnsiTheme="majorHAnsi" w:cstheme="majorHAnsi"/>
          <w:i/>
          <w:iCs/>
          <w:lang w:eastAsia="ru-RU"/>
        </w:rPr>
        <w:t>“Operating Results – Key Measures of Financial and Operational Performance”</w:t>
      </w:r>
      <w:r>
        <w:rPr>
          <w:rFonts w:eastAsia="Times New Roman" w:asciiTheme="majorHAnsi" w:hAnsiTheme="majorHAnsi" w:cstheme="majorHAnsi"/>
          <w:lang w:eastAsia="ru-RU"/>
        </w:rPr>
        <w:t>). We have deployed our network of kiosks and terminals using a proprietary agent model. Under this model, kiosks are assembled by third-party manufacturers using our proprietary specifications and are then purchased by over 2,000 agents responsible for placing, operating and servicing the kiosks in high-traffic and convenient retail locations (the number of active agents includes only those who own kiosks and terminals. For reference, the number of active agents in physical distribution in 2020 and 2021 was 3,422 and 3,052, respectively). In addition, an agent-owned point of sale terminal, computer, laptop or mobile phone can serve as a QIWI terminal once our proprietary software is installed on it, which allows the agent to process consumer payments to merchants through our system.</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 2015, we acquired the CONTACT money remittance system. CONTACT is one of the major classic money transfer systems in Russia. It partners with hundreds of financial institutions and agents to form an extensive network of bank branches and retail offices across the globe to provide highly convenient and easily accessible money transfer services to a wide variety of users, digitalizing the offline market as well as strengthening and enlarging our ecosystem.</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We have created and continue to develop our payment gateways which allow merchants to accept payments from customers for various goods and services. Our partners who deploy such payment gateways are primarily banks that integrate this payment solution into their remote banking channels, including ATM, internet banking, mobile applications, and websites. In addition to banks, this solution is in demand with our partners in retail and MNOs. The integration of this payment acceptance product allows our partners to increase monetization of the business through an additional income source, attract new customers and instantly start accepting payments to a large number of merchants.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bCs/>
          <w:iCs/>
          <w:lang w:eastAsia="ru-RU"/>
        </w:rPr>
        <w:t>Currently, our physical distribution network is almost entirely located in Russia and Kazakhstan. We also have a limited number of kiosks in Moldova and Belarus.</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i/>
          <w:iCs/>
          <w:lang w:eastAsia="ru-RU"/>
        </w:rPr>
        <w:t>Our Kiosks and Terminals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A kiosk is a standalone computer terminal with a touch screen and specialized hardware and software, which enables consumers to make cash payments to merchants or reload their QIWI Wallet. Each kiosk is connected to our network using a dedicated SIM card or via the internet and is equipped with a cash acceptor, a printing device and a transaction recording device, along with a number of other capabilities in some cases. Kiosks are relatively easy and inexpensive to install and are equipped with specialized software that monitors the condition of the kiosk and its components.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In addition to kiosks, our network includes approximately 12,000 terminals at various retail locations. We provide these businesses with access to our network through our proprietary software and process payments made by their customers.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Our kiosks and terminals are owned by our agents in physical distribution. The agents purchase, install, operate and service the kiosks and terminals themselves; we provide them with our platform and technical solutions, help them comply with reporting requirements and provide them with various forms of support and incentives. Historically, we have been signing rental agreements with large retail networks including X5 Retail Group, Magnit, Monetka, Maria-Ra, and others to further sublease those locations to our agents. We believe it is important to provide our agents with comprehensive support in order to ensure the quality of service and a unique competitive environment.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sz w:val="24"/>
          <w:szCs w:val="24"/>
        </w:rPr>
        <w:t>F</w:t>
      </w:r>
      <w:r>
        <w:rPr>
          <w:rFonts w:eastAsia="Times New Roman" w:asciiTheme="majorHAnsi" w:hAnsiTheme="majorHAnsi" w:cstheme="majorHAnsi"/>
          <w:lang w:eastAsia="ru-RU"/>
        </w:rPr>
        <w:t xml:space="preserve">or more details on number of kiosks and terminals see Item 5A </w:t>
      </w:r>
      <w:r>
        <w:rPr>
          <w:rFonts w:eastAsia="Times New Roman" w:asciiTheme="majorHAnsi" w:hAnsiTheme="majorHAnsi" w:cstheme="majorHAnsi"/>
          <w:i/>
          <w:iCs/>
          <w:lang w:eastAsia="ru-RU"/>
        </w:rPr>
        <w:t>“Operating Results - Number of active kiosks and terminals”</w:t>
      </w:r>
      <w:r>
        <w:rPr>
          <w:rFonts w:eastAsia="Times New Roman" w:asciiTheme="majorHAnsi" w:hAnsiTheme="majorHAnsi" w:cstheme="majorHAnsi"/>
          <w:lang w:eastAsia="ru-RU"/>
        </w:rPr>
        <w:t>.</w:t>
      </w:r>
    </w:p>
    <w:p w:rsidR="009534E2" w:rsidRDefault="003369EB">
      <w:pPr>
        <w:keepNext/>
        <w:spacing w:after="200"/>
        <w:rPr>
          <w:rFonts w:eastAsia="Times New Roman" w:asciiTheme="majorHAnsi" w:hAnsiTheme="majorHAnsi" w:cstheme="majorHAnsi"/>
          <w:bCs/>
          <w:iCs/>
        </w:rPr>
      </w:pPr>
      <w:r>
        <w:rPr>
          <w:rFonts w:eastAsia="Times New Roman" w:asciiTheme="majorHAnsi" w:hAnsiTheme="majorHAnsi" w:cstheme="majorHAnsi"/>
          <w:bCs/>
          <w:i/>
          <w:iCs/>
          <w:lang w:eastAsia="ru-RU"/>
        </w:rPr>
        <w:t>Our Agents</w:t>
      </w:r>
    </w:p>
    <w:p w:rsidR="009534E2" w:rsidRDefault="003369EB">
      <w:pPr>
        <w:spacing w:after="200"/>
        <w:ind w:firstLine="461"/>
        <w:rPr>
          <w:rFonts w:eastAsia="Times New Roman" w:asciiTheme="majorHAnsi" w:hAnsiTheme="majorHAnsi" w:cstheme="majorHAnsi"/>
          <w:bCs/>
          <w:iCs/>
          <w:lang w:eastAsia="ru-RU"/>
        </w:rPr>
      </w:pPr>
      <w:r>
        <w:rPr>
          <w:rFonts w:eastAsia="Times New Roman" w:asciiTheme="majorHAnsi" w:hAnsiTheme="majorHAnsi" w:cstheme="majorHAnsi"/>
          <w:bCs/>
          <w:iCs/>
          <w:lang w:eastAsia="ru-RU"/>
        </w:rPr>
        <w:t>Our agent base includes more than 2,000 agents who own kiosks and terminals and are responsible for placing, operating and servicing them in high-traffic, convenient retail locations. Apart from the larger agents such as consumer electronics retailers or banks, many of our agents are small to medium-sized businesses, which we believe provides them with insights into local market dynamics.</w:t>
      </w:r>
    </w:p>
    <w:p w:rsidR="009534E2" w:rsidRDefault="003369EB">
      <w:pPr>
        <w:spacing w:after="200"/>
        <w:ind w:firstLine="461"/>
        <w:rPr>
          <w:rFonts w:eastAsia="Times New Roman" w:asciiTheme="majorHAnsi" w:hAnsiTheme="majorHAnsi" w:cstheme="majorHAnsi"/>
          <w:bCs/>
          <w:iCs/>
          <w:lang w:eastAsia="ru-RU"/>
        </w:rPr>
      </w:pPr>
      <w:r>
        <w:rPr>
          <w:rFonts w:eastAsia="Times New Roman" w:asciiTheme="majorHAnsi" w:hAnsiTheme="majorHAnsi" w:cstheme="majorHAnsi"/>
          <w:bCs/>
          <w:iCs/>
          <w:lang w:eastAsia="ru-RU"/>
        </w:rPr>
        <w:t>Our agents determine the consumer fee for a number of services, while we may limit it and set, if applicable, consumer commissions for services of other categories of merchants. Moreover, we can cap these fees depending on our marketing actions or merchant’s request. When the fee payable by the consumers is absent or capped, we normally award the agents an increased portion of merchant fees.</w:t>
      </w:r>
    </w:p>
    <w:p w:rsidR="009534E2" w:rsidRDefault="003369EB">
      <w:pPr>
        <w:spacing w:after="200"/>
        <w:ind w:firstLine="461"/>
        <w:rPr>
          <w:rFonts w:eastAsia="Times New Roman" w:asciiTheme="majorHAnsi" w:hAnsiTheme="majorHAnsi" w:cstheme="majorHAnsi"/>
          <w:bCs/>
          <w:iCs/>
        </w:rPr>
      </w:pPr>
      <w:r>
        <w:rPr>
          <w:rFonts w:eastAsia="Times New Roman" w:asciiTheme="majorHAnsi" w:hAnsiTheme="majorHAnsi" w:cstheme="majorHAnsi"/>
          <w:bCs/>
          <w:iCs/>
        </w:rPr>
        <w:t xml:space="preserve">For more details on number of agents see Item 5A </w:t>
      </w:r>
      <w:r>
        <w:rPr>
          <w:rFonts w:eastAsia="Times New Roman" w:asciiTheme="majorHAnsi" w:hAnsiTheme="majorHAnsi" w:cstheme="majorHAnsi"/>
          <w:bCs/>
          <w:i/>
        </w:rPr>
        <w:t>"Operating Results - Number of active kiosks and terminals"</w:t>
      </w:r>
      <w:r>
        <w:rPr>
          <w:rFonts w:eastAsia="Times New Roman" w:asciiTheme="majorHAnsi" w:hAnsiTheme="majorHAnsi" w:cstheme="majorHAnsi"/>
          <w:bCs/>
          <w:iCs/>
        </w:rPr>
        <w:t>.</w:t>
      </w:r>
    </w:p>
    <w:p w:rsidR="009534E2" w:rsidRDefault="003369EB">
      <w:pPr>
        <w:keepNext/>
        <w:spacing w:after="200"/>
        <w:ind w:firstLine="461"/>
        <w:rPr>
          <w:rFonts w:eastAsia="Times New Roman" w:asciiTheme="majorHAnsi" w:hAnsiTheme="majorHAnsi" w:cstheme="majorHAnsi"/>
          <w:bCs/>
          <w:iCs/>
        </w:rPr>
      </w:pPr>
      <w:r>
        <w:rPr>
          <w:rFonts w:eastAsia="Times New Roman" w:asciiTheme="majorHAnsi" w:hAnsiTheme="majorHAnsi" w:cstheme="majorHAnsi"/>
          <w:b/>
          <w:bCs/>
          <w:i/>
          <w:iCs/>
          <w:lang w:eastAsia="ru-RU"/>
        </w:rPr>
        <w:t>Merchants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 2020, 2021 and 2022 we had approximately 10,900, 7,700 and 7,800 merchants active on a monthly basis in our system as of year-end, respectively. The decline in number of merchants was primarily driven by the CBR restrictions imposed in December 2020. Our merchants are vendors, including online retailers and service providers, betting companies, banks, microfinance organizations, money remittance companies, mobile network operators and utilities. With our extensive list of merchants, we aim to create a “one-stop” experience for our consumers. Consumers can easily access our merchants through QIWI Wallet, while our larger merchants can also be accessed through hyperlink icons placed directly on kiosk screens and, since any of our kiosks can be used as an interface to register a QIWI Wallet account or to access an existing one, the merchant offering is effectively the same for all our payment services interfaces. In addition, QIWI Wallet accounts can be linked to virtual or physical prepaid cards that can be used to make purchases at any merchant accepting these cards, including certain countries and financial institutions outside of Russia.</w:t>
      </w:r>
    </w:p>
    <w:p w:rsidR="009534E2" w:rsidRDefault="003369EB">
      <w:pPr>
        <w:spacing w:after="200"/>
        <w:ind w:firstLine="461"/>
        <w:rPr>
          <w:rFonts w:eastAsia="Times New Roman" w:asciiTheme="majorHAnsi" w:hAnsiTheme="majorHAnsi" w:cstheme="majorHAnsi"/>
        </w:rPr>
      </w:pPr>
      <w:bookmarkStart w:name="_8b79f3cb_6ce5_4521_bca6_a02b4e77d6db" w:id="68"/>
      <w:bookmarkEnd w:id="68"/>
      <w:r>
        <w:rPr>
          <w:rFonts w:eastAsia="Times New Roman" w:asciiTheme="majorHAnsi" w:hAnsiTheme="majorHAnsi" w:cstheme="majorHAnsi"/>
          <w:lang w:eastAsia="ru-RU"/>
        </w:rPr>
        <w:t>We operate in specialized high-growth markets and segments that lack convenient digital solutions, are underserved by traditional banks and in some cases remain primarily cash-based. We believe our expertise and ability to deliver transparency and fintech solutions into such markets uniquely position us to benefit from strong secular trends towards the digitalization of economy. We aim to sustain a high-growth and return-driven profile, expanding our leadership in the key niches and developing products to enter new markets.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Our strategy is for QIWI to become the leading fintech platform for underbanked customers. We plan to use our extensive customer outreach and data to develop products and services focused on clients whose needs are not fully serviced by traditional banks, such as online SMEs, self-employed individuals, migrants, and similar customer groups. We anticipate that our expertise in the payment services and the variety of existing end-to-end products for the B2B channel will serve as a backbone for various digital players in digital commerce and entertainment, self-employed space, and others. At the same time in long term we aim to grow beyond the core fintech services on adjacent sizable markets using our developed infrastructure and offering vertical solutions for e-commerce.</w:t>
      </w:r>
    </w:p>
    <w:p w:rsidR="009534E2" w:rsidRDefault="003369EB">
      <w:pPr>
        <w:keepNext/>
        <w:spacing w:after="200"/>
        <w:rPr>
          <w:rFonts w:eastAsia="Times New Roman" w:asciiTheme="majorHAnsi" w:hAnsiTheme="majorHAnsi" w:cstheme="majorHAnsi"/>
          <w:bCs/>
        </w:rPr>
      </w:pPr>
      <w:r>
        <w:rPr>
          <w:rFonts w:eastAsia="Times New Roman" w:asciiTheme="majorHAnsi" w:hAnsiTheme="majorHAnsi" w:cstheme="majorHAnsi"/>
          <w:b/>
          <w:bCs/>
          <w:lang w:eastAsia="ru-RU"/>
        </w:rPr>
        <w:t>Corporate and Other Category</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Corporate and Other category includes expenses associated with the corporate operations of QIWI Group as well as our research and development initiatives, and early stage or non-core projects and business models that we are developing (</w:t>
      </w:r>
      <w:r>
        <w:rPr>
          <w:rFonts w:eastAsia="Times New Roman" w:asciiTheme="majorHAnsi" w:hAnsiTheme="majorHAnsi" w:cstheme="majorHAnsi"/>
          <w:iCs/>
          <w:lang w:eastAsia="ru-RU"/>
        </w:rPr>
        <w:t>see Item 3D</w:t>
      </w:r>
      <w:r>
        <w:rPr>
          <w:rFonts w:eastAsia="Times New Roman" w:asciiTheme="majorHAnsi" w:hAnsiTheme="majorHAnsi" w:cstheme="majorHAnsi"/>
          <w:i/>
          <w:lang w:eastAsia="ru-RU"/>
        </w:rPr>
        <w:t xml:space="preserve"> “- If we cannot keep pace with rapid developments and change in our industry and provide new services to our clients, or if any of the new products we roll out are unsuccessful, the use of our services could decline, and we could experience a decline in revenue and an inability to recoup costs.”</w:t>
      </w:r>
      <w:r>
        <w:rPr>
          <w:rFonts w:eastAsia="Times New Roman" w:asciiTheme="majorHAnsi" w:hAnsiTheme="majorHAnsi" w:cstheme="majorHAnsi"/>
          <w:lang w:eastAsia="ru-RU"/>
        </w:rPr>
        <w: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Apart from corporate expenses as of December 31, 2022 this category includes primarily:</w:t>
      </w:r>
    </w:p>
    <w:p w:rsidR="009534E2" w:rsidRDefault="003369EB">
      <w:pPr>
        <w:pStyle w:val="ListParagraph"/>
        <w:numPr>
          <w:ilvl w:val="0"/>
          <w:numId w:val="43"/>
        </w:numPr>
        <w:ind w:left="821"/>
        <w:rPr>
          <w:rFonts w:eastAsia="Times New Roman" w:asciiTheme="majorHAnsi" w:hAnsiTheme="majorHAnsi" w:cstheme="majorHAnsi"/>
        </w:rPr>
      </w:pPr>
      <w:r>
        <w:rPr>
          <w:rFonts w:eastAsia="Times New Roman" w:asciiTheme="majorHAnsi" w:hAnsiTheme="majorHAnsi" w:cstheme="majorHAnsi"/>
          <w:lang w:eastAsia="ru-RU"/>
        </w:rPr>
        <w:t>ROWI, a service that offers digital structured financial products to small and medium-sized enterprises. ROWI provides digital factoring solutions for businesses and issues bank guarantees to entities participating in public procurement procedures. In 2021 ROWI also started to provide online loans for performance of public procurement contracts and loans for marketplace sellers based on sales analytics;</w:t>
      </w:r>
    </w:p>
    <w:p w:rsidR="009534E2" w:rsidRDefault="003369EB">
      <w:pPr>
        <w:pStyle w:val="ListParagraph"/>
        <w:numPr>
          <w:ilvl w:val="0"/>
          <w:numId w:val="43"/>
        </w:numPr>
        <w:ind w:left="821"/>
        <w:rPr>
          <w:rFonts w:eastAsia="Times New Roman" w:asciiTheme="majorHAnsi" w:hAnsiTheme="majorHAnsi" w:cstheme="majorHAnsi"/>
          <w:lang w:eastAsia="ru-RU"/>
        </w:rPr>
      </w:pPr>
      <w:r>
        <w:rPr>
          <w:rFonts w:eastAsia="Times New Roman" w:asciiTheme="majorHAnsi" w:hAnsiTheme="majorHAnsi" w:cstheme="majorHAnsi"/>
          <w:lang w:eastAsia="ru-RU"/>
        </w:rPr>
        <w:t>Flocktory, a SaaS platform for customer lifecycle management and personalization focused primarily on the development of automated marketing solutions for the e-commerce, financial, media and travel industries, based on data collection and analysis.</w:t>
      </w:r>
    </w:p>
    <w:p w:rsidR="009534E2" w:rsidRDefault="003369EB">
      <w:pPr>
        <w:pStyle w:val="ListParagraph"/>
        <w:numPr>
          <w:ilvl w:val="0"/>
          <w:numId w:val="43"/>
        </w:numPr>
        <w:ind w:left="821"/>
        <w:rPr>
          <w:rFonts w:eastAsia="Times New Roman" w:asciiTheme="majorHAnsi" w:hAnsiTheme="majorHAnsi" w:cstheme="majorHAnsi"/>
        </w:rPr>
      </w:pPr>
      <w:r>
        <w:rPr>
          <w:rFonts w:eastAsia="Times New Roman" w:asciiTheme="majorHAnsi" w:hAnsiTheme="majorHAnsi" w:cstheme="majorHAnsi"/>
          <w:lang w:eastAsia="ru-RU"/>
        </w:rPr>
        <w:t>RealWeb, a full-cycle digital marketing service provider in Russia, which offers clients with context and media advertising management services, social network presence, programmatic, CPA and mobile marketing type of services;</w:t>
      </w:r>
    </w:p>
    <w:p w:rsidR="009534E2" w:rsidRDefault="003369EB">
      <w:pPr>
        <w:pStyle w:val="ListParagraph"/>
        <w:numPr>
          <w:ilvl w:val="0"/>
          <w:numId w:val="43"/>
        </w:numPr>
        <w:spacing w:after="200"/>
        <w:ind w:left="821"/>
        <w:rPr>
          <w:rFonts w:eastAsia="Times New Roman" w:asciiTheme="majorHAnsi" w:hAnsiTheme="majorHAnsi" w:cstheme="majorHAnsi"/>
        </w:rPr>
      </w:pPr>
      <w:r>
        <w:rPr>
          <w:rFonts w:eastAsia="Times New Roman" w:asciiTheme="majorHAnsi" w:hAnsiTheme="majorHAnsi" w:cstheme="majorHAnsi"/>
          <w:lang w:eastAsia="ru-RU"/>
        </w:rPr>
        <w:t>Other projects: a number of various venture projects, which are currently immaterial in the overall composition of our business.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believe that our long-term growth depends on our ability to innovate on our existing solutions as well as develop and roll out new business models and technological products. As a result, testing these models and ideas is important for the growth of our business. It is also important to further develop our suite of services and offer our consumers, especially those in our key niches a broader range of new generation digital financial services in order to improve consumer value proposition and enforce our ecosystem.</w:t>
      </w:r>
    </w:p>
    <w:p w:rsidR="009534E2" w:rsidRDefault="003369EB">
      <w:pPr>
        <w:keepNext/>
        <w:spacing w:after="200"/>
        <w:ind w:left="360" w:hanging="360"/>
        <w:rPr>
          <w:rFonts w:eastAsia="Times New Roman" w:asciiTheme="majorHAnsi" w:hAnsiTheme="majorHAnsi" w:cstheme="majorHAnsi"/>
        </w:rPr>
      </w:pPr>
      <w:r>
        <w:rPr>
          <w:rFonts w:eastAsia="Times New Roman" w:asciiTheme="majorHAnsi" w:hAnsiTheme="majorHAnsi" w:cstheme="majorHAnsi"/>
          <w:b/>
          <w:lang w:eastAsia="ru-RU"/>
        </w:rPr>
        <w:t>ROWI</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launched the Factoring PLUS project in 2018. It currently operates through ROWI Factoring Plus LLC and ROWI Tech LLC, our fully consolidated subsidiary in which we own 51%. In 2021 Factoring PLUS project was rebranded as ROWI. It offers its clients several structured financial products: digital factoring services, digital bank guarantees for public procurement participation and execution, online loans for performance of public procurement contracts and online funding for marketplace sellers based on sales analytics.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Our factoring financing product operates in the following way: a client sells its accounts receivable at a discount in exchange for an immediate payment, ROWI then collects payments against these receivables from the client's debtors once they become due. Clients choose factoring financing in order to improve their cash position by monetizing receivables before they become due. This way, ROWI helps clients to free up capital that is tied up in accounts receivable. The core clients of ROWI are primarily small and medium-sized entrepreneurs operating in retail, food production industry, pharmaceutical industry and real estate, that are engaged in various trade activities and contract with large customers.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As of December 31, 2022, ROWI has over 730 active factoring clients with a total factoring portfolio of RUB 12.6 billion.</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A bank guarantee is an irrevocable commitment by a bank to cover the obligation of the debtor requesting the guarantee towards the beneficiary thereof. Qiwi Bank acts as the issuing bank for digital bank guarantees, but business development, product development and account management are handled by the ROWI team. Clients use our digital bank guarantees on a broad range of transactions, primarily performance guarantees involving public procurement (where such guarantees are required by law). Public procurement at federal and local level is a vast and attractive market in Russia, with a large number of small and medium-sized businesses participating. By law, it is a tender-based process, with bids typically required to be supported by a bank guarantee. In 2021 ROWI started to provide loans to clients for implementation of public procurement contracts. As a result, ROWI provides full support to its clients engaged in the public procurement market.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In 2022, ROWI project issued over 92,200 bank guarantees. As of December 31, 2022, total value of digital bank guarantees portfolio reached RUB 81.5 billion.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Another new product launched by ROWI in 2021 is online funding for marketplaces sellers based on scoring of their sales via personal account data.</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ROWI is a fully digital service based on a proprietary technological platform which enables servicing clients entirely online, approving financings expeditiously based on our proprietary scoring technologies and algorithms, and meaningfully reducing the volume of paperwork. These factors, along with our competitive pricing (enabled by high level of automation) make our factoring proposal attractive to small and medium-sized entrepreneurs. The ROWI API solution allows us to access various sources of procurement and tender information to be able to offer our services to prospective customers more efficiently.</w:t>
      </w:r>
    </w:p>
    <w:p w:rsidR="009534E2" w:rsidRDefault="003369EB">
      <w:pPr>
        <w:keepNext/>
        <w:spacing w:after="200"/>
        <w:rPr>
          <w:rFonts w:eastAsia="Times New Roman" w:asciiTheme="majorHAnsi" w:hAnsiTheme="majorHAnsi" w:cstheme="majorHAnsi"/>
        </w:rPr>
      </w:pPr>
      <w:r>
        <w:rPr>
          <w:rFonts w:eastAsia="Times New Roman" w:asciiTheme="majorHAnsi" w:hAnsiTheme="majorHAnsi" w:cstheme="majorHAnsi"/>
          <w:b/>
          <w:lang w:eastAsia="ru-RU"/>
        </w:rPr>
        <w:t>Flocktory</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acquired an 82% stake in Flocktory Ltd in March 2017 and bought out the remaining minority interest in December 2019, when we started to consolidate the business as part of the Group.</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Flocktory operates in Russia and Spain. Its business is primarily focused on two main business lines: marketing automation and personalization and performance marketing solutions for online platforms (e.g. e-commerce, financial, media and travel industries), and consists primarily of a SaaS platform for customer lifecycle management and performance marketing advertisement products.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Flocktory product portfolio includes two key product segments: Performance Marketing segment and Personalization &amp; Marketing Automation. Performance Marketing comprises e-mail retargeting and consumer traffic exchange solutions designed to generate additional leads and orders. The purpose of Personalization &amp; Marketing Automation (MarTech) is to enable clients to set up automated, personalized marketing campaigns with their own end customers via various channels (on-site personalization, e-mail, push and others) to improve sales on the platform while also collecting and analyzing data for continuous improvement of clients’ digital marketing strategies.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E-commerce is the key market segment for Flocktory, with revenue improvement supported by a clear trend for online growth, shift towards omnichannel models, rise of mobile commerce. Flocktory’s products are also popular among banks, insurance companies, payment systems, MNOs, travel industry, streaming services and many others.</w:t>
      </w:r>
    </w:p>
    <w:p w:rsidR="009534E2" w:rsidRDefault="003369EB">
      <w:pPr>
        <w:spacing w:after="200"/>
        <w:rPr>
          <w:rFonts w:eastAsia="Times New Roman" w:asciiTheme="majorHAnsi" w:hAnsiTheme="majorHAnsi" w:cstheme="majorHAnsi"/>
          <w:b/>
          <w:bCs/>
        </w:rPr>
      </w:pPr>
      <w:r>
        <w:rPr>
          <w:rFonts w:eastAsia="Times New Roman" w:asciiTheme="majorHAnsi" w:hAnsiTheme="majorHAnsi" w:cstheme="majorHAnsi"/>
          <w:b/>
          <w:bCs/>
        </w:rPr>
        <w:t>RealWeb</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 xml:space="preserve">We acquired a 79% effective stake in RealWeb in December 2022 with an option to acquire the remaining minority interest to be acquired within the following 6 months. </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RealWeb, as a Group of companies, is a full-cycle digital marketing service provider in Russia, which offers clients context and media advertising management services, social network presence, programmatic, CPA and mobile marketing type of services.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RealWeb was founded in 1998 and positions itself as a full-service digital agency (creating media and video ads, contextual advertising, SEO-promotion, SMM). RealWeb operates on its proprietary technological solutions: the Centra, the META and the Garpun. The Centra is a marketplace for advertising products and services. The platform allows to connect an extensive number of websites and services and manage effectively advertising campaigns through a single interface. It also enables access to a wide base of vendors and service providers for collaboration. The МЕТА platform aims to provide complex, end-to-end, customized business applications. It gathers information and automates business processes in the digital agency resulting in higher operational efficiency of operations and superior quality of customer service. The GARPUN is an automated system for managing context advertising that enables the creation of adaptive and efficient marketing campaigns of any complexity.</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The customer portfolio of RealWeb include companies with operations in the insurance and financing, pharmaceutical, automotive, FMCG, real estate, and e-commerce industries.</w:t>
      </w:r>
    </w:p>
    <w:p w:rsidR="009534E2" w:rsidRDefault="003369EB">
      <w:pPr>
        <w:keepNext/>
        <w:spacing w:after="200"/>
        <w:rPr>
          <w:rFonts w:eastAsia="Times New Roman" w:asciiTheme="majorHAnsi" w:hAnsiTheme="majorHAnsi" w:cstheme="majorHAnsi"/>
          <w:bCs/>
        </w:rPr>
      </w:pPr>
      <w:r>
        <w:rPr>
          <w:rFonts w:eastAsia="Times New Roman" w:asciiTheme="majorHAnsi" w:hAnsiTheme="majorHAnsi" w:cstheme="majorHAnsi"/>
          <w:b/>
          <w:bCs/>
          <w:lang w:eastAsia="ru-RU"/>
        </w:rPr>
        <w:t>Qiwi Bank</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 September 2010, we acquired Qiwi Bank (which is licensed as a bank in the Russian Federation) to serve as a platform for our QIWI Wallet business. When a consumer deposits cash into his or her QIWI Wallet account, Qiwi Bank issues a virtual prepaid card to a consumer. Qiwi Bank also issues plastic cards to QIWI Wallet customers. Funds received by Qiwi Bank from customers loading and reloading their QIWI Wallet accounts are held on Qiwi Bank’s account. Qiwi Bank does not pay interest on QIWI Wallet accounts.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June 2015, we acquired Rapida LTD, a licensed non-banking credit organization, and the CONTACT money remittance system. In April 2017, Rapida LTD was merged into Qiwi Bank and it became the operator of the CONTACT.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In November 2016, following changes in legislation governing betting businesses in Russia, Qiwi Bank, together with one of the self-regulated organization of bookmakers, established the Interactive Bets Accounting Center (TSUPIS) and began acting as a platform for </w:t>
      </w:r>
      <w:r>
        <w:rPr>
          <w:rFonts w:eastAsia="MS Mincho" w:asciiTheme="majorHAnsi" w:hAnsiTheme="majorHAnsi" w:cstheme="majorHAnsi"/>
          <w:lang w:eastAsia="ja-JP"/>
        </w:rPr>
        <w:t xml:space="preserve">accepting interactive bets in favor of the members of the self-regulated organization of bookmakers. In December 2020, a new law was adopted, establishing a Unified Gambling Regulator as a new governmental agency with broad authority to oversee the betting market, and creating the role of a single Unified Interactive Bets Accounting Center (ETSUP). QIWI made a proposal to serve as the ETSUP but our bid was not successful. Since October 2021, the newly-appointed ETSUP has been exclusively processing betting operations, replacing our TSUPIS </w:t>
      </w:r>
      <w:r>
        <w:rPr>
          <w:rFonts w:eastAsia="Times New Roman" w:asciiTheme="majorHAnsi" w:hAnsiTheme="majorHAnsi" w:cstheme="majorHAnsi"/>
          <w:i/>
          <w:lang w:eastAsia="ru-RU"/>
        </w:rPr>
        <w:t>(</w:t>
      </w:r>
      <w:r>
        <w:rPr>
          <w:rFonts w:eastAsia="Times New Roman" w:asciiTheme="majorHAnsi" w:hAnsiTheme="majorHAnsi" w:cstheme="majorHAnsi"/>
          <w:lang w:eastAsia="ru-RU"/>
        </w:rPr>
        <w:t xml:space="preserve">see </w:t>
      </w:r>
      <w:r>
        <w:rPr>
          <w:rFonts w:eastAsia="Times New Roman" w:asciiTheme="majorHAnsi" w:hAnsiTheme="majorHAnsi" w:cstheme="majorHAnsi"/>
          <w:i/>
          <w:lang w:eastAsia="ru-RU"/>
        </w:rPr>
        <w:t>“—Regulation – TSUPIS”)</w:t>
      </w:r>
      <w:r>
        <w:rPr>
          <w:rFonts w:eastAsia="Times New Roman" w:asciiTheme="majorHAnsi" w:hAnsiTheme="majorHAnsi" w:cstheme="majorHAnsi"/>
          <w:lang w:eastAsia="ru-RU"/>
        </w:rPr>
        <w: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Qiwi Bank also serves as the issuer of bank guarantees and loans for performance of public procurement contracts within the framework of our ROWI project.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Qiwi Bank also maintains a minor number of accounts for individuals, agents and certain related parties and issues bank guarantees to some of our merchants.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See also </w:t>
      </w:r>
      <w:r>
        <w:rPr>
          <w:rFonts w:eastAsia="Times New Roman" w:asciiTheme="majorHAnsi" w:hAnsiTheme="majorHAnsi" w:cstheme="majorHAnsi"/>
          <w:i/>
          <w:lang w:eastAsia="ru-RU"/>
        </w:rPr>
        <w:t>“—Regulation”</w:t>
      </w:r>
      <w:r>
        <w:rPr>
          <w:rFonts w:eastAsia="Times New Roman" w:asciiTheme="majorHAnsi" w:hAnsiTheme="majorHAnsi" w:cstheme="majorHAnsi"/>
          <w:lang w:eastAsia="ru-RU"/>
        </w:rPr>
        <w:t xml:space="preserve"> for a brief description of the regulatory regime applicable to Qiwi Bank.</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Our Technology Platform</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Our services are based on an advanced, microservice, proprietary high-performing technology platform. All our key technology has been developed in-house. QIWI Core Processing System is the main platform, which provides the functionality of both microprocessing and more classical card payments and transfers. By relying on our own unified application building system, QIWI Platform, most of the company's products (such as QIWI Wallet, QIWI Distribution Processing, etc.) use QIWI Core Processing System as the common platform.</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We obtained a VisaNet Processor status in July 2014, as a part of our relationship with Visa. This effectively allowed us to process Visa transactions on behalf of other Visa member banks before March 5, 2022, when Visa and Mastercard suspended membership of all their Russian members (see ITEM 5 </w:t>
      </w:r>
      <w:r>
        <w:rPr>
          <w:rFonts w:eastAsia="Times New Roman" w:asciiTheme="majorHAnsi" w:hAnsiTheme="majorHAnsi" w:cstheme="majorHAnsi"/>
          <w:i/>
          <w:iCs/>
          <w:lang w:eastAsia="ru-RU"/>
        </w:rPr>
        <w:t>“Operating and Financial Review and Prospects – “Impact of geopolitical developments in Russia and related sanctions”)</w:t>
      </w:r>
      <w:r>
        <w:rPr>
          <w:rFonts w:eastAsia="Times New Roman" w:asciiTheme="majorHAnsi" w:hAnsiTheme="majorHAnsi" w:cstheme="majorHAnsi"/>
          <w:lang w:eastAsia="ru-RU"/>
        </w:rPr>
        <w: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Our processing system also implements the functionality of accepting payments using push and pull methods, internal currency conversion, cross-border remittances, and a full set of API solutions for both customers and merchants.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Our main products are QIWI Wallet and several other applications that enable customers to pay online easily and quickly to thousands of merchants and services, using mobile, web, kiosk or other interfaces. We also operate a network of kiosks, where the principal software is our proprietary application called Maratl, which enables payment acceptance, billing and processing connectivity.</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Hardware supporting our solutions and products is located in three leased data centers in different parts of Moscow, all of them are Payment Card Industry Data Security Standard (PCI DSS) certified. We use the QIWI Private Cloud technology for the unification of our development process.</w:t>
      </w:r>
    </w:p>
    <w:p w:rsidR="009534E2" w:rsidRDefault="003369EB">
      <w:pPr>
        <w:keepNext/>
        <w:keepLines/>
        <w:spacing w:after="200"/>
        <w:rPr>
          <w:rFonts w:eastAsia="Times New Roman" w:asciiTheme="majorHAnsi" w:hAnsiTheme="majorHAnsi" w:cstheme="majorHAnsi"/>
          <w:iCs/>
        </w:rPr>
      </w:pPr>
      <w:r>
        <w:rPr>
          <w:rFonts w:eastAsia="Times New Roman" w:asciiTheme="majorHAnsi" w:hAnsiTheme="majorHAnsi" w:cstheme="majorHAnsi"/>
          <w:i/>
          <w:iCs/>
          <w:lang w:eastAsia="ru-RU"/>
        </w:rPr>
        <w:t>Technology Platform</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QIWI Private Cloud solution is a combination of hardware and core infrastructure platform for all company services that employs multiple geo distributed datacenter sites. Each of the sites is a separate platform capable of maintaining the performance of all systems independently. To ensure stable communication between the sites, a multi-triangle dedicated communication system comprised of duplicated fiber-optic communication lines has been implemented. This architecture conforms to the principle of double fault tolerance, which means that up to two communication channels can be damaged without affecting the stability of the whole system. All of our data centers are functioning in an active-active mode and are linked to QIWI Private Cloud, each of them capable of handling twice the usual traffic. We use a different cluster and Fault Tolerance technologies at each site to provide additional availability of our services. This allows us to employ a distributed storage network and maintain protection against attacks like Distributed Denial of Service attack (DDoS). Due to widespread use of open source technologies, solutions and tools, QIWI Private Cloud is a flexible, easily scalable, adaptable and efficient ecosystem.</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QIWI also has a telecom operator license in Russia (#135744) for data transmission and has a flexibility to partner directly with the leading telecom operators to obtain more favorable tariffs, manage connections and traffic routing. We have inbound and outbound connection points at each of our data center. Our office has the same connections as any other data center and together they form a multi core network so we are able to route incoming and outgoing traffic inside between four points. This secures significant flexibility and durability of our system.</w:t>
      </w:r>
    </w:p>
    <w:p w:rsidR="009534E2" w:rsidRDefault="003369EB">
      <w:pPr>
        <w:keepNext/>
        <w:spacing w:after="200"/>
        <w:rPr>
          <w:rFonts w:eastAsia="Times New Roman" w:asciiTheme="majorHAnsi" w:hAnsiTheme="majorHAnsi" w:cstheme="majorHAnsi"/>
          <w:iCs/>
        </w:rPr>
      </w:pPr>
      <w:r>
        <w:rPr>
          <w:rFonts w:eastAsia="Times New Roman" w:asciiTheme="majorHAnsi" w:hAnsiTheme="majorHAnsi" w:cstheme="majorHAnsi"/>
          <w:i/>
          <w:iCs/>
          <w:lang w:eastAsia="ru-RU"/>
        </w:rPr>
        <w:t>Architecture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QIWI is using cutting edge microservices architecture based on the containers, proprietary management system and software defined network and infrastructure. It includes more than 650 microservices, out of which over 290 have their own databases. This ecosystem has a potential to handle more than 20 independent teams continuously making changes to their respective products.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Using this kind of architecture allows us to achieve short time-to-market in IT development. We are able to handle over 50 releases every day, and this is almost an unattainable number for many banks at the moment.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addition to server-side technologies, we also deploy payment client-side technologies, including kiosk software such as Maratl - cutting edge software that employs, among other things, such technological features as code-obfuscation and strong 3-layer proprietary cryptographic network protocols. These security features enable kiosks and terminals to connect with any open communication network as the data flow is strongly protected. The kiosks are not connected to each other, thus reducing any network risks. Kiosk infrastructure including hardware, software and the network as a whole are certified with Payment Application Data Security Standard (PA DSS).</w:t>
      </w:r>
    </w:p>
    <w:p w:rsidR="009534E2" w:rsidRDefault="003369EB">
      <w:pPr>
        <w:keepNext/>
        <w:spacing w:after="200"/>
        <w:rPr>
          <w:rFonts w:eastAsia="Times New Roman" w:asciiTheme="majorHAnsi" w:hAnsiTheme="majorHAnsi" w:cstheme="majorHAnsi"/>
          <w:iCs/>
        </w:rPr>
      </w:pPr>
      <w:r>
        <w:rPr>
          <w:rFonts w:eastAsia="Times New Roman" w:asciiTheme="majorHAnsi" w:hAnsiTheme="majorHAnsi" w:cstheme="majorHAnsi"/>
          <w:i/>
          <w:iCs/>
          <w:lang w:eastAsia="ru-RU"/>
        </w:rPr>
        <w:t>Information Security</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We have a robust transaction intelligence system designed to trace and prevent suspicious transactions inside our payment network. In the vast majority of cases, fraud through QIWI Wallet is attributable to scams rather than to a security system failure. We also employ a certified 3-D secure system similar to those adopted by other major payment networks and banks. We have established a sophisticated system of security monitoring utilizing the Security Information and Event Management system (SIEM) and Security Operations Center (SOC), each of them operating and supported continuously. Our critical internal resources are protected with an advanced intrusion prevention system (IPS); all applications are protected with a web application firewall (WAF) set up in a blocking mode, ensuring that all unauthorized or ambiguous activities are prohibited. Moreover, we have an in-house forensic lab that assesses any potentially harmful events.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Designing our information systems, we are guided by the DevSecOps (a set of practices that combines software development (Dev), security practices (Sec) and IT operations (Ops)) principles to ensure the security of our infrastructure and applications at all stages of the life cycle. </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As of the date of this report, most of our employees continued to work remotely. In order to mitigate the risk of information security system breaches during remote work, we conducted additional training for our employees customized for the "work-from-home" environment. The focus of the Information Security team has shifted to endpoint protection. There was no increase in critical incidents after the transfer to remote work.</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We have our Information Security Policy which is based on the requirements of international standards and applies to all companies of the Group. We assess compliance with information security requirements using our own methodology. With the help of independent experts we assess the compliance of our infrastructure with the internal Information Security Policy. We undergo external audit of compliance with ISO/IEC 27002:2022 Information security, cybersecurity and privacy protection – Information security controls: every two years. Based on the audit results, we evaluate the effectiveness of our system of information security management.</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i/>
          <w:lang w:eastAsia="ru-RU"/>
        </w:rPr>
        <w:t>Anti-fraud system</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order to analyze all transactions in real time, we utilize a hybrid anti-fraud system based on our proprietary QIWI AF solutions.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anti-fraud system monitors and analyzes both payment transactions and additional information about non-payment transactions, such as data on users’ authorizations in applications, changes in account properties, changes in user identification data, etc. The system is incorporated into all processes within the company. We update rules daily based on our review of customer requests and the analysis of suspicious transactions and anomalies.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QIWI AF is our proprietary solution, which allows us to implement rules in a scripting language with the ability to use ML-models. The solution processes transactional data and receives additional information from external systems such as QIWI Data. The implemented two-step verification mechanism enables us to proceed with less resource-consuming verification of suspicious transactions.</w:t>
      </w:r>
    </w:p>
    <w:p w:rsidR="009534E2" w:rsidRDefault="003369EB">
      <w:pPr>
        <w:keepNext/>
        <w:spacing w:after="200"/>
        <w:rPr>
          <w:rFonts w:eastAsia="Times New Roman" w:asciiTheme="majorHAnsi" w:hAnsiTheme="majorHAnsi" w:cstheme="majorHAnsi"/>
          <w:iCs/>
        </w:rPr>
      </w:pPr>
      <w:r>
        <w:rPr>
          <w:rFonts w:eastAsia="Times New Roman" w:asciiTheme="majorHAnsi" w:hAnsiTheme="majorHAnsi" w:cstheme="majorHAnsi"/>
          <w:i/>
          <w:iCs/>
          <w:lang w:eastAsia="ru-RU"/>
        </w:rPr>
        <w:t>Development approach</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Our development approach is based on the following values: productivity, predictability, quality, and responsiveness. We organize our work as a cluster of independent cross-functional teams capable of full lifecycle value delivery. Self-organization principles that we apply provide us with the ability to quickly relocate development forces in accordance with business needs. Technical excellence and engineering practices we use result in high quality built in our products.</w:t>
      </w:r>
    </w:p>
    <w:p w:rsidR="009534E2" w:rsidRDefault="003369EB">
      <w:pPr>
        <w:keepNext/>
        <w:spacing w:after="200"/>
        <w:rPr>
          <w:rFonts w:eastAsia="Times New Roman" w:asciiTheme="majorHAnsi" w:hAnsiTheme="majorHAnsi" w:cstheme="majorHAnsi"/>
          <w:iCs/>
        </w:rPr>
      </w:pPr>
      <w:r>
        <w:rPr>
          <w:rFonts w:eastAsia="Times New Roman" w:asciiTheme="majorHAnsi" w:hAnsiTheme="majorHAnsi" w:cstheme="majorHAnsi"/>
          <w:i/>
          <w:iCs/>
          <w:lang w:eastAsia="ru-RU"/>
        </w:rPr>
        <w:t>Data analysis, AI/ML</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In 2018, QIWI completed the development of a Big Data cluster based on Hadoop that meets the requirements of PCI DSS. We have launched a new business department, QIWI Data, with the goal of building a unified corporate platform for working with data and analytics, machine learning technologies and data monetization. We plan to use these technologies in projects related to predictive analytics, cross sales, and marketing communications. A platform for machine learning was also deployed using the latest approaches, including natural language processing and graphics processing unit (GPU) computing.</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Sales and Marketing</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To promote our key products we have developed a standalone Marketing and Sales strategies for B2B and B2C streamlines.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currently operate a number of widely known brands including primarily QIWI, QIWI Business, ROWI, and Flocktory. We believe that our umbrella QIWI brand is a household name in Russia. We have launched special projects with various leading financial and IT media sources, which led to a distinct growth of QIWI brand awareness. Furthermore, in 2022, we arranged and took part in 14 conferences for the top B2B markets, including SME, e-commerce, taxi, recycling, and payouts for outstaff. We also participated in a major financial conference of the year, Finopolis, which gathers top Russian financial institutions.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are constantly improving our customer service practices and in 2022 we managed to reduce the time spent on queries through different channels leading to a higher response rate and total number of processed requests. In 2022, based on customers feedback Qiwi bank's positions on bank rating websites have significantly improved.</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 order to encourage open communication, attract new clients, exchange helpful content with existing customers and keep our users updated on changes in the financial sphere, we have relaunched our key Telegram Channel for B2B-audience, "QIWI Today" and created an online platform for B2C-users. In addition, to further promote QIWI Business we started to develop additional content oriented on SMEs helping to grow its financial literacy in such areas as legislation, tax reporting, legal studies, effective budget planning via various marketing channels: Social Media, Telegram Channels, emails. We have also provided educational content to our customers to decrease fraud instances and increase the percentage of our users who practice financial cybersafety.</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 xml:space="preserve">As a part of our marketing and advertising strategies, we regularly conduct targeted marketing campaigns and client segment research. QIWI's research focuses on the key categories of our business and the markets we operate. The research allows us to better understand our key customer groups and increase brand awareness in the media, positioning QIWI as a company that knows clients’ needs and provides user-friendly and simple financial solutions. </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We regularly carry out situational studies of business and consumer behavior in the Russian payments market. For instance, we analyze how spending changes across key payment categories in the B2B and B2C payment channels.</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Competition</w:t>
      </w:r>
    </w:p>
    <w:p w:rsidR="009534E2" w:rsidRDefault="003369EB">
      <w:pPr>
        <w:spacing w:after="200"/>
        <w:ind w:firstLine="461"/>
        <w:rPr>
          <w:rFonts w:eastAsia="Times New Roman" w:asciiTheme="majorHAnsi" w:hAnsiTheme="majorHAnsi" w:cstheme="majorHAnsi"/>
          <w:lang w:eastAsia="zh-CN" w:bidi="he-IL"/>
        </w:rPr>
      </w:pPr>
      <w:r>
        <w:rPr>
          <w:rFonts w:eastAsia="Times New Roman" w:asciiTheme="majorHAnsi" w:hAnsiTheme="majorHAnsi" w:cstheme="majorHAnsi"/>
          <w:lang w:eastAsia="zh-CN" w:bidi="he-IL"/>
        </w:rPr>
        <w:t xml:space="preserve">The most significant competitive factors in our business are speed, convenience, network size, accessibility, loyalty programs, reliability, security and safety, service level, product portfolio and price. Our competitors include retail banks, non-traditional payment services providers (such as retailers, social networks and MNOs), traditional kiosk and terminal operators and, electronic payment system operators and other companies that provide various forms of financial and payment services, including electronic payments and payment processing services. Competitors in our industry seek to differentiate themselves by features of their products and services and functionalities, including service level, onboarding process, product portfolio, accessibility, safety, reliability, price, etc. A significant number of our competitors have greater financial, marketing and human resources to pilot and roll out new products and services, operate robust networks and are highly regarded by consumers. </w:t>
      </w:r>
      <w:r>
        <w:rPr>
          <w:rFonts w:eastAsia="Times New Roman" w:asciiTheme="majorHAnsi" w:hAnsiTheme="majorHAnsi" w:cstheme="majorHAnsi"/>
          <w:iCs/>
          <w:lang w:eastAsia="zh-CN" w:bidi="he-IL"/>
        </w:rPr>
        <w:t>See Item 3D</w:t>
      </w:r>
      <w:r>
        <w:rPr>
          <w:rFonts w:eastAsia="Times New Roman" w:asciiTheme="majorHAnsi" w:hAnsiTheme="majorHAnsi" w:cstheme="majorHAnsi"/>
          <w:i/>
          <w:lang w:eastAsia="zh-CN" w:bidi="he-IL"/>
        </w:rPr>
        <w:t xml:space="preserve"> “Risk Factors – The financial services industry is highly competitive, and we have a vast number of competitors that are larger and have greater financial and other resources”.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In Russia we compete with retail banks focused on well-developed electronic payment solutions such as Sberbank, Russia’s largest bank that is majority-owned by the Russian state, which benefits from a large retail network, Alfa-Bank, one of the leading private Russian retail banks, and Tinkoff Bank, which positions itself as a specialized bank focused on innovative online retail financial services. Numerous other Russian banks are also actively pursuing the electronic payments business and developing various consumer payment solutions. In response to the Ukraine conflict several of Russia’s largest banks, including Sberbank, Alfa-Bank, VTB, and others which together account for a vast majority of Russia’s banking sector, as well as a number of lesser banks are now on the US Department of the Treasury’s Office of Foreign Assets Control’s List of Specially Designated Nationals and Blocked Persons (SDNs), such that their property in the US is blocked and US persons are prohibited from dealing with them, and are also subject to various EU and UK sanctions. On March 2, 2022, a number of major Russian banks were banned from the SWIFT system by the EU. In addition, numerous companies from the US, EU, UK and other countries have suspended, wound down or substantially scaled back their Russian operations, or announced plans to do so, for reputational reasons even where not necessitated by the sanctions regime. It has been observed that businesses from the US, EU, UK and certain other countries, are exhibiting an overall trend of avoiding any associations with Russia. On March 5, 2022, Visa and Mastercard suspended membership of all their Russian members, and Russian consumers unable to execute purchases from most foreign merchants, which is expected to have a negative, albeit limited, effect on our payment volumes due the shutdown of cross-border transactions. See "– </w:t>
      </w:r>
      <w:r>
        <w:rPr>
          <w:rFonts w:eastAsia="Times New Roman" w:asciiTheme="majorHAnsi" w:hAnsiTheme="majorHAnsi" w:cstheme="majorHAnsi"/>
          <w:i/>
          <w:iCs/>
          <w:lang w:eastAsia="ru-RU"/>
        </w:rPr>
        <w:t>A vast majority of major Western businesses, including a number of companies whose products are important to our business, have withdrawn from, suspended, wound down or substantially scaled back activities in Russia</w:t>
      </w:r>
      <w:r>
        <w:rPr>
          <w:rFonts w:eastAsia="Times New Roman" w:asciiTheme="majorHAnsi" w:hAnsiTheme="majorHAnsi" w:cstheme="majorHAnsi"/>
          <w:lang w:eastAsia="ru-RU"/>
        </w:rPr>
        <w:t>" .The above mentioned factors have a significant impact on the competitive landscape in favor of smaller payment and financial service providers such as QIWI resulting into increased payment services volumes and improved payment services net revenue yield (see Item 5A “</w:t>
      </w:r>
      <w:r>
        <w:rPr>
          <w:rFonts w:eastAsia="Times New Roman" w:asciiTheme="majorHAnsi" w:hAnsiTheme="majorHAnsi" w:cstheme="majorHAnsi"/>
          <w:i/>
          <w:iCs/>
          <w:lang w:eastAsia="ru-RU"/>
        </w:rPr>
        <w:t>Operating Measures</w:t>
      </w:r>
      <w:r>
        <w:rPr>
          <w:rFonts w:eastAsia="Times New Roman" w:asciiTheme="majorHAnsi" w:hAnsiTheme="majorHAnsi" w:cstheme="majorHAnsi"/>
          <w:lang w:eastAsia="ru-RU"/>
        </w:rPr>
        <w:t>”). Overall, the military conflict in Ukraine is continuing to unravel, and we cannot predict how it will unfold or the impact it will have on our business or results of operations in the future.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Sberbank has long adhered to the strategy of innovation in the financial and payments space and has been focusing on the promotion of alternative banking channels, such as kiosks, internet banking and mobile banking. Sberbank is the market leader of the Russian payments market, has access to significant financial resources, and possesses an extensive nationwide network of branches. It actively develops its online payment services capabilities, including through its online and mobile banking platform Sberbank Online and through YooMoney, one of the major electronic payment service providers in Russia formerly operated through a joint venture with Yandex, a leading Russian diversified technology company, which Sberbank bought out entirely in 2020. These factors give Sberbank a substantial competitive advantage over us in the payments business as well as any other financial services businesses that we pursue or may pursue. Additionally, Sberbank is pursuing a strategy to transform itself into a multi-purpose digital ecosystem offering, in addition to its core banking and payments products, a variety of diverse online services including e-commerce, entertainment, telemedicine, food delivery, online theaters, and others. The increasing domination of a major bank such as Sberbank in various online services, particularly e-commerce, may make customer acquisition and retention more complex and costly for smaller independent payment services providers such as ourselves. Although Sberbank ability to retain and attract customers was affected by the sanctions regime, for instance its application is not available on Google Play or Apple Store, the bank is looking for alternative methods to provide their services to its clients.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Alfa-Bank is a major retail bank that combines a strong competitive position in the traditional retail banking sector with a focus on developing innovative financial and payments solutions.</w:t>
      </w:r>
    </w:p>
    <w:p w:rsidR="009534E2" w:rsidRDefault="003369EB">
      <w:pPr>
        <w:spacing w:after="200"/>
        <w:ind w:firstLine="461"/>
        <w:rPr>
          <w:rFonts w:eastAsia="Times New Roman" w:asciiTheme="majorHAnsi" w:hAnsiTheme="majorHAnsi" w:cstheme="majorHAnsi"/>
          <w:lang w:eastAsia="zh-CN" w:bidi="he-IL"/>
        </w:rPr>
      </w:pPr>
      <w:r>
        <w:rPr>
          <w:rFonts w:eastAsia="Times New Roman" w:asciiTheme="majorHAnsi" w:hAnsiTheme="majorHAnsi" w:cstheme="majorHAnsi"/>
          <w:lang w:eastAsia="ru-RU"/>
        </w:rPr>
        <w:t xml:space="preserve">Tinkoff Bank is a provider of online retail financial services operating in Russia through a high-tech branchless platform. Similarly, to Sberbank, Tinkoff Bank announced in December 2019 the launch of a super-app designed to be its own marketplace and an entry point to all of the numerous lifestyle services of Tinkoff and its partners. </w:t>
      </w:r>
      <w:r>
        <w:rPr>
          <w:rFonts w:eastAsia="Times New Roman" w:asciiTheme="majorHAnsi" w:hAnsiTheme="majorHAnsi" w:cstheme="majorHAnsi"/>
          <w:lang w:eastAsia="zh-CN" w:bidi="he-IL"/>
        </w:rPr>
        <w:t>Tinkoff is also our major competitor in the self-employed servicing market, which is important to us as a key strategic growth stream. We provide different complex payment and payout solutions to diverse businesses, such as taxi companies (payments to taxi drivers) or delivery businesses (payments to couriers). These products are somewhat similar in nature to salary programs and certain other products offered by traditional retail banks, thereby exposing us to competition from all banks that offer such services for self-employed, particularly those similarly focused on convenience of on-boarding and use as well as customizable and user-friendly interfaces, such as Tinkoff and other major Russian banks with actively developing self-employed individuals and sole entrepreneurs servicing programs. For example, Tinkoff Bank has acquired Jump.Finance – the company provides automatic payout solutions to the companies, working with self-employed individuals.</w:t>
      </w:r>
    </w:p>
    <w:p w:rsidR="009534E2" w:rsidRDefault="003369EB">
      <w:pPr>
        <w:spacing w:after="200"/>
        <w:ind w:firstLine="461"/>
        <w:rPr>
          <w:rFonts w:eastAsia="Times New Roman" w:asciiTheme="majorHAnsi" w:hAnsiTheme="majorHAnsi" w:cstheme="majorHAnsi"/>
          <w:szCs w:val="24"/>
          <w:lang w:bidi="he-IL"/>
        </w:rPr>
      </w:pPr>
      <w:r>
        <w:rPr>
          <w:rFonts w:eastAsia="Times New Roman" w:asciiTheme="majorHAnsi" w:hAnsiTheme="majorHAnsi" w:cstheme="majorHAnsi"/>
          <w:lang w:eastAsia="zh-CN" w:bidi="he-IL"/>
        </w:rPr>
        <w:t>We also compete with large banks (e.g. Sberbank, Tinkoff, VTB, etc.) and several payment aggregators (e.g. Yookassa, IntellectMoney, Robokassa, CloudPayments) when providing bank acquiring services. These competitors occupy significant market share due to their quick client onboarding and low prices. QIWI outstands by being both a bank and a flexible aggregator simultaneously. This gives our merchants and clients higher stability and availability of services, as well as increases overall attractiveness of our offer with better prices, greater variety of payment methods and an individual approach to each client.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competition in the digital money transfer services space is also further intensifying as key market players including retail banks develop and digitalize their products. Recently the Central Bank of Russia in cooperation with other banks established an instant payment system ("IPS"), in which all major Russian retail banks participate, and which enables instantaneous money transfers between accounts at different banks with the only piece of identification needed for a transfer being the person’s cell phone number. It may prove difficult for our digital money remittance solutions to compete with such system on the basis of convenience, price, or otherwise, particularly since it often features zero or relatively low commissions. There can be no assurance that the commissions within the IPS will not further decrease, whether as a result of a regulatory action or a market trend. Besides banks, there are also companies, specializing in digital money transfers such as KoronaPay (Russian service), and Western Union which suspended its operations in Russia since February 2022.</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Another CBR initiative that may adversely affect our business is the proposed introduction of the "digital ruble", an official digital form ofcurrency that will exist alongside the traditional monetary system in Russia. The electronic payments businesses may be adversely affected. During 2022, the CBR together with a number of selected banks ran various tests on transactions with the use of digital ruble, including opening and replenishing digital wallets, transfers between people, including the use of mobile banking applications, and payment for goods and services. The CBR intends to start testing C2B transactions using actual digital rubles on a small set of pilot banks' clients in 2Q 2023. There are risks associated with the loss of income from remittances, as well as additional costs for the implementation and maintenance of security systems for servicing the digital ruble, even though the tariff conditions for use of the digital ruble have not yet been determined for market participants. The CBR also intends to begin work on a cross-border settlement model using the digital ruble in 1Q2023.The introduction of the digital ruble may have a significant impact on the competitive landscape in the payments industry.</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Our competitors in the payments business also include non-traditional payment service providers that engage in payment services as a non-core business. In particular, we compete with the Russian Federal State Unitary Enterprise Postal Service, or Russian Post, which offers certain payment services. Russian Post’s geographical penetration is at least as dispersed as our physical distribution network (i.e. our kiosks and terminals). </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also face competition from other non-traditional payment service providers that have substantial financial resources, such as major tech businesses branching out into fintech, including Yandex, which released a debit card with cashback for its services and a deposit available through the FinUslugi aggregator platform in 2022, Russian leading marketplace Ozon, which also developed a captive bank and introduced a debit card with discounts for the purchase of their goods, another Russian leading marketplace Wildberries which is also developed a captive bank, Alibaba with its financial services subsidiary Ant Financial (however, usage of AliPay was challenged by sanctions as there is no option to use cards, issued in Russia),VK (formerly Mail.ru Group), and MNOs, in particular the Russian “Big Three” MNOs, MegaFon, VimpelCom and MTS, as well as their closest competitor Rostelekom, all of which have developed various payment solutions. Yandex in particular is the market leader in the Russian ride-hailing business which we actively service, and accordingly we could face intense competition from them in this sector. We also note that due to the rapidly changing operating environment, customer behavior and developments with westerns sanctions against Russia as well as countersanctions, many companies are constantly reviewing their plans and strategies in many cases without further notice to other market participants.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Globally, there is a steady influx of new fintech businesses looking to challenge and disrupt the payments and financial services industry. These include so-called “challenger banks” such as Starling, Monzo, N26, Revolut, Atom and Tandem, who develop various digital banking and financial services and compete with various aspects of our services offering (to the best of our knowledge, none of the aforementioned companies has entered the Russian market as of the date hereof and the possibility of their entering the Russian market is uncertain due to the geopolitical situation). Since the development in the fintech space is rapid, new categories of non-traditional financial service providers may emerge in the future that may be difficult to currently anticipate. See </w:t>
      </w:r>
      <w:r>
        <w:rPr>
          <w:rFonts w:eastAsia="Times New Roman" w:asciiTheme="majorHAnsi" w:hAnsiTheme="majorHAnsi" w:cstheme="majorHAnsi"/>
          <w:i/>
          <w:iCs/>
          <w:lang w:eastAsia="ru-RU"/>
        </w:rPr>
        <w:t>“– If we cannot keep pace with rapid developments and change in our industry and provide new services to our clients, or if any of the new products we roll out are unsuccessful, the use of our services could decline, and we could experience a decline in revenue and an inability to recoup costs”</w:t>
      </w:r>
      <w:r>
        <w:rPr>
          <w:rFonts w:eastAsia="Times New Roman" w:asciiTheme="majorHAnsi" w:hAnsiTheme="majorHAnsi" w:cstheme="majorHAnsi"/>
          <w:lang w:eastAsia="ru-RU"/>
        </w:rPr>
        <w: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also compete against some directly comparable businesses, such as electronic payment system operators (primarily YooMoney and WebMoney and previously PayPal which suspended its operations in Russia since February 2022) and kiosk, terminal and e-wallet operators, including Comepay and Elecsnet.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CBR has announced plans to commence creation in 2022 of a regulatory framework for so-called non-banking financial services providers that, among other things, will be able to process and transfer payments and open e-wallets, and participate directly in payment systems without the need to engage an acquiring bank. This initiative is aimed at lowering the barriers to entry into the payment services market in Russia, and accordingly requirements towards such providers are expected to be lower than those towards banking institutions, such as ourselves, which could have the effect of intensifying competition in our markets and affecting a number of our revenue streams, including payment processing and acquiring services. Certain merchants that we service may opt to become non-banking financial services providers, which would obliviate their need for our services.</w:t>
      </w:r>
    </w:p>
    <w:p w:rsidR="009534E2" w:rsidRDefault="003369EB">
      <w:pPr>
        <w:spacing w:after="200"/>
        <w:ind w:firstLine="461"/>
        <w:rPr>
          <w:rFonts w:eastAsia="Times New Roman" w:asciiTheme="majorHAnsi" w:hAnsiTheme="majorHAnsi" w:cstheme="majorHAnsi"/>
          <w:lang w:eastAsia="zh-CN" w:bidi="he-IL"/>
        </w:rPr>
      </w:pPr>
      <w:r>
        <w:rPr>
          <w:rFonts w:eastAsia="Times New Roman" w:asciiTheme="majorHAnsi" w:hAnsiTheme="majorHAnsi" w:cstheme="majorHAnsi"/>
          <w:lang w:eastAsia="zh-CN" w:bidi="he-IL"/>
        </w:rPr>
        <w:t>In recent years, we have started expanding our product portfolio beyond our traditional payment services business to include other types of financial services, such as factoring, digital bank guarantees services,online loans to public procurement tender participants and factoring services for marketplaces suppliers, which we offer through our ROWI project (formerly known as Factoring PLUS, rebranded in 2021). In connection with each of these projects, we face intense competition from a multitude of commercial and retail banks. Such banking institutions often have more established businesses in the various services similar to those offered by us. While we seek to differentiate our products from the competition on the basis of enhanced user experience, price and add-on features, there cannot be any assurance that we will be successful in doing so due to the number of competitors and their level of sophistication.</w:t>
      </w:r>
    </w:p>
    <w:p w:rsidR="009534E2" w:rsidRDefault="003369EB">
      <w:pPr>
        <w:keepNext/>
        <w:spacing w:after="200"/>
        <w:rPr>
          <w:rFonts w:eastAsia="Times New Roman" w:asciiTheme="majorHAnsi" w:hAnsiTheme="majorHAnsi" w:cstheme="majorHAnsi"/>
          <w:bCs/>
        </w:rPr>
      </w:pPr>
      <w:r>
        <w:rPr>
          <w:rFonts w:eastAsia="Times New Roman" w:asciiTheme="majorHAnsi" w:hAnsiTheme="majorHAnsi" w:cstheme="majorHAnsi"/>
          <w:b/>
          <w:bCs/>
          <w:lang w:eastAsia="ru-RU"/>
        </w:rPr>
        <w:t>Intellectual Property</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Our intellectual property rights are important to our business. We rely primarily on a combination of contract provisions, copyrights, trademarks, patents and trade secrets to protect our proprietary technology and other intellectual property.</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Our in-house know-how is an important element of our intellectual property. Our key software has been either developed in-house by our employees or acquired from the third parties. Accordingly, we seek to enter into confidentiality agreements and incorporate copyright assignment clause into employment contracts with our employees and to enter into confidentiality and copyright assignment agreements with the third parties, inter alia with the external developers, and we rigorously control access to our proprietary technology. We hold copyrights for our key software applications. We have also obtained copyright registrations for some of our software in Russia and in the US.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QIWI, CONTACT money transfer system, ROWI, IntellectMoney, RealWeb, AdHands, Garpun, Centra and Devision logotypes are registered trademarks in Russia and several other countries, including the CIS countries. Rapida logotypes are also registered trademarks in Russia. However, a number of applications for registration of our brand and logotypes are still pending.</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Employees</w:t>
      </w:r>
    </w:p>
    <w:p w:rsidR="009534E2" w:rsidRDefault="003369EB">
      <w:pPr>
        <w:keepNext/>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following table sets out the average number of employees for the years ended December 31, 2020, 2021 and 2022 by function.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824"/>
        <w:gridCol w:w="160"/>
        <w:gridCol w:w="830"/>
        <w:gridCol w:w="160"/>
        <w:gridCol w:w="831"/>
        <w:gridCol w:w="160"/>
        <w:gridCol w:w="835"/>
      </w:tblGrid>
      <w:tr w:rsidR="009534E2">
        <w:trPr>
          <w:trHeight w:val="20" w:hRule="exact"/>
          <w:jc w:val="center"/>
        </w:trPr>
        <w:tc>
          <w:tcPr>
            <w:tcW w:w="3623"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8eeeb8a7_73ce_4e6d_9f77_778385fa3e3b" w:id="69"/>
            <w:bookmarkStart w:name="_b64b2de5_5bf1_463b_9683_30f8d493a45f" w:colFirst="0" w:colLast="0" w:id="70"/>
            <w:bookmarkStart w:name="_0b97b55b_0609_4e4a_a909_56e203519d8b" w:colFirst="1" w:colLast="1" w:id="71"/>
            <w:bookmarkStart w:name="_08f0004b_0787_44ca_9f6b_bbb55be0bcd2" w:colFirst="2" w:colLast="2" w:id="72"/>
            <w:bookmarkStart w:name="_d38965c7_4f45_46de_93fc_914ff90a7e47" w:colFirst="3" w:colLast="3" w:id="73"/>
            <w:bookmarkStart w:name="_d4ac7265_54b7_4888_a6f4_6691703577ff" w:colFirst="4" w:colLast="4" w:id="74"/>
            <w:bookmarkStart w:name="_df84e672_a3fe_4ad0_9dbe_a81e593ac4b6" w:colFirst="5" w:colLast="5" w:id="75"/>
            <w:bookmarkStart w:name="_46701da9_e4c8_42c5_81c2_dabd70df7ec0" w:colFirst="6" w:colLast="6" w:id="76"/>
            <w:bookmarkStart w:name="_fafce71c_1164_45f1_9c6c_e059bbcc5bb3" w:id="77"/>
            <w:bookmarkEnd w:id="69"/>
          </w:p>
        </w:tc>
        <w:tc>
          <w:tcPr>
            <w:tcW w:w="7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386"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386"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386"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3623"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73a1428c_d0c8_4030_a517_02aad98d0683" w:id="78"/>
            <w:bookmarkEnd w:id="70"/>
            <w:bookmarkEnd w:id="71"/>
            <w:bookmarkEnd w:id="72"/>
            <w:bookmarkEnd w:id="73"/>
            <w:bookmarkEnd w:id="74"/>
            <w:bookmarkEnd w:id="75"/>
            <w:bookmarkEnd w:id="76"/>
          </w:p>
        </w:tc>
        <w:tc>
          <w:tcPr>
            <w:tcW w:w="7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1304" w:type="pct"/>
            <w:gridSpan w:val="5"/>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For the year ended</w:t>
            </w:r>
          </w:p>
        </w:tc>
      </w:tr>
      <w:tr w:rsidR="009534E2">
        <w:trPr>
          <w:jc w:val="center"/>
        </w:trPr>
        <w:tc>
          <w:tcPr>
            <w:tcW w:w="3623"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3e8dc098_3391_4551_8fee_ce7ea1f73753" w:id="79"/>
            <w:bookmarkEnd w:id="78"/>
          </w:p>
        </w:tc>
        <w:tc>
          <w:tcPr>
            <w:tcW w:w="7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1304" w:type="pct"/>
            <w:gridSpan w:val="5"/>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31 December,</w:t>
            </w:r>
          </w:p>
        </w:tc>
      </w:tr>
      <w:tr w:rsidR="009534E2">
        <w:trPr>
          <w:jc w:val="center"/>
        </w:trPr>
        <w:tc>
          <w:tcPr>
            <w:tcW w:w="3623"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aa74ade8_3fd5_4ff7_86f6_85038460bb84" w:id="80"/>
            <w:bookmarkEnd w:id="79"/>
          </w:p>
        </w:tc>
        <w:tc>
          <w:tcPr>
            <w:tcW w:w="72"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386"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72"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386"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72"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386"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623"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1a82059a_22f7_4d59_824c_0bcce2c1943c" w:id="81"/>
            <w:bookmarkEnd w:id="80"/>
            <w:r>
              <w:rPr>
                <w:rFonts w:eastAsia="Times New Roman" w:asciiTheme="majorHAnsi" w:hAnsiTheme="majorHAnsi" w:cstheme="majorHAnsi"/>
                <w:b/>
                <w:color w:val="000000"/>
              </w:rPr>
              <w:t>Qiwi Group</w:t>
            </w:r>
          </w:p>
        </w:tc>
        <w:tc>
          <w:tcPr>
            <w:tcW w:w="7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86"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86"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86"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r>
      <w:tr w:rsidR="009534E2">
        <w:trPr>
          <w:jc w:val="center"/>
        </w:trPr>
        <w:tc>
          <w:tcPr>
            <w:tcW w:w="3623"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1cf1b09a_4d96_42f7_9449_cd5c05a3d034" w:id="82"/>
            <w:bookmarkEnd w:id="81"/>
            <w:r>
              <w:rPr>
                <w:rFonts w:eastAsia="Times New Roman" w:asciiTheme="majorHAnsi" w:hAnsiTheme="majorHAnsi" w:cstheme="majorHAnsi"/>
                <w:color w:val="000000"/>
              </w:rPr>
              <w:t>Front Office</w:t>
            </w:r>
          </w:p>
        </w:tc>
        <w:tc>
          <w:tcPr>
            <w:tcW w:w="7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86"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955</w:t>
            </w:r>
          </w:p>
        </w:tc>
        <w:tc>
          <w:tcPr>
            <w:tcW w:w="7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86"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435</w:t>
            </w:r>
          </w:p>
        </w:tc>
        <w:tc>
          <w:tcPr>
            <w:tcW w:w="7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86"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453</w:t>
            </w:r>
          </w:p>
        </w:tc>
      </w:tr>
      <w:tr w:rsidR="009534E2">
        <w:trPr>
          <w:jc w:val="center"/>
        </w:trPr>
        <w:tc>
          <w:tcPr>
            <w:tcW w:w="3623"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6033f13b_20df_4f22_abba_0c70fdee4b36" w:id="83"/>
            <w:bookmarkEnd w:id="82"/>
            <w:r>
              <w:rPr>
                <w:rFonts w:eastAsia="Times New Roman" w:asciiTheme="majorHAnsi" w:hAnsiTheme="majorHAnsi" w:cstheme="majorHAnsi"/>
                <w:color w:val="000000"/>
              </w:rPr>
              <w:t>Back Office</w:t>
            </w:r>
          </w:p>
        </w:tc>
        <w:tc>
          <w:tcPr>
            <w:tcW w:w="7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86"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1,213</w:t>
            </w:r>
          </w:p>
        </w:tc>
        <w:tc>
          <w:tcPr>
            <w:tcW w:w="7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86"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901</w:t>
            </w:r>
          </w:p>
        </w:tc>
        <w:tc>
          <w:tcPr>
            <w:tcW w:w="7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86"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961</w:t>
            </w:r>
          </w:p>
        </w:tc>
      </w:tr>
      <w:tr w:rsidR="009534E2">
        <w:trPr>
          <w:jc w:val="center"/>
        </w:trPr>
        <w:tc>
          <w:tcPr>
            <w:tcW w:w="3623"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5c1c1c2f_8b48_4301_8893_12caf1e7156d" w:id="84"/>
            <w:bookmarkEnd w:id="83"/>
            <w:r>
              <w:rPr>
                <w:rFonts w:eastAsia="Times New Roman" w:asciiTheme="majorHAnsi" w:hAnsiTheme="majorHAnsi" w:cstheme="majorHAnsi"/>
                <w:color w:val="000000"/>
              </w:rPr>
              <w:t>IT Personnel</w:t>
            </w:r>
          </w:p>
        </w:tc>
        <w:tc>
          <w:tcPr>
            <w:tcW w:w="7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86"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697</w:t>
            </w:r>
          </w:p>
        </w:tc>
        <w:tc>
          <w:tcPr>
            <w:tcW w:w="7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86"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567</w:t>
            </w:r>
          </w:p>
        </w:tc>
        <w:tc>
          <w:tcPr>
            <w:tcW w:w="7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86"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704</w:t>
            </w:r>
          </w:p>
        </w:tc>
      </w:tr>
      <w:tr w:rsidR="009534E2">
        <w:trPr>
          <w:jc w:val="center"/>
        </w:trPr>
        <w:tc>
          <w:tcPr>
            <w:tcW w:w="3623"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7f7bac66_ddd3_462d_8ff2_094492e06e64" w:id="85"/>
            <w:bookmarkEnd w:id="84"/>
            <w:r>
              <w:rPr>
                <w:rFonts w:eastAsia="Times New Roman" w:asciiTheme="majorHAnsi" w:hAnsiTheme="majorHAnsi" w:cstheme="majorHAnsi"/>
                <w:b/>
                <w:color w:val="000000"/>
              </w:rPr>
              <w:t>Total</w:t>
            </w:r>
          </w:p>
        </w:tc>
        <w:tc>
          <w:tcPr>
            <w:tcW w:w="7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86"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2,865</w:t>
            </w:r>
          </w:p>
        </w:tc>
        <w:tc>
          <w:tcPr>
            <w:tcW w:w="7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86"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1,904</w:t>
            </w:r>
          </w:p>
        </w:tc>
        <w:tc>
          <w:tcPr>
            <w:tcW w:w="7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86"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2,118</w:t>
            </w:r>
          </w:p>
        </w:tc>
      </w:tr>
      <w:bookmarkEnd w:id="77"/>
      <w:bookmarkEnd w:id="85"/>
    </w:tbl>
    <w:p w:rsidR="009534E2" w:rsidRDefault="009534E2">
      <w:pPr>
        <w:rPr>
          <w:rFonts w:asciiTheme="majorHAnsi" w:hAnsiTheme="majorHAnsi" w:cstheme="majorHAnsi"/>
        </w:rPr>
      </w:pP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Our management structure is currently a mix among business functions and business units. Function managers are focused on centralized functions such as finance, strategy, legal, compliance and certain other functions, while business unit managers oversee the operations of the respective business units for which they are responsible. During 2022, we had two distinct key business units in accordance with the structure of our reporting segments: Payment Services and Corporate and Other category.</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Headcount increased in 2022 by 214 employees compared to the end of 2021 due to the following factors: (i) the front office expanded 18 employees as a result of the development of ROWI; (ii) the back office staff increased by 60 employees driven by the development of ROWI (8 employees), hiring of people to back office (16 employees) to address the elevated legislative regulation, and growth of staff in the payment segment due to the acquisition of Taxiaggregator, IntellectMoney, and the development of current business streams (36 employees); and (iii) increase of IT personnel by 137 people to allocate resources for maintenance of superior service level of existing product portfolio as well as enrich customer proposition with new solutions and services.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Headcount decreased in 2021 by 961 employees compared to the end of 2020 due to the following factors: (i) the sale of SOVEST project (403 employees); (ii) wind-down of Rocketbank (501 employees); and (iii) employee turnover in Payment Services driven by intense market competition for staff among peers. At the same time, we note hiring of 60 employees related to development of our ROWI project.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continue to maintain a workforce in Russia and this has not been affected by the recent geopolitical events. The company neither has plans to liquidate its Russian operations nor expects to terminate the employment of its employees located in Russia, and therefore we do not see a material risk arising from the сompany’s obligations under Russian labor law.</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We operate in a dynamic and competitive market, and our employee value proposition is crucial for the success of the company. A combination of agile principles of work, flat organizational structure, green and modern office, remote working availability, career opportunities, competitive compensation, robust incentive schemes, high quality healthcare coverage, in-house and external education and many more helps us keep our employees motivated and allows QIWI to be the employer of choice for new talents. Most of our employees continue to work remotely since the COVID-19 pandemic. As a fin-tech representative and a pioneer in practices to keep our employees motivated, in general we are not concerned with geographic location of our employees or when entering into new employment agreements. There is also no specific requirement that our employees need to be Russians or located in Russia aside from limited number of cases when employees have to support some of our operations from Russia. As a result, we continue our employment contracts with employees regardless of their geographical location.</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believe that QIWI has managed to create a unique corporate culture where people are united by common values, customer centricity, result orientation and high level of professionalism. We promote equality, fair treatment, zero tolerance to any kind of discrimination and pay serious attention to the personal development of our personnel.</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Regulation</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We are subject to a number of laws and regulations in Russia and other jurisdictions that regulate payment and financial services, anti-money laundering, data protection and information security. Qiwi Bank is also a subject to numerous laws and regulations governing banking activities and money remittances in Russia. See Item 3D “</w:t>
      </w:r>
      <w:r>
        <w:rPr>
          <w:rFonts w:eastAsia="Times New Roman" w:asciiTheme="majorHAnsi" w:hAnsiTheme="majorHAnsi" w:cstheme="majorHAnsi"/>
          <w:i/>
          <w:iCs/>
          <w:lang w:eastAsia="ru-RU"/>
        </w:rPr>
        <w:t>Risk Factors – Qiwi Bank operates in a highly regulated environment and increased regulatory scrutiny could have an adverse effect on our business</w:t>
      </w:r>
      <w:r>
        <w:rPr>
          <w:rFonts w:eastAsia="Times New Roman" w:asciiTheme="majorHAnsi" w:hAnsiTheme="majorHAnsi" w:cstheme="majorHAnsi"/>
          <w:lang w:eastAsia="ru-RU"/>
        </w:rPr>
        <w:t xml:space="preserve">”, and </w:t>
      </w:r>
      <w:r>
        <w:rPr>
          <w:rFonts w:eastAsia="Times New Roman" w:asciiTheme="majorHAnsi" w:hAnsiTheme="majorHAnsi" w:cstheme="majorHAnsi"/>
          <w:i/>
          <w:iCs/>
          <w:lang w:eastAsia="ru-RU"/>
        </w:rPr>
        <w:t>“We are subject to extensive government regulation”</w:t>
      </w:r>
      <w:r>
        <w:rPr>
          <w:rFonts w:eastAsia="Times New Roman" w:asciiTheme="majorHAnsi" w:hAnsiTheme="majorHAnsi" w:cstheme="majorHAnsi"/>
          <w:lang w:eastAsia="ru-RU"/>
        </w:rPr>
        <w:t>).</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i/>
          <w:iCs/>
          <w:lang w:eastAsia="ru-RU"/>
        </w:rPr>
        <w:t>Regulation of Payment Services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A legislative framework for the payment services industry is not yet fully developed in Russia, and, moreover, is not universal, and various business models that payment services providers pursue are regulated differently.</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Our virtual wallet operations are legally considered as cashless transfers with the use of bank cards. When a QIWI Wallet account is opened, the accountholder is issued a virtual prepaid card. While the accountholder agrees to the issuance of the card through accepting a public offer, he or she is not explicitly provided with details of the card. From a consumer’s perspective, the amount of the reload is simply transferred to an account of a digital wallet, whereas it becomes stored value of a virtual prepaid card. Prepaid cards are regulated as "electronic means of payment" under the Federal Law of the Russian Federation No. 161 “On the National Payment System”, dated June 27, 2011, as amended, hereinafter “Payment System Law”.</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Payment System Law classifies electronic means of payment into personalized and non-personalized, depending on whether they allow for identification of the payer for the purposes of the Federal Law of the Russian Federation No. 115 “On Combating the Legalization (Laundering) of Criminally Obtained Income and Funding of Terrorism”, dated August 7, 2001, as amended, or the “Anti-Money Laundering Law”. In case the payer has passed identification, such electronic means of payment is considered as personalized. In case there is no identification or payer passed only simplified identification procedure, it is considered as non-personalized.</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Any electronic money transfers are subject to thresholds on remaining electronic money balances, which amount to RUB 600,000 for means of payment the holder of which has undergone customer identification and RUB 15,000 for means of payment used without identification (or RUB 60,000 if the holder underwent a simplified identification procedure). The total monthly turnover for each means of payment without identification cannot exceed RUB 40,000 (or RUB 200,000 if the holder is non-personalized but underwent a simplified identification procedure). There are no limitations on the total monthly turnover for identified consumers (see “- </w:t>
      </w:r>
      <w:r>
        <w:rPr>
          <w:rFonts w:eastAsia="Times New Roman" w:asciiTheme="majorHAnsi" w:hAnsiTheme="majorHAnsi" w:cstheme="majorHAnsi"/>
          <w:i/>
          <w:iCs/>
          <w:lang w:eastAsia="ru-RU"/>
        </w:rPr>
        <w:t>The Anti-Money Laundering Law</w:t>
      </w:r>
      <w:r>
        <w:rPr>
          <w:rFonts w:eastAsia="Times New Roman" w:asciiTheme="majorHAnsi" w:hAnsiTheme="majorHAnsi" w:cstheme="majorHAnsi"/>
          <w:lang w:eastAsia="ru-RU"/>
        </w:rPr>
        <w:t>”). The consumers are not able to withdraw cash from their prepaid cards without identification (excluding those which underwent a simplified identification procedure). Furthermore, since August 2020 electronic means of payment without identification cannot be replenished by cash.</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Moreover, the reporting requirements over electronic means of payment has tightened significantly. Starting from April 2020 we are required to inform the tax authorities on opening, closing or changing details of the personalized electronic means of payment (including those which are non-personalized but underwent a simplified identification procedure). Credit institutions (and Qiwi Bank respectively) started to transfer the information since January 2021, when the reporting formats were implemented.</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implemented procedure is similar to one to which bank accounts are subject. Since April 2021 we are required to report the cash flows and balances of the personalized electronic means of payment (including those which are non-personalized but underwent a simplified identification procedure) upon the request of the tax authorities.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 2021 QIWI Wallet was connected to the Instant Payments System (or IPS), a service commissioned by the CBR that enables instantaneous money transfers between accounts at different banks (and digital wallets) with the only identifier needed for a transfer being the person’s cell phone number. It was launched and has been in commercial use since January 2019. The CBR continues to develop IPS as a mandatory service for all banks. Mobile application "SBPay" for paying for goods and services in retail stores and on the Internet using all payment methods supported by the IPS became mandatory in 2022. In some cases, these services might compete with our existing or new products. Moreover, the CBR limits the commissions that banks can charge from clients using IPS. This creates additional costs for QIWI due to increased competition and technical implementation of new services.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According to the Bank of Russia Law, the CBR is also the agency commissioned with supervision of compliance with the provisions of the Payment System Law. As such, it is entitled to suspend the activities of supervised entities in the event of violations and impose administrative liability on the offenders.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As part of operating our agent model, Qiwi Bank has contracts with the bank payment agents, whose principal function is to accept cash for the purpose of QIWI Wallet uploads through kiosks, terminals and other physical points of service. In accordance with the Payment System Law, bank payment agents have the right to engage bank payment subagents and Qiwi Bank is responsible for the supervision of compliance of such bank payment agents and subagents with the provisions of the corresponding Russian legislation, in particular their compliance with the regulation of payment services, anti-money laundering, data protection, and use of cash registers legislation. The credit institutions shall also file with the CBR various statistical data and information about the bank payment agents on a quarterly basis. In accordance with the Payment System Law, JSC QIWI, Billing Online Solutions LLC and IntellectMoney are deemed to be a bank payment agent acting as a payment aggregator and designated as such in a relevant public register.</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JSC QIWI, as operator of our kiosk network, is deemed to be a payment agent in accordance with the Federal Law of the Russian Federation No. 103 “On Collection of Payments from Individuals by the Payment Agents”, dated June 3, 2009, as amended, or the Payment Agents Law. The “Payment Agents Law” is inapplicable to cashless payments and thus does not regulate our QIWI Wallet business.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Payment Agents Law requires payment agents to comply with the Anti-Money Laundering Law.</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payment agent’s obligation to transmit the funds to the merchant is required to be either insured or secured by means of a pledge, guarantee, or otherwise. The amount of such insurance or security is not statutorily fixed, and there are no other guidelines regarding this requirement.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Payment Agents Law provides that payment agents are entitled to levy fees from the merchants’ customers for each transaction processed by them. These fees are not statutorily capped, although proposals to cap them are from time to time considered by the Russian legislature.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This law also requires both the payment agent and the merchant serviced by them to maintain segregated bank accounts for the purpose of depositing funds received from the customers and from the payment agent, respectively. All funds received by a payment agent need to be deposited into such specialized accounts.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Although currently, in respect of monitoring the activities of the payment agents, the CBR authority is limited to collection, systematization and analysis of industry data, the CBR activities may have indirect impact on payment agents. For instance, in April 2015 the CBR issued recommendations to credit institutions to enhance their scrutiny over compliance by the payment agents with legislation that requires them to remit their proceeds to special accounts, which resulted in a decline in the number of kiosks in the market as well as our active kiosks. The CBR also actively urges to delegate to it the authorities over regulating the activities of the payment agents and the payment subagents. In the end of 2021 a draft of Federal Law was submitted to the State Duma which provides for mandatory self-regulation of payment agents, and also places payment agents under the supervision of the CBR.</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 xml:space="preserve">In September 2021, the СBR introduced heightened scrutiny recommendations with respect to peer-to-peer transactions with a view to eradicate such transactions which de-facto represent payments for various illicit or improper services. These recommendations require financial institutions such as ourselves to track transactions that are deemed suspicious under the various criteria imposed by the recommendations, cancel such suspicious transactions under certain circumstances and terminate relationships with the relevant clients carrying out such transactions. Starting from 2022, CBR has also started collecting from credit institutions specialized reports focused specifically on their peer-to-peer transactions. </w:t>
      </w:r>
      <w:r>
        <w:rPr>
          <w:rFonts w:eastAsia="Times New Roman" w:asciiTheme="majorHAnsi" w:hAnsiTheme="majorHAnsi" w:cstheme="majorHAnsi"/>
          <w:color w:val="000000"/>
          <w:lang w:eastAsia="ru-RU"/>
        </w:rPr>
        <w:t xml:space="preserve">See </w:t>
      </w:r>
      <w:r>
        <w:rPr>
          <w:rFonts w:eastAsia="Times New Roman" w:asciiTheme="majorHAnsi" w:hAnsiTheme="majorHAnsi" w:cstheme="majorHAnsi"/>
          <w:lang w:eastAsia="ru-RU"/>
        </w:rPr>
        <w:t>Item 3D “</w:t>
      </w:r>
      <w:r>
        <w:rPr>
          <w:rFonts w:eastAsia="Times New Roman" w:asciiTheme="majorHAnsi" w:hAnsiTheme="majorHAnsi" w:cstheme="majorHAnsi"/>
          <w:i/>
          <w:iCs/>
          <w:lang w:eastAsia="ru-RU"/>
        </w:rPr>
        <w:t>Risk Factors –</w:t>
      </w:r>
      <w:r>
        <w:rPr>
          <w:rFonts w:eastAsia="Times New Roman" w:asciiTheme="majorHAnsi" w:hAnsiTheme="majorHAnsi" w:cstheme="majorHAnsi"/>
          <w:lang w:eastAsia="ru-RU"/>
        </w:rPr>
        <w:t xml:space="preserve"> </w:t>
      </w:r>
      <w:r>
        <w:rPr>
          <w:rFonts w:eastAsia="Times New Roman" w:asciiTheme="majorHAnsi" w:hAnsiTheme="majorHAnsi" w:cstheme="majorHAnsi"/>
          <w:i/>
          <w:lang w:eastAsia="ru-RU"/>
        </w:rPr>
        <w:t>Our services have been and may continue to be used for fraudulent, illegal or improper purposes, which could expose us to additional liability and harm our business</w:t>
      </w:r>
      <w:r>
        <w:rPr>
          <w:rFonts w:eastAsia="Times New Roman" w:asciiTheme="majorHAnsi" w:hAnsiTheme="majorHAnsi" w:cstheme="majorHAnsi"/>
          <w:lang w:eastAsia="ru-RU"/>
        </w:rPr>
        <w:t>”).</w:t>
      </w:r>
    </w:p>
    <w:p w:rsidR="009534E2" w:rsidRDefault="003369EB">
      <w:pPr>
        <w:keepNext/>
        <w:spacing w:after="200"/>
        <w:ind w:firstLine="461"/>
        <w:rPr>
          <w:rFonts w:eastAsia="Times New Roman" w:asciiTheme="majorHAnsi" w:hAnsiTheme="majorHAnsi" w:cstheme="majorHAnsi"/>
          <w:b/>
          <w:i/>
          <w:lang w:eastAsia="ru-RU"/>
        </w:rPr>
      </w:pPr>
      <w:r>
        <w:rPr>
          <w:rFonts w:eastAsia="Times New Roman" w:asciiTheme="majorHAnsi" w:hAnsiTheme="majorHAnsi" w:cstheme="majorHAnsi"/>
          <w:b/>
          <w:i/>
          <w:lang w:eastAsia="ru-RU"/>
        </w:rPr>
        <w:t>Payment Systems Regulation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2015, we acquired the CONTACT money transfer system. CONTACT was established in 1999 and for legal purposes is set up and regulated as a payment system. It provides funds transfer services without opening a bank account to individuals and legal entities in Russia, CIS and other countries. In accordance with the decision of the CBR, the CONTACT money transfer system has the status of a nationally significant payment system.</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Pursuant to the Payment System Law, a payment system is a group of organizations, including the payment system operator, payment infrastructure service providers (including operational, payment clearing and settlement centers) and payment system participants (which in most cases are credit institutions), which cooperate in order to transfer funds under the payment system regulations.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payment system operator has a key role in a payment system. Since April 27, 2017, Qiwi Bank has been the operator of CONTACT money transfer system and its operational, payment clearing and settlement center.</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payment system operator determines the payment system regulations which the payment system participants adhere to. The CONTACT money transfer system regulations are in compliance with the current Russian legislation. The CBR is the agency that supervises and oversees payment systems.</w:t>
      </w:r>
    </w:p>
    <w:p w:rsidR="009534E2" w:rsidRDefault="003369EB">
      <w:pPr>
        <w:keepNext/>
        <w:spacing w:after="200"/>
        <w:ind w:firstLine="461"/>
        <w:rPr>
          <w:rFonts w:eastAsia="MS Mincho" w:asciiTheme="majorHAnsi" w:hAnsiTheme="majorHAnsi" w:cstheme="majorHAnsi"/>
          <w:lang w:eastAsia="ja-JP"/>
        </w:rPr>
      </w:pPr>
      <w:r>
        <w:rPr>
          <w:rFonts w:eastAsia="MS Mincho" w:asciiTheme="majorHAnsi" w:hAnsiTheme="majorHAnsi" w:cstheme="majorHAnsi"/>
          <w:b/>
          <w:i/>
          <w:lang w:eastAsia="ja-JP"/>
        </w:rPr>
        <w:t>TSUPIS Regulation</w:t>
      </w:r>
    </w:p>
    <w:p w:rsidR="009534E2" w:rsidRDefault="003369EB">
      <w:pPr>
        <w:tabs>
          <w:tab w:val="left" w:pos="2079"/>
        </w:tabs>
        <w:spacing w:after="200"/>
        <w:ind w:firstLine="461"/>
        <w:rPr>
          <w:rFonts w:eastAsia="MS Mincho" w:asciiTheme="majorHAnsi" w:hAnsiTheme="majorHAnsi" w:cstheme="majorHAnsi"/>
        </w:rPr>
      </w:pPr>
      <w:r>
        <w:rPr>
          <w:rFonts w:eastAsia="MS Mincho" w:asciiTheme="majorHAnsi" w:hAnsiTheme="majorHAnsi" w:cstheme="majorHAnsi"/>
          <w:iCs/>
          <w:color w:val="333333"/>
          <w:lang w:eastAsia="ja-JP"/>
        </w:rPr>
        <w:t xml:space="preserve">As a part of our business, we served merchants that provide betting services until October 2021. The regulatory framework with respect to betting in the Russian Federation was set by the </w:t>
      </w:r>
      <w:r>
        <w:rPr>
          <w:rFonts w:eastAsia="MS Mincho" w:asciiTheme="majorHAnsi" w:hAnsiTheme="majorHAnsi" w:cstheme="majorHAnsi"/>
          <w:lang w:eastAsia="ja-JP"/>
        </w:rPr>
        <w:t>Federal Law of the Russian Federation No. 244 “On State Regulation of Organization and Conducting Games of Chance and on Introducing Changes to Some Legislative Acts of the Russian Federation”, dated December 29, 2006, as amended, or the “Betting Law”.</w:t>
      </w:r>
    </w:p>
    <w:p w:rsidR="009534E2" w:rsidRDefault="003369EB">
      <w:pPr>
        <w:tabs>
          <w:tab w:val="left" w:pos="2079"/>
        </w:tabs>
        <w:spacing w:after="200"/>
        <w:ind w:firstLine="461"/>
        <w:rPr>
          <w:rFonts w:eastAsia="MS Mincho" w:asciiTheme="majorHAnsi" w:hAnsiTheme="majorHAnsi" w:cstheme="majorHAnsi"/>
          <w:lang w:eastAsia="ja-JP"/>
        </w:rPr>
      </w:pPr>
      <w:r>
        <w:rPr>
          <w:rFonts w:eastAsia="MS Mincho" w:asciiTheme="majorHAnsi" w:hAnsiTheme="majorHAnsi" w:cstheme="majorHAnsi"/>
          <w:lang w:eastAsia="ja-JP"/>
        </w:rPr>
        <w:t>Prior to October 2021, legislation then in force required bookmakers to become members of one of the self-regulated organizations of bookmakers and abide by its rules, and to accept interactive bets solely through an Interactive Bets Accounting Center (TSUPIS) set up by a credit organization in cooperation with a self-regulated association of bookmakers. The core functions of a TSUPIS were as follows: (i) to accept interactive bets in favor of the members of the self-regulated organization; (ii) to pay winnings to the bettors; (iii) to identify bettors in a manner allowing to ascertain their age; (iv) to record and provide to the members the information on the bettors and accepted interactive bets.</w:t>
      </w:r>
    </w:p>
    <w:p w:rsidR="009534E2" w:rsidRDefault="003369EB">
      <w:pPr>
        <w:spacing w:after="200"/>
        <w:ind w:firstLine="461"/>
        <w:rPr>
          <w:rFonts w:eastAsia="MS Mincho" w:asciiTheme="majorHAnsi" w:hAnsiTheme="majorHAnsi" w:cstheme="majorHAnsi"/>
          <w:lang w:eastAsia="ja-JP"/>
        </w:rPr>
      </w:pPr>
      <w:r>
        <w:rPr>
          <w:rFonts w:eastAsia="MS Mincho" w:asciiTheme="majorHAnsi" w:hAnsiTheme="majorHAnsi" w:cstheme="majorHAnsi"/>
          <w:lang w:eastAsia="ja-JP"/>
        </w:rPr>
        <w:t>In order to enable our participation in betting industry, in 2016 Qiwi Bank established a TSUPIS together with self-regulated association “Association of Bookmakers”, and we thereby became one of the two interactive bets accounting centers that were able to accept electronic bets on behalf of sports betting companies in Russia.</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color w:val="000000"/>
          <w:lang w:eastAsia="ru-RU"/>
        </w:rPr>
        <w:t>In December 2020 in order to enhance efficiency and transparency of control over the betting industry and funding of sport in Russia, the Federal Law of the Russian Federation No. 493 “On the public non-commercial company “the Unified Gambling Regulator” and on amendments to certain legislative acts of the Russian Federation”, dated December 30, 2020, was adopted. It mandates the creation of the Unified Gambling Regulator and the Unified Bets Accounting Center.</w:t>
      </w:r>
    </w:p>
    <w:p w:rsidR="009534E2" w:rsidRDefault="003369EB">
      <w:pPr>
        <w:spacing w:after="200"/>
        <w:ind w:firstLine="461"/>
        <w:rPr>
          <w:rFonts w:eastAsia="Times New Roman" w:asciiTheme="majorHAnsi" w:hAnsiTheme="majorHAnsi" w:cstheme="majorHAnsi"/>
          <w:color w:val="000000"/>
          <w:lang w:eastAsia="ru-RU"/>
        </w:rPr>
      </w:pPr>
      <w:r>
        <w:rPr>
          <w:rFonts w:eastAsia="Times New Roman" w:asciiTheme="majorHAnsi" w:hAnsiTheme="majorHAnsi" w:cstheme="majorHAnsi"/>
          <w:color w:val="000000"/>
          <w:lang w:eastAsia="ru-RU"/>
        </w:rPr>
        <w:t>The Unified Gambling Regulator has the status of a public non-commercial company in accordance with the Federal Law of the Russian Federation No. 236 “On public non-commercial companies and on amendments to certain legislative acts of the Russian Federation”, dated July 03, 2016, as amended. The Unified Gambling Regulator administers the contributions for the professional and youth and children sport that a bookmaker shall make from each bet, as well as monitors and detects illegal gambling activities in the Internet and report to the tax authorities in this regard.</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color w:val="000000"/>
          <w:lang w:eastAsia="ru-RU"/>
        </w:rPr>
        <w:t xml:space="preserve">Qiwi Bank made a proposal to serve as the Unified Bets Accounting Center, but our bid turned out unsuccessful. The Unified Bets Accounting Center was assigned to another market participant by the President of the Russian Federation upon proposal of the Government of the Russian Federation and thus replaced existing Interactive Bets Accounting Centers starting from October 2021. </w:t>
      </w:r>
      <w:r>
        <w:rPr>
          <w:rFonts w:eastAsia="Times New Roman" w:asciiTheme="majorHAnsi" w:hAnsiTheme="majorHAnsi" w:cstheme="majorHAnsi"/>
          <w:i/>
          <w:color w:val="000000"/>
          <w:lang w:eastAsia="ru-RU"/>
        </w:rPr>
        <w:t xml:space="preserve">See Item 3D “Risk Factors – </w:t>
      </w:r>
      <w:r>
        <w:rPr>
          <w:rFonts w:eastAsia="Times New Roman" w:asciiTheme="majorHAnsi" w:hAnsiTheme="majorHAnsi" w:cstheme="majorHAnsi"/>
          <w:i/>
          <w:lang w:eastAsia="ru-RU"/>
        </w:rPr>
        <w:t>Throughout the recent years, we have been deriving a substantial portion of our revenues from merchants in the betting industry, but we have recently experienced a loss of a significant portion of such revenue stream due to changes in regulation and market conditions, the negative repercussions of which on our business and financial results may continue to build up</w:t>
      </w:r>
      <w:r>
        <w:rPr>
          <w:rFonts w:eastAsia="Times New Roman" w:asciiTheme="majorHAnsi" w:hAnsiTheme="majorHAnsi" w:cstheme="majorHAnsi"/>
          <w:i/>
          <w:color w:val="000000"/>
          <w:lang w:eastAsia="ru-RU"/>
        </w:rPr>
        <w:t>”.</w:t>
      </w:r>
    </w:p>
    <w:p w:rsidR="009534E2" w:rsidRDefault="003369EB">
      <w:pPr>
        <w:spacing w:after="200"/>
        <w:ind w:firstLine="461"/>
        <w:rPr>
          <w:rFonts w:eastAsia="Times New Roman" w:asciiTheme="majorHAnsi" w:hAnsiTheme="majorHAnsi" w:cstheme="majorHAnsi"/>
          <w:color w:val="000000"/>
          <w:lang w:eastAsia="ru-RU"/>
        </w:rPr>
      </w:pPr>
      <w:r>
        <w:rPr>
          <w:rFonts w:eastAsia="Times New Roman" w:asciiTheme="majorHAnsi" w:hAnsiTheme="majorHAnsi" w:cstheme="majorHAnsi"/>
          <w:color w:val="000000"/>
          <w:lang w:eastAsia="ru-RU"/>
        </w:rPr>
        <w:t>The distinctive function of the Unified Bets Accounting Center is to withhold relevant contributions from the bookmakers. At the same time the Unified Bets Accounting Center started to perform the functions that were common for TSUPIS.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color w:val="000000"/>
          <w:lang w:eastAsia="ru-RU"/>
        </w:rPr>
        <w:t xml:space="preserve">QIWI </w:t>
      </w:r>
      <w:r>
        <w:rPr>
          <w:rFonts w:eastAsia="Times New Roman" w:asciiTheme="majorHAnsi" w:hAnsiTheme="majorHAnsi" w:cstheme="majorHAnsi"/>
          <w:lang w:eastAsia="ru-RU"/>
        </w:rPr>
        <w:t xml:space="preserve">Wallet </w:t>
      </w:r>
      <w:r>
        <w:rPr>
          <w:rFonts w:eastAsia="Times New Roman" w:asciiTheme="majorHAnsi" w:hAnsiTheme="majorHAnsi" w:cstheme="majorHAnsi"/>
          <w:color w:val="000000"/>
          <w:lang w:eastAsia="ru-RU"/>
        </w:rPr>
        <w:t>still remains a payment method for making bets and receiving winning payouts and we expect these types of betting revenues to be retained.</w:t>
      </w:r>
    </w:p>
    <w:p w:rsidR="009534E2" w:rsidRDefault="003369EB">
      <w:pPr>
        <w:keepNext/>
        <w:spacing w:after="200"/>
        <w:ind w:firstLine="461"/>
        <w:rPr>
          <w:rFonts w:eastAsia="Times New Roman" w:asciiTheme="majorHAnsi" w:hAnsiTheme="majorHAnsi" w:cstheme="majorHAnsi"/>
        </w:rPr>
      </w:pPr>
      <w:r>
        <w:rPr>
          <w:rFonts w:eastAsia="Times New Roman" w:asciiTheme="majorHAnsi" w:hAnsiTheme="majorHAnsi" w:cstheme="majorHAnsi"/>
          <w:b/>
          <w:i/>
          <w:lang w:eastAsia="ru-RU"/>
        </w:rPr>
        <w:t>Banking Regulation</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Qiwi Bank is a “credit institution” and is accordingly subject to the Federal Law of the Russian Federation No. 395-1 “On Banks and Banking Activity”, dated December 2, 1990, as amended, hereinafter “Banking Law”, which is the main law regulating the Russian banking sector. Among other things, it defines credit institutions, sets forth the list of banking operations and other transactions that credit institutions may engage in, and establishes the framework for the registration and licensing of credit institutions as well as the regulation of banking activity by the CBR.</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Banking Law provides for a list of so-called “banking operations” that cannot be conducted without an appropriate license from the CBR, including, among others, accepting deposits, opening and maintaining bank accounts, performing money transfers from and to bank accounts of clients, and performing money (including electronic money) transfers without opening a bank account (other than postal transfers), etc. Qiwi Bank mainly performs money transfers without opening a bank account, issues bank guarantees and loans and also is entitled to accept deposits from individuals and legal entities, invest the funds received in the form of deposits, maintain accounts for individuals and legal entities and perform settlements through their bank accounts, perform teller and cash collection services, sell and purchase currency.</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accordance with the Banking Law, Russian banks are divided into two categories: banks with a basic license and banks with a universal license. The key differences are the range of permitted banking operations, the requirements to net worth (capital), prudential ratios the banks should comply with, the information to be disclosed and the ability to have subsidiaries abroad. Pursuant to this classification, Qiwi Bank holds a universal license.</w:t>
      </w:r>
    </w:p>
    <w:p w:rsidR="009534E2" w:rsidRDefault="003369EB">
      <w:pPr>
        <w:keepNext/>
        <w:keepLines/>
        <w:spacing w:after="200"/>
        <w:ind w:firstLine="461"/>
        <w:rPr>
          <w:rFonts w:eastAsia="Times New Roman" w:asciiTheme="majorHAnsi" w:hAnsiTheme="majorHAnsi" w:cstheme="majorHAnsi"/>
        </w:rPr>
      </w:pPr>
      <w:r>
        <w:rPr>
          <w:rFonts w:eastAsia="Times New Roman" w:asciiTheme="majorHAnsi" w:hAnsiTheme="majorHAnsi" w:cstheme="majorHAnsi"/>
          <w:i/>
          <w:iCs/>
          <w:lang w:eastAsia="ru-RU"/>
        </w:rPr>
        <w:t>Capital and Reserve Requirements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 xml:space="preserve">The Banking Law </w:t>
      </w:r>
      <w:r>
        <w:rPr>
          <w:rFonts w:eastAsia="Times New Roman" w:asciiTheme="majorHAnsi" w:hAnsiTheme="majorHAnsi" w:cstheme="majorHAnsi"/>
          <w:lang w:eastAsia="ja-JP"/>
        </w:rPr>
        <w:t xml:space="preserve">and legislative acts promulgated thereunder </w:t>
      </w:r>
      <w:r>
        <w:rPr>
          <w:rFonts w:eastAsia="Times New Roman" w:asciiTheme="majorHAnsi" w:hAnsiTheme="majorHAnsi" w:cstheme="majorHAnsi"/>
          <w:lang w:eastAsia="ru-RU"/>
        </w:rPr>
        <w:t>establish minimum charter capital, capital base and various reserve requirements for credit institutions, which Qiwi Bank is in compliance with. The reserve requirements of the CBR negatively impact Qiwi Bank’s ability to distribute its profit to the shareholders in the form of dividends.</w:t>
      </w:r>
    </w:p>
    <w:p w:rsidR="009534E2" w:rsidRDefault="003369EB">
      <w:pPr>
        <w:keepNext/>
        <w:spacing w:after="200"/>
        <w:ind w:firstLine="461"/>
        <w:rPr>
          <w:rFonts w:eastAsia="Times New Roman" w:asciiTheme="majorHAnsi" w:hAnsiTheme="majorHAnsi" w:cstheme="majorHAnsi"/>
          <w:iCs/>
        </w:rPr>
      </w:pPr>
      <w:r>
        <w:rPr>
          <w:rFonts w:eastAsia="Times New Roman" w:asciiTheme="majorHAnsi" w:hAnsiTheme="majorHAnsi" w:cstheme="majorHAnsi"/>
          <w:i/>
          <w:iCs/>
          <w:lang w:eastAsia="ru-RU"/>
        </w:rPr>
        <w:t>Loss Provisions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Credit institutions are required to adopt procedures for calculating and posting provisions for loan losses and for possible losses other than loan losses, which may include losses from investments in securities, funds held in correspondent accounts at other banks, contingent liabilities and other transactions.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Qiwi Bank maintains certain provisions for losses from loans, default by counterparties, impairment of assets and liability increases, and is in compliance with applicable legislation.</w:t>
      </w:r>
    </w:p>
    <w:p w:rsidR="009534E2" w:rsidRDefault="003369EB">
      <w:pPr>
        <w:keepNext/>
        <w:spacing w:after="200"/>
        <w:ind w:firstLine="461"/>
        <w:rPr>
          <w:rFonts w:eastAsia="Times New Roman" w:asciiTheme="majorHAnsi" w:hAnsiTheme="majorHAnsi" w:cstheme="majorHAnsi"/>
          <w:iCs/>
        </w:rPr>
      </w:pPr>
      <w:r>
        <w:rPr>
          <w:rFonts w:eastAsia="Times New Roman" w:asciiTheme="majorHAnsi" w:hAnsiTheme="majorHAnsi" w:cstheme="majorHAnsi"/>
          <w:i/>
          <w:iCs/>
          <w:lang w:eastAsia="ru-RU"/>
        </w:rPr>
        <w:t>Prudential Ratios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CBR establishes and periodically amends mandatory prudential ratios for banks. Key mandatory economic ratios that banks must observe on a daily basis and periodically report to the CBR include capital adequacy ratio, instant liquidity ratio, current liquidity ratio, long-term liquidity ratio, maximum exposure to a single borrower or a group of affiliated borrowers, maximum exposure to major credit risks, maximum amount of loans, bank guarantees and sureties extended by the bank to its participants (shareholders), aggregate amount of exposure to the bank’s insiders, and ratio for the use of the bank’s capital base to acquire shares (participation interests) in other legal entities. Failure to comply with the prudential ratios may lead to negative consequences for the bank, including revocation of its banking license.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As of December 31, 2022, prudential ratios of Qiwi Bank were in excess of the minimum thresholds imposed by the CBR.</w:t>
      </w:r>
    </w:p>
    <w:p w:rsidR="009534E2" w:rsidRDefault="003369EB">
      <w:pPr>
        <w:keepNext/>
        <w:spacing w:after="200"/>
        <w:ind w:firstLine="461"/>
        <w:rPr>
          <w:rFonts w:eastAsia="Times New Roman" w:asciiTheme="majorHAnsi" w:hAnsiTheme="majorHAnsi" w:cstheme="majorHAnsi"/>
          <w:sz w:val="24"/>
          <w:szCs w:val="24"/>
        </w:rPr>
      </w:pPr>
      <w:r>
        <w:rPr>
          <w:rFonts w:eastAsia="Times New Roman" w:asciiTheme="majorHAnsi" w:hAnsiTheme="majorHAnsi" w:cstheme="majorHAnsi"/>
          <w:i/>
          <w:iCs/>
          <w:lang w:eastAsia="ru-RU"/>
        </w:rPr>
        <w:t>Reporting Requirements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A substantial amount of routine reporting has to be performed by credit institutions on a regular and non-regular basis, including disclosure of financial statements, various operational indicators, affiliates and persons who exercise (directly or indirectly) influence over the decisions taken by the management bodies of the credit institution. The CBR may at any time conduct full or selective audits of any credit institution’s activities and filings and may inspect all of its books, records and primary documents.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Additionally, banking holdings such as ourselves (i.e., groups of legal entities in which one legal entity that is not a credit institution, directly or indirectly, controls decisions of the management bodies of a credit institution within such groups, such as Qiwi Bank) must regularly disclose their consolidated financial statements and provide to the CBR certain additional information regarding the business operations and financial condition of the group in order for the CBR to assess their risks.</w:t>
      </w:r>
    </w:p>
    <w:p w:rsidR="009534E2" w:rsidRDefault="003369EB">
      <w:pPr>
        <w:keepNext/>
        <w:spacing w:after="200"/>
        <w:ind w:firstLine="461"/>
        <w:rPr>
          <w:rFonts w:eastAsia="Times New Roman" w:asciiTheme="majorHAnsi" w:hAnsiTheme="majorHAnsi" w:cstheme="majorHAnsi"/>
        </w:rPr>
      </w:pPr>
      <w:r>
        <w:rPr>
          <w:rFonts w:eastAsia="Times New Roman" w:asciiTheme="majorHAnsi" w:hAnsiTheme="majorHAnsi" w:cstheme="majorHAnsi"/>
          <w:b/>
          <w:i/>
          <w:lang w:eastAsia="ru-RU"/>
        </w:rPr>
        <w:t>Factoring Regulation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June 2018, Factoring PLUS (previously known as Qiwi Processing) started providing factoring services in Russia. In October 2021, Factoring PLUS was rebranded as ROWI.</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The regulatory framework with respect to factoring is mainly set by the Civil </w:t>
      </w:r>
      <w:r>
        <w:rPr>
          <w:rFonts w:eastAsia="Times New Roman" w:asciiTheme="majorHAnsi" w:hAnsiTheme="majorHAnsi" w:cstheme="majorHAnsi"/>
          <w:lang w:val="ru-RU" w:eastAsia="ru-RU"/>
        </w:rPr>
        <w:t>С</w:t>
      </w:r>
      <w:r>
        <w:rPr>
          <w:rFonts w:eastAsia="Times New Roman" w:asciiTheme="majorHAnsi" w:hAnsiTheme="majorHAnsi" w:cstheme="majorHAnsi"/>
          <w:lang w:eastAsia="ru-RU"/>
        </w:rPr>
        <w:t>ode of the Russian Federation. Pursuant to the civil code of the Russian Federation factoring is a series of related financial transactions under which one party (a client) undertakes to assign monetary claims against a third party (a debtor) to another party (a financial agent/factor) and pay for the services of the latter, and the financial agent undertakes to perform at least two of the following functions in relation to the assigned claims: (i) to finance the client (including loans or advance payment) on account of receivables assigned to the factor; (ii) to maintain accounts relating to the client’s receivables; (iii) to exercise rights relating to the receivables (in particular, collect payments from the debtors, settle the obligations etc.); (iv) to exercise rights under agreements securing performance of obligations by the debtors. ROWI as a financial agent/factor performs all the aforementioned functions as may be required from time to time.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ROWI as a financial agent/factor is deemed to be a financial service provider. Thus, it is subject to the Anti-Money Laundering Law (</w:t>
      </w:r>
      <w:r>
        <w:rPr>
          <w:rFonts w:eastAsia="Times New Roman" w:asciiTheme="majorHAnsi" w:hAnsiTheme="majorHAnsi" w:cstheme="majorHAnsi"/>
          <w:iCs/>
          <w:lang w:eastAsia="ru-RU"/>
        </w:rPr>
        <w:t>see</w:t>
      </w:r>
      <w:r>
        <w:rPr>
          <w:rFonts w:eastAsia="Times New Roman" w:asciiTheme="majorHAnsi" w:hAnsiTheme="majorHAnsi" w:cstheme="majorHAnsi"/>
          <w:i/>
          <w:lang w:eastAsia="ru-RU"/>
        </w:rPr>
        <w:t xml:space="preserve"> “- The Anti-Money Laundering Law”).</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2021 ROWI started to offer factoring services for marketplace sellers based on sales analytics. The regulation of operations with financing of marketplace sellers is the same as for ordinary factoring.</w:t>
      </w:r>
    </w:p>
    <w:p w:rsidR="009534E2" w:rsidRDefault="003369EB">
      <w:pPr>
        <w:keepNext/>
        <w:spacing w:after="200"/>
        <w:ind w:firstLine="461"/>
        <w:rPr>
          <w:rFonts w:eastAsia="Times New Roman" w:asciiTheme="majorHAnsi" w:hAnsiTheme="majorHAnsi" w:cstheme="majorHAnsi"/>
        </w:rPr>
      </w:pPr>
      <w:r>
        <w:rPr>
          <w:rFonts w:eastAsia="Times New Roman" w:asciiTheme="majorHAnsi" w:hAnsiTheme="majorHAnsi" w:cstheme="majorHAnsi"/>
          <w:b/>
          <w:i/>
          <w:lang w:eastAsia="ru-RU"/>
        </w:rPr>
        <w:t>Bank Guarantee Transactions and Online Loans for Performance of Public Procurement Contracts Regulation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2018 Qiwi Bank started actively issuing guarantees for SMEs in accordance with the Federal Law of the Russian Federation No. 223 “On Purchasing Goods, Work, and Services by Certain Types of Legal Entities”, dated July 18, 2011, as amended, the Federal Law of the Russian Federation No. 44 “On the Contract System for State and Municipal Procurement of Goods, Work, and Services”, dated April 5, 2013, as amended</w:t>
      </w:r>
      <w:r>
        <w:rPr>
          <w:rFonts w:eastAsia="Times New Roman" w:asciiTheme="majorHAnsi" w:hAnsiTheme="majorHAnsi" w:cstheme="majorHAnsi"/>
          <w:color w:val="000000"/>
          <w:lang w:eastAsia="ru-RU"/>
        </w:rPr>
        <w:t>, and some other laws and regulations</w:t>
      </w:r>
      <w:r>
        <w:rPr>
          <w:rFonts w:eastAsia="Times New Roman" w:asciiTheme="majorHAnsi" w:hAnsiTheme="majorHAnsi" w:cstheme="majorHAnsi"/>
          <w:lang w:eastAsia="ru-RU"/>
        </w:rPr>
        <w: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Pursuant to the Civil Code of the Russian Federation a bank guarantee is an irrevocable commitment by a bank to pay a specified sum in the event that the party requesting the guarantee fails to perform the liability secured by the document. A guarantee is a commitment independent of the liability under the principal debt or the agreement between the creditor and the primary debtor. By issuing a guarantee, a bank commits to pay upon first demand, provided all the conditions stipulated in this guarantee are met. For issuing a guarantee the bank charges a commission from the party requesting it.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Qiwi Bank is included in the list of banks that meet established requirements for an acceptance of bank guarantees for tax purposes, maintained by the Ministry of Finance of the Russian Federation.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In 2021 Qiwi Bank started to offer online loans for performance of public procurement contracts. Regulatory framework for transactions with loans for performance of public procurement contracts is determined by the Civil Code of Russia. According to the loan agreement for performance of public procurement contracts, the Bank undertakes to assess the borrower's loan application, open a credit line, and issue a tranche for the execution of the contract. The borrower undertakes to return the tranche on time, as well as pay interest on the amount.</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b/>
          <w:bCs/>
          <w:i/>
          <w:iCs/>
          <w:lang w:eastAsia="ru-RU"/>
        </w:rPr>
        <w:t>The Anti-Money Laundering Law</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Russia, the companies performing transactions with funds and other assets (so called financial services providers) shall comply with national anti-money laundering and counter-terrorist financing legislation, as well as requirements of the Foreign Account Tax Compliance Act (FATCA) and the Common Reporting Standard (CRS). Usually, financial services providers in Russia also follow the best international practices in this sphere, such as recommendations of the Financial Action Task Force, or the FATF. The Federal Financial Monitoring Service, or Rosfinmonitoring, is the agency commissioned with supervision of compliance with the provisions of the Anti-Money Laundering Law.</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Under the Anti-Money Laundering Law, the main obligations of a financial services provider are as follows: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1) to elaborate internal control rules and programs for anti-money laundering and counter-terrorism financing purposes and control their implementation, and to designate an officer responsible for compliance of these rules and programs with the Russian legislation;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2) to conduct internal and external trainings of the staff in the anti-money laundering and counter-terrorism financing sphere;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3) to detect, document and report to the Rosfinmonitoring on clients’ transactions subject to mandatory control;</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4) to detect, document and report to the Rosfinmonitoring on clients’ suspicious (unusual) transactions;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5) to keep a close eye on certain transactions where one of the counterparties is a resident in a country included in the FATF "black lists” or uses a bank account maintained in such country, to take reasonable measures for identifying clients that are politically exposed persons (domestic or foreign) and clients that pose high money laundering or financing terrorism risks, and to apply enhanced due diligence measures to such clients;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6) to detect and to freeze (block) funds or other assets of natural or legal persons that are known to participate in extremist or terrorist activities or to spread weapons of mass destruction and report to the Rosfinmonitoring on such taken actions, and not less than once every three months to inspect whether there are clients whose funds or other assets were or shall be frozen/blocked and provide the Rosfinmonitoring with the results of such inspections;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7) to suspend or to restrict the performance of certain operations on the ground set forth by the anti-money laundering and counter-terrorism financing legislation;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8) to provide the Rosfinmonitoring and the CBR on request with information on clients, their representatives and beneficial owners, their operations;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9) to identify such clients, their representatives and/or beneficial owners, to take reasonable measures for detecting and identifying beneficial owners, to update the information on such clients on a regular basis, and to determine a procedure for cooperating with the persons assigned to perform identification.</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color w:val="000000"/>
          <w:lang w:eastAsia="ru-RU"/>
        </w:rPr>
        <w:t>Financial services providers are generally required to:</w:t>
      </w:r>
    </w:p>
    <w:p w:rsidR="009534E2" w:rsidRDefault="003369EB">
      <w:pPr>
        <w:ind w:firstLine="461"/>
        <w:rPr>
          <w:rFonts w:eastAsia="Times New Roman" w:asciiTheme="majorHAnsi" w:hAnsiTheme="majorHAnsi" w:cstheme="majorHAnsi"/>
        </w:rPr>
      </w:pPr>
      <w:r>
        <w:rPr>
          <w:rFonts w:eastAsia="Times New Roman" w:asciiTheme="majorHAnsi" w:hAnsiTheme="majorHAnsi" w:cstheme="majorHAnsi"/>
          <w:color w:val="000000"/>
          <w:lang w:eastAsia="ru-RU"/>
        </w:rPr>
        <w:t>- ident</w:t>
      </w:r>
      <w:r>
        <w:rPr>
          <w:rFonts w:eastAsia="Times New Roman" w:asciiTheme="majorHAnsi" w:hAnsiTheme="majorHAnsi" w:cstheme="majorHAnsi"/>
          <w:lang w:eastAsia="ru-RU"/>
        </w:rPr>
        <w:t>ify their clients, whether legal entities and individuals;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assign risk level to clients depending on the type of the client, beneficial owner, type of the activity and country-related risks.</w:t>
      </w:r>
    </w:p>
    <w:p w:rsidR="009534E2" w:rsidRDefault="003369EB">
      <w:pPr>
        <w:spacing w:after="200"/>
        <w:ind w:firstLine="461"/>
        <w:rPr>
          <w:rFonts w:eastAsia="Times New Roman" w:asciiTheme="majorHAnsi" w:hAnsiTheme="majorHAnsi" w:cstheme="majorHAnsi"/>
          <w:color w:val="000000"/>
          <w:lang w:eastAsia="ru-RU"/>
        </w:rPr>
      </w:pPr>
      <w:r>
        <w:rPr>
          <w:rFonts w:eastAsia="Times New Roman" w:asciiTheme="majorHAnsi" w:hAnsiTheme="majorHAnsi" w:cstheme="majorHAnsi"/>
          <w:color w:val="000000"/>
          <w:lang w:eastAsia="ru-RU"/>
        </w:rPr>
        <w:t xml:space="preserve">Pursuant to the Anti-Money Laundering Law we distinguish three types of </w:t>
      </w:r>
      <w:r>
        <w:rPr>
          <w:rFonts w:eastAsia="Times New Roman" w:asciiTheme="majorHAnsi" w:hAnsiTheme="majorHAnsi" w:cstheme="majorHAnsi"/>
          <w:lang w:eastAsia="ru-RU"/>
        </w:rPr>
        <w:t>individual</w:t>
      </w:r>
      <w:r>
        <w:rPr>
          <w:rFonts w:eastAsia="Times New Roman" w:asciiTheme="majorHAnsi" w:hAnsiTheme="majorHAnsi" w:cstheme="majorHAnsi"/>
          <w:color w:val="000000"/>
          <w:lang w:eastAsia="ru-RU"/>
        </w:rPr>
        <w:t xml:space="preserve"> clients based on their level of identification, being anonymous, identified through a simplified procedure and fully identified. Consumers who have not undergone any identification procedure are qualified as anonymous. The simplified and full identification differ with respect to the data provided by the client and the procedure itself. Based on the level of identification, the transaction limits and the maximum balances of the clients as well as types of transactions available to them may vary.</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order to block potentially fraudulent transactions, credit institutions have to use anti-fraud criteria, elaborated both by the CBR and in-house. Credit institutions are also prescribed to follow certain protocol for combatting the unauthorised transactions and to report all such cases to the CBR which maintains a national fraud database.</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b/>
          <w:bCs/>
          <w:i/>
          <w:iCs/>
          <w:lang w:eastAsia="ru-RU"/>
        </w:rPr>
        <w:t>Privacy and Personal Data Protection Regulation</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We are subject to laws and regulations regarding privacy and protection of the user data, including the Federal Law of the Russian Federation No. 152-FZ “On Personal Data”, dated July 27, 2006, as amended, or the Personal Data Law. The Personal Data Law, among other things, requires that an individual must consent to the processing (i.e. any action or combination of actions performed with or without the use of technology on personal data, including the collection, recording, systematization, accumulation, storage, alteration (updating or changing), retrieval, use, transfer (distributing, providing or authorizing access to), depersonalization, blocking, deleting and destroying) of his/her personal data and must provide this consent before such data is processed. Generally, the Personal Data Law requires </w:t>
      </w:r>
      <w:r>
        <w:rPr>
          <w:rFonts w:eastAsia="Times New Roman" w:asciiTheme="majorHAnsi" w:hAnsiTheme="majorHAnsi" w:cstheme="majorHAnsi"/>
          <w:color w:val="000000"/>
          <w:lang w:eastAsia="ru-RU"/>
        </w:rPr>
        <w:t xml:space="preserve">the consent </w:t>
      </w:r>
      <w:r>
        <w:rPr>
          <w:rFonts w:eastAsia="Times New Roman" w:asciiTheme="majorHAnsi" w:hAnsiTheme="majorHAnsi" w:cstheme="majorHAnsi"/>
          <w:lang w:eastAsia="ru-RU"/>
        </w:rPr>
        <w:t>to be in any form that, from an evidential perspective, sufficiently attests to the fact that it has been obtained. However, the consent must be in writing in certain cases stipulated</w:t>
      </w:r>
      <w:r>
        <w:rPr>
          <w:rFonts w:eastAsia="Times New Roman" w:asciiTheme="majorHAnsi" w:hAnsiTheme="majorHAnsi" w:cstheme="majorHAnsi"/>
          <w:color w:val="000000"/>
          <w:lang w:eastAsia="ru-RU"/>
        </w:rPr>
        <w:t xml:space="preserve"> in the Personal Data Law</w:t>
      </w:r>
      <w:r>
        <w:rPr>
          <w:rFonts w:eastAsia="Times New Roman" w:asciiTheme="majorHAnsi" w:hAnsiTheme="majorHAnsi" w:cstheme="majorHAnsi"/>
          <w:lang w:eastAsia="ru-RU"/>
        </w:rPr>
        <w: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Subject to certain limited exemptions, the recording, systematization, accumulation, storage, adjustment (update, alteration), retrieval of personal data of citizens of the Russian Federation is required to be performed through a database located in the territory of the Russian Federation. All our data centers used to store such personal data are located in the Russian Federation.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color w:val="000000"/>
          <w:lang w:eastAsia="ru-RU"/>
        </w:rPr>
        <w:t>In June 2018 the Unified Biometric System, a digital platform that enables a remote identification of an individual through his biometric parameters, was launched in Russia. It makes financial services more widely accessible for the consumers. Qiwi Bank is authorized to collect biometric personal data (facial patterns and voice cadence) for the purposes of registration in the Unified Biometric System.</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b/>
          <w:bCs/>
          <w:i/>
          <w:iCs/>
          <w:lang w:eastAsia="ru-RU"/>
        </w:rPr>
        <w:t>Regulation of Strategic Investments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The Strategic Enterprise Law provides that an acquisition by a foreign investor (or a group of persons including a foreign investor) of direct or indirect control over a company holding an encryption license requires prior approval of a specialized governmental commission. The approval process usually takes between three and six months. Qiwi Bank holds encryption licenses, which are necessary to conduct its operations, and by virtue of this may be deemed to be a “strategic enterprise”.</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Under the Strategic Enterprise Law, a person is deemed to have control over a strategic enterprise if, among other things, such person controls, directly or indirectly, more than 50% of the total number of votes attributable to the voting shares comprising the share capital of such strategic enterprise. Where the purchaser is a foreign state, foreign governmental organization, international organization or entity controlled by a foreign government, or international organization, the threshold for obtaining a preliminary approval is more than 25% of the voting power. In addition, investors that are controlled by a foreign state or a foreign government or international organization are prohibited from owning more than 50% of the voting power of a strategic enterprise. Failure to obtain the required governmental approval prior to an acquisition would render the acquisition null and void.</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Strategic Enterprise Law is not clear on how to interpret “indirect” control over a strategic enterprise and in what circumstances an acquisition of shares in the holding company of a strategic enterprise would represent an “indirect” acquisition of shares in the latter and, consequently, require approval of the specialized governmental commission. Although the view can be taken that an “indirect” acquisition takes place if a foreign investor acquires over 50% of the shares in the holding company of a strategic enterprise or otherwise obtains control over the holding company, there is no assurance that Russian state authorities would not interpret it differently and apply a lower threshold to the acquisition of such holding company.</w:t>
      </w:r>
    </w:p>
    <w:p w:rsidR="009534E2" w:rsidRDefault="003369EB">
      <w:pPr>
        <w:spacing w:after="200"/>
        <w:rPr>
          <w:rFonts w:eastAsia="Times New Roman" w:asciiTheme="majorHAnsi" w:hAnsiTheme="majorHAnsi" w:cstheme="majorHAnsi"/>
          <w:b/>
          <w:bCs/>
          <w:i/>
          <w:iCs/>
          <w:lang w:eastAsia="ru-RU"/>
        </w:rPr>
      </w:pPr>
      <w:r>
        <w:rPr>
          <w:rFonts w:eastAsia="Times New Roman" w:asciiTheme="majorHAnsi" w:hAnsiTheme="majorHAnsi" w:cstheme="majorHAnsi"/>
          <w:b/>
          <w:bCs/>
          <w:i/>
          <w:iCs/>
          <w:lang w:eastAsia="ru-RU"/>
        </w:rPr>
        <w:t>Regulation of International economic sanctions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 order to avoid the risks associated with international economic sanctions, QIWI Group companies are guided by, but not limited to, the International Sanctions programs introduced by OFAC, UNSC, EU, UK; FATF and Wolfsberg Group recommendations, as well as the best international practices regarding sanctions compliance and other industry recommendations.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Sanctions may have general and selective coverage, and may be directed to territories, certain sectors of the economy, individuals and legal entities.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QIWI conducts Customer Due Diligence and Enhanced Due Diligence on both potential and existing clients, their related parties and QIWI’s counterparties, checking the information received in reliable and legally accessible independent sources, databases, and supervising all transactions in accordance with the applicable official lists of international economic sanctions, both before and during cooperation, as well as when the lists of sanctions are updated. Identified coincidences are subject to careful consideration and analysis by responsible employees. There is a dedicated team responsible for national and international sanctions programs management and execution.</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There are particular economic counter-measures against the sanctions acts of other governments in the Russian legal system as well. These measures are governed by a vast number of regulations and clarifications that have been made.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All changes in the legal regulation of special economic measures are subject to careful consideration and analysis by responsible QIWI employees.</w:t>
      </w:r>
    </w:p>
    <w:p w:rsidR="009534E2" w:rsidRDefault="003369EB">
      <w:pPr>
        <w:keepNext/>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C.</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Organizational Structure</w:t>
      </w:r>
      <w:bookmarkStart w:name="COrganizationalStructure_394382" w:id="86"/>
      <w:bookmarkEnd w:id="86"/>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color w:val="000000"/>
          <w:lang w:eastAsia="ru-RU"/>
        </w:rPr>
        <w:t>QIWI plc is a holding company that operates through its subsidiaries. Our major operating subsidiaries, each of which is a wholly owned subsidiary, are QIWI Bank (JSC) (which is 99.9% owned by the Group), QIWI JSC.</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See Exhibit 8.1 for a list of our subsidiaries.</w:t>
      </w:r>
    </w:p>
    <w:p w:rsidR="009534E2" w:rsidRDefault="003369EB">
      <w:pPr>
        <w:keepNext/>
        <w:tabs>
          <w:tab w:val="left" w:pos="1236"/>
        </w:tabs>
        <w:spacing w:after="200"/>
        <w:ind w:left="461" w:hanging="461"/>
        <w:rPr>
          <w:rFonts w:eastAsia="Times New Roman" w:asciiTheme="majorHAnsi" w:hAnsiTheme="majorHAnsi" w:cstheme="majorHAnsi"/>
          <w:szCs w:val="24"/>
        </w:rPr>
      </w:pPr>
      <w:r>
        <w:rPr>
          <w:rFonts w:eastAsia="Times New Roman" w:asciiTheme="majorHAnsi" w:hAnsiTheme="majorHAnsi" w:cstheme="majorHAnsi"/>
          <w:b/>
          <w:lang w:val="ru-RU" w:eastAsia="ru-RU"/>
        </w:rPr>
        <w:t>D.</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lang w:val="ru-RU" w:eastAsia="ru-RU"/>
        </w:rPr>
        <w:t>Property, Plants and Equipment.</w:t>
      </w:r>
      <w:bookmarkStart w:name="DPropertyPlantsandEquipment_535233" w:id="87"/>
      <w:bookmarkEnd w:id="87"/>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We currently lease a total of over 18,000 square meters in Moscow and other regions across Russia as well as in Kazakhstan, Cyprus and other jurisdictions where we operate, primarily for the purpose of office space, including office space for the subsidiaries of the Group.</w:t>
      </w:r>
    </w:p>
    <w:p w:rsidR="009534E2" w:rsidRDefault="003369EB">
      <w:pPr>
        <w:keepNext/>
        <w:keepLines/>
        <w:tabs>
          <w:tab w:val="left" w:pos="1168"/>
        </w:tabs>
        <w:spacing w:after="200"/>
        <w:ind w:left="1094" w:hanging="1094"/>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4A.</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Unresolved Staff Comments</w:t>
      </w:r>
      <w:bookmarkStart w:name="ITEM4AUnresolvedStaffComments_981653" w:id="88"/>
      <w:bookmarkEnd w:id="88"/>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val="ru-RU" w:eastAsia="ru-RU"/>
        </w:rPr>
        <w:t>None.</w:t>
      </w:r>
    </w:p>
    <w:p w:rsidR="009534E2" w:rsidRDefault="003369EB">
      <w:pPr>
        <w:keepNext/>
        <w:keepLines/>
        <w:tabs>
          <w:tab w:val="left" w:pos="1168"/>
        </w:tabs>
        <w:spacing w:after="200"/>
        <w:ind w:left="1094" w:hanging="1094"/>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5.</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eastAsia="ru-RU"/>
        </w:rPr>
        <w:t>Operating and Financial Review and Prospects</w:t>
      </w:r>
      <w:bookmarkStart w:name="ITEM5OperatingandFinancialReviewandProsp" w:id="89"/>
      <w:bookmarkEnd w:id="89"/>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You should read the following operating and financial review together with our consolidated financial statements and related notes included elsewhere in this annual report. Certain statements in this section are “forward-looking statements” and are subject to risks and uncertainties, which may cause actual results to differ materially from those expressed or implied by such forward-looking statements. Please see “</w:t>
      </w:r>
      <w:r>
        <w:rPr>
          <w:rFonts w:eastAsia="Times New Roman" w:asciiTheme="majorHAnsi" w:hAnsiTheme="majorHAnsi" w:cstheme="majorHAnsi"/>
          <w:i/>
          <w:iCs/>
          <w:lang w:eastAsia="ru-RU"/>
        </w:rPr>
        <w:t>Special Note Regarding Forward-Looking Statements</w:t>
      </w:r>
      <w:r>
        <w:rPr>
          <w:rFonts w:eastAsia="Times New Roman" w:asciiTheme="majorHAnsi" w:hAnsiTheme="majorHAnsi" w:cstheme="majorHAnsi"/>
          <w:lang w:eastAsia="ru-RU"/>
        </w:rPr>
        <w:t>” and “</w:t>
      </w:r>
      <w:r>
        <w:rPr>
          <w:rFonts w:eastAsia="Times New Roman" w:asciiTheme="majorHAnsi" w:hAnsiTheme="majorHAnsi" w:cstheme="majorHAnsi"/>
          <w:i/>
          <w:iCs/>
          <w:lang w:eastAsia="ru-RU"/>
        </w:rPr>
        <w:t>Risk Factors</w:t>
      </w:r>
      <w:r>
        <w:rPr>
          <w:rFonts w:eastAsia="Times New Roman" w:asciiTheme="majorHAnsi" w:hAnsiTheme="majorHAnsi" w:cstheme="majorHAnsi"/>
          <w:lang w:eastAsia="ru-RU"/>
        </w:rPr>
        <w:t>” for more information.</w:t>
      </w:r>
    </w:p>
    <w:p w:rsidR="009534E2" w:rsidRDefault="003369EB">
      <w:pPr>
        <w:keepNext/>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A.</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Operating Results</w:t>
      </w:r>
      <w:bookmarkStart w:name="AOperatingResults_542786" w:id="90"/>
      <w:bookmarkEnd w:id="90"/>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Overview</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We are a leading provider of cutting-edge payment and financial services in Russia and the CIS. We offer a wide range of products under several directions: QIWI payment and financial services ecosystem for merchants and B2C clients across digital use-cases, ROWI digital structured financial products for SME, Flocktory services in marketing automation and advertising technologies, RealWeb full-cycle digital marketing services provider and several other startups.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We have an integrated proprietary network that enables payment services across online, mobile and physical channels and provides access to financial services for retail customer and B2B partners. Millions of consumers and partners may receive and transmit cash and electronic payments through our network. Our money remittance payment platform CONTACT connects businesses and people across the globe via thousands of service points.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Our customers and partners can use cash, stored value, prepaid cards and other electronic payment methods in order to pay for goods and services or transfer money across virtual or physical environments interchangeably, as well as employ QIWI’s open API infrastructure and highly customizable, sophisticated payment solutions to serve their business or personal needs. Our ROWI brand serves businesses with digital factoring, bank guarantees and other financial solutions for SMEs. Our full-cycle digital marketing service provider RealWeb operates on its proprietary technological solutions: (i) the Centra as a marketplace of advertising products and services, (ii) the МЕТА platform which provides complex, end-to-end, customized business applications, and (iii) the GARPUN as an automated system for managing context advertising.</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Our primary focus areas include the self-employed market, digital entertainment and digital commerce niches, money remittances and bundle of payment and financial services for small and medium-sized enterprises. We operate in and target markets which are developing rapidly and have a strong potential towards digitalization, and lack convenient, easy to use technological solutions. Moreover, we see greater potential in developing and growing our secure peer-to-peer payment and our open API infrastructures, which we believe offer customers and partners a convenient, intuitive and reliable tool to transfer and collect money while serving as a valuable consumer acquisition channel for us. We believe our expertise, infrastructure and efficient business model make us well positioned to benefit from strong secular tailwinds, including growth of the gig economy, overall digitalization of payments, and e-commerce trends.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continue working on further broadening the scope of services, products, and use cases that we offer our customers and partners and aim to develop new niches we have not penetrated yet. We believe the complementary combination of our physical and virtual payment and financial services as well as our open infrastructure provides differentiated convenience to our customers and creates a strong network effect that drives payment volume, scale across the business and sustain robust profitability.</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Our primary source of revenue are fees we receive from processing payments made by consumers to merchants or other customers or by merchants or partners to users, which we refer to as payment processing fees, typically based on a percentage of the size of the transactions processed, which we refer to as payment volume. We refer to payment processing fees that are paid to us by merchants for collecting payments on their behalf or for processing payouts as “merchant fees” and to payment processing fees that are paid by our consumers directly to us or transmitted to us by our agents as “consumer fees”. If transactions are made in cash through our kiosks and terminals, we typically pass on a portion of the merchant fees to our agents.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 2019 we launched ROWI project focused on providing factoring services and digital bank guarantees where we generate revenues based on the difference between the purchase price for receivables and their actual amount, and fees for guarantee issued, respectively. In 2021 ROWI added two new products to its portfolio – online loans to clients for executing public procurement contracts and loans for marketplaces sellers based on scoring of their sales via escrow accounts. On these products we earn revenues based on interest charged for loans issued.</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also provide digital marketing services through our subsidiary Flocktory where we charge subscription and other fees to our clients.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RealWeb generate revenues and income from context and media advertising management services, offering a social network presence, programmatic, CPA and mobile marketing type of services.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operate in specialized high-growth markets and segments that lack convenient digital solutions, are underserved by traditional banks and in some cases remain primarily cash-based. We believe our expertise and ability to deliver transparency and fintech solutions into such markets uniquely position us to benefit from strong secular trends towards the digitalization of economy. We aim to sustain a high-growth and return-driven profile, expanding our leadership in the key niches and developing products to enter new markets.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Our strategy is for QIWI to become the leading fintech platform for underbanked customers. We plan to use our extensive customer outreach and data to develop products and services focused on clients whose needs are not fully serviced by traditional banks, such as online SMEs, self-employed individuals, migrants, and similar customer groups. We anticipate that our expertise in the payment services and the variety of existing end-to-end products for the B2B channel will serve as a backbone for various digital players in digital commerce and entertainment, self-employed space, and others. At the same time in long term we aim to grow beyond the core fintech services on adjacent sizable markets using our developed infrastructure and offering vertical solutions for e-commerce.</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Key Measures of Financial and Operational Performance</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Our management monitors our financial and operational performance on the basis of the following measures.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Financial Measures</w:t>
      </w:r>
    </w:p>
    <w:p w:rsidR="009534E2" w:rsidRDefault="003369EB">
      <w:pPr>
        <w:keepNext/>
        <w:keepLines/>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following table presents our key financial measures for the year ended December 31, 2020, 2021 and 2022.</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634"/>
        <w:gridCol w:w="242"/>
        <w:gridCol w:w="814"/>
        <w:gridCol w:w="242"/>
        <w:gridCol w:w="814"/>
        <w:gridCol w:w="242"/>
        <w:gridCol w:w="812"/>
      </w:tblGrid>
      <w:tr w:rsidR="009534E2">
        <w:trPr>
          <w:trHeight w:val="20" w:hRule="exact"/>
          <w:jc w:val="center"/>
        </w:trPr>
        <w:tc>
          <w:tcPr>
            <w:tcW w:w="3534" w:type="pct"/>
            <w:tcBorders>
              <w:top w:val="nil"/>
              <w:left w:val="nil"/>
              <w:bottom w:val="nil"/>
              <w:right w:val="nil"/>
            </w:tcBorders>
            <w:vAlign w:val="bottom"/>
          </w:tcPr>
          <w:p w:rsidR="009534E2" w:rsidRDefault="009534E2">
            <w:pPr>
              <w:keepNext/>
              <w:keepLines/>
              <w:rPr>
                <w:rFonts w:asciiTheme="majorHAnsi" w:hAnsiTheme="majorHAnsi" w:cstheme="majorHAnsi"/>
                <w:sz w:val="2"/>
              </w:rPr>
            </w:pPr>
            <w:bookmarkStart w:name="_0d1abb44_fda6_4020_a771_380bb7e3bedb" w:id="91"/>
            <w:bookmarkStart w:name="_bf0af830_e242_400b_ad79_aa7f539e744a" w:colFirst="0" w:colLast="0" w:id="92"/>
            <w:bookmarkStart w:name="_f872330b_4240_411d_af26_26900bbb9e1e" w:colFirst="1" w:colLast="1" w:id="93"/>
            <w:bookmarkStart w:name="_3f122a8c_9ed8_4f08_82f0_db15954c1338" w:colFirst="2" w:colLast="2" w:id="94"/>
            <w:bookmarkStart w:name="_174d8646_2c53_44f2_ba5a_54b8de97c53a" w:colFirst="3" w:colLast="3" w:id="95"/>
            <w:bookmarkStart w:name="_8c126865_65b9_40db_a1a6_bf36abe1197b" w:colFirst="4" w:colLast="4" w:id="96"/>
            <w:bookmarkStart w:name="_a06b362d_0691_46a2_bf96_9c1f6e2d2854" w:colFirst="5" w:colLast="5" w:id="97"/>
            <w:bookmarkStart w:name="_77356351_062e_4bcb_b606_f64a5b6c3269" w:colFirst="6" w:colLast="6" w:id="98"/>
            <w:bookmarkStart w:name="_783f2693_0aff_4b63_ab05_5811918f6e31" w:id="99"/>
            <w:bookmarkEnd w:id="91"/>
          </w:p>
        </w:tc>
        <w:tc>
          <w:tcPr>
            <w:tcW w:w="112"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377"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112"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377"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112"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377"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r>
      <w:tr w:rsidR="009534E2">
        <w:trPr>
          <w:jc w:val="center"/>
        </w:trPr>
        <w:tc>
          <w:tcPr>
            <w:tcW w:w="3534" w:type="pct"/>
            <w:tcBorders>
              <w:top w:val="nil"/>
              <w:left w:val="nil"/>
              <w:bottom w:val="nil"/>
              <w:right w:val="nil"/>
              <w:tl2br w:val="nil"/>
              <w:tr2bl w:val="nil"/>
            </w:tcBorders>
            <w:shd w:val="clear" w:color="auto" w:fill="auto"/>
            <w:vAlign w:val="bottom"/>
          </w:tcPr>
          <w:p w:rsidR="009534E2" w:rsidRDefault="009534E2">
            <w:pPr>
              <w:keepNext/>
              <w:keepLines/>
              <w:rPr>
                <w:rFonts w:asciiTheme="majorHAnsi" w:hAnsiTheme="majorHAnsi" w:cstheme="majorHAnsi"/>
                <w:color w:val="000000"/>
                <w:sz w:val="16"/>
              </w:rPr>
            </w:pPr>
            <w:bookmarkStart w:name="_6c42013f_3af7_4f3b_9b89_713a7f193d01" w:id="100"/>
            <w:bookmarkEnd w:id="92"/>
            <w:bookmarkEnd w:id="93"/>
            <w:bookmarkEnd w:id="94"/>
            <w:bookmarkEnd w:id="95"/>
            <w:bookmarkEnd w:id="96"/>
            <w:bookmarkEnd w:id="97"/>
            <w:bookmarkEnd w:id="98"/>
          </w:p>
        </w:tc>
        <w:tc>
          <w:tcPr>
            <w:tcW w:w="112" w:type="pct"/>
            <w:tcBorders>
              <w:top w:val="nil"/>
              <w:left w:val="nil"/>
              <w:bottom w:val="nil"/>
              <w:right w:val="nil"/>
              <w:tl2br w:val="nil"/>
              <w:tr2bl w:val="nil"/>
            </w:tcBorders>
            <w:shd w:val="clear" w:color="auto" w:fill="auto"/>
            <w:noWrap/>
            <w:vAlign w:val="bottom"/>
          </w:tcPr>
          <w:p w:rsidR="009534E2" w:rsidRDefault="009534E2">
            <w:pPr>
              <w:keepNext/>
              <w:keepLines/>
              <w:rPr>
                <w:rFonts w:asciiTheme="majorHAnsi" w:hAnsiTheme="majorHAnsi" w:cstheme="majorHAnsi"/>
                <w:color w:val="000000"/>
                <w:sz w:val="16"/>
              </w:rPr>
            </w:pPr>
          </w:p>
        </w:tc>
        <w:tc>
          <w:tcPr>
            <w:tcW w:w="1355" w:type="pct"/>
            <w:gridSpan w:val="5"/>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Year ended December 31,</w:t>
            </w:r>
          </w:p>
        </w:tc>
      </w:tr>
      <w:tr w:rsidR="009534E2">
        <w:trPr>
          <w:jc w:val="center"/>
        </w:trPr>
        <w:tc>
          <w:tcPr>
            <w:tcW w:w="3534" w:type="pct"/>
            <w:tcBorders>
              <w:top w:val="nil"/>
              <w:left w:val="nil"/>
              <w:bottom w:val="nil"/>
              <w:right w:val="nil"/>
              <w:tl2br w:val="nil"/>
              <w:tr2bl w:val="nil"/>
            </w:tcBorders>
            <w:shd w:val="clear" w:color="auto" w:fill="auto"/>
            <w:vAlign w:val="bottom"/>
          </w:tcPr>
          <w:p w:rsidR="009534E2" w:rsidRDefault="009534E2">
            <w:pPr>
              <w:keepNext/>
              <w:keepLines/>
              <w:rPr>
                <w:rFonts w:asciiTheme="majorHAnsi" w:hAnsiTheme="majorHAnsi" w:cstheme="majorHAnsi"/>
                <w:color w:val="000000"/>
                <w:sz w:val="16"/>
              </w:rPr>
            </w:pPr>
            <w:bookmarkStart w:name="_bf758657_0b5c_4fb3_acd9_56f1afa7c130" w:id="101"/>
            <w:bookmarkEnd w:id="100"/>
          </w:p>
        </w:tc>
        <w:tc>
          <w:tcPr>
            <w:tcW w:w="112" w:type="pct"/>
            <w:tcBorders>
              <w:top w:val="nil"/>
              <w:left w:val="nil"/>
              <w:bottom w:val="nil"/>
              <w:right w:val="nil"/>
              <w:tl2br w:val="nil"/>
              <w:tr2bl w:val="nil"/>
            </w:tcBorders>
            <w:shd w:val="clear" w:color="auto" w:fill="auto"/>
            <w:noWrap/>
            <w:vAlign w:val="bottom"/>
          </w:tcPr>
          <w:p w:rsidR="009534E2" w:rsidRDefault="009534E2">
            <w:pPr>
              <w:keepNext/>
              <w:keepLines/>
              <w:rPr>
                <w:rFonts w:asciiTheme="majorHAnsi" w:hAnsiTheme="majorHAnsi" w:cstheme="majorHAnsi"/>
                <w:color w:val="000000"/>
                <w:sz w:val="16"/>
              </w:rPr>
            </w:pPr>
          </w:p>
        </w:tc>
        <w:tc>
          <w:tcPr>
            <w:tcW w:w="377"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12" w:type="pct"/>
            <w:tcBorders>
              <w:top w:val="nil"/>
              <w:left w:val="nil"/>
              <w:bottom w:val="nil"/>
              <w:right w:val="nil"/>
              <w:tl2br w:val="nil"/>
              <w:tr2bl w:val="nil"/>
            </w:tcBorders>
            <w:shd w:val="clear" w:color="auto" w:fill="auto"/>
            <w:noWrap/>
            <w:vAlign w:val="bottom"/>
          </w:tcPr>
          <w:p w:rsidR="009534E2" w:rsidRDefault="009534E2">
            <w:pPr>
              <w:keepNext/>
              <w:keepLines/>
              <w:rPr>
                <w:rFonts w:asciiTheme="majorHAnsi" w:hAnsiTheme="majorHAnsi" w:cstheme="majorHAnsi"/>
                <w:color w:val="000000"/>
                <w:sz w:val="16"/>
              </w:rPr>
            </w:pPr>
          </w:p>
        </w:tc>
        <w:tc>
          <w:tcPr>
            <w:tcW w:w="377"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12" w:type="pct"/>
            <w:tcBorders>
              <w:top w:val="nil"/>
              <w:left w:val="nil"/>
              <w:bottom w:val="nil"/>
              <w:right w:val="nil"/>
              <w:tl2br w:val="nil"/>
              <w:tr2bl w:val="nil"/>
            </w:tcBorders>
            <w:shd w:val="clear" w:color="auto" w:fill="auto"/>
            <w:noWrap/>
            <w:vAlign w:val="bottom"/>
          </w:tcPr>
          <w:p w:rsidR="009534E2" w:rsidRDefault="009534E2">
            <w:pPr>
              <w:keepNext/>
              <w:keepLines/>
              <w:rPr>
                <w:rFonts w:asciiTheme="majorHAnsi" w:hAnsiTheme="majorHAnsi" w:cstheme="majorHAnsi"/>
                <w:color w:val="000000"/>
                <w:sz w:val="16"/>
              </w:rPr>
            </w:pPr>
          </w:p>
        </w:tc>
        <w:tc>
          <w:tcPr>
            <w:tcW w:w="377"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534" w:type="pct"/>
            <w:tcBorders>
              <w:top w:val="nil"/>
              <w:left w:val="nil"/>
              <w:bottom w:val="nil"/>
              <w:right w:val="nil"/>
              <w:tl2br w:val="nil"/>
              <w:tr2bl w:val="nil"/>
            </w:tcBorders>
            <w:shd w:val="clear" w:color="auto" w:fill="auto"/>
            <w:vAlign w:val="bottom"/>
          </w:tcPr>
          <w:p w:rsidR="009534E2" w:rsidRDefault="009534E2">
            <w:pPr>
              <w:keepNext/>
              <w:keepLines/>
              <w:rPr>
                <w:rFonts w:asciiTheme="majorHAnsi" w:hAnsiTheme="majorHAnsi" w:cstheme="majorHAnsi"/>
                <w:color w:val="000000"/>
                <w:sz w:val="16"/>
              </w:rPr>
            </w:pPr>
            <w:bookmarkStart w:name="_5a6d067d_2ef8_449b_a869_4e8cd141bfd0" w:id="102"/>
            <w:bookmarkEnd w:id="101"/>
          </w:p>
        </w:tc>
        <w:tc>
          <w:tcPr>
            <w:tcW w:w="112" w:type="pct"/>
            <w:tcBorders>
              <w:top w:val="nil"/>
              <w:left w:val="nil"/>
              <w:bottom w:val="nil"/>
              <w:right w:val="nil"/>
              <w:tl2br w:val="nil"/>
              <w:tr2bl w:val="nil"/>
            </w:tcBorders>
            <w:shd w:val="clear" w:color="auto" w:fill="auto"/>
            <w:noWrap/>
            <w:vAlign w:val="bottom"/>
          </w:tcPr>
          <w:p w:rsidR="009534E2" w:rsidRDefault="009534E2">
            <w:pPr>
              <w:keepNext/>
              <w:keepLines/>
              <w:rPr>
                <w:rFonts w:asciiTheme="majorHAnsi" w:hAnsiTheme="majorHAnsi" w:cstheme="majorHAnsi"/>
                <w:color w:val="000000"/>
                <w:sz w:val="16"/>
              </w:rPr>
            </w:pPr>
          </w:p>
        </w:tc>
        <w:tc>
          <w:tcPr>
            <w:tcW w:w="1355" w:type="pct"/>
            <w:gridSpan w:val="5"/>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keepLines/>
              <w:rPr>
                <w:rFonts w:asciiTheme="majorHAnsi" w:hAnsiTheme="majorHAnsi" w:cstheme="majorHAnsi"/>
                <w:color w:val="000000"/>
              </w:rPr>
            </w:pPr>
            <w:bookmarkStart w:name="_8d7c9ec2_e5e0_4e56_a538_41311873cb4e" w:id="103"/>
            <w:bookmarkEnd w:id="102"/>
            <w:r>
              <w:rPr>
                <w:rFonts w:eastAsia="Times New Roman" w:asciiTheme="majorHAnsi" w:hAnsiTheme="majorHAnsi" w:cstheme="majorHAnsi"/>
                <w:color w:val="000000"/>
              </w:rPr>
              <w:t>Total Net Revenue</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25,978</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23,113</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34,137</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keepLines/>
              <w:rPr>
                <w:rFonts w:asciiTheme="majorHAnsi" w:hAnsiTheme="majorHAnsi" w:cstheme="majorHAnsi"/>
                <w:color w:val="000000"/>
              </w:rPr>
            </w:pPr>
            <w:bookmarkStart w:name="_a5a64ab9_b916_4e43_af84_12327ffc711f" w:id="104"/>
            <w:bookmarkEnd w:id="103"/>
            <w:r>
              <w:rPr>
                <w:rFonts w:eastAsia="Times New Roman" w:asciiTheme="majorHAnsi" w:hAnsiTheme="majorHAnsi" w:cstheme="majorHAnsi"/>
                <w:color w:val="000000"/>
              </w:rPr>
              <w:t>Payment Services Segment Net Revenue</w:t>
            </w:r>
          </w:p>
        </w:tc>
        <w:tc>
          <w:tcPr>
            <w:tcW w:w="112"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22,637</w:t>
            </w:r>
          </w:p>
        </w:tc>
        <w:tc>
          <w:tcPr>
            <w:tcW w:w="112"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21,100</w:t>
            </w:r>
          </w:p>
        </w:tc>
        <w:tc>
          <w:tcPr>
            <w:tcW w:w="112"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30,103</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keepLines/>
              <w:rPr>
                <w:rFonts w:asciiTheme="majorHAnsi" w:hAnsiTheme="majorHAnsi" w:cstheme="majorHAnsi"/>
                <w:color w:val="000000"/>
              </w:rPr>
            </w:pPr>
            <w:bookmarkStart w:name="_f5753378_2134_4d50_958b_a89a13f19144" w:id="105"/>
            <w:bookmarkEnd w:id="104"/>
            <w:r>
              <w:rPr>
                <w:rFonts w:eastAsia="Times New Roman" w:asciiTheme="majorHAnsi" w:hAnsiTheme="majorHAnsi" w:cstheme="majorHAnsi"/>
                <w:color w:val="000000"/>
              </w:rPr>
              <w:t>Adjusted EBITDA</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13,837</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13,167</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19,779</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keepLines/>
              <w:rPr>
                <w:rFonts w:asciiTheme="majorHAnsi" w:hAnsiTheme="majorHAnsi" w:cstheme="majorHAnsi"/>
                <w:color w:val="000000"/>
              </w:rPr>
            </w:pPr>
            <w:bookmarkStart w:name="_1cbbf350_091c_4d7c_b92f_87fdafcf430e" w:id="106"/>
            <w:bookmarkEnd w:id="105"/>
            <w:r>
              <w:rPr>
                <w:rFonts w:eastAsia="Times New Roman" w:asciiTheme="majorHAnsi" w:hAnsiTheme="majorHAnsi" w:cstheme="majorHAnsi"/>
                <w:color w:val="000000"/>
              </w:rPr>
              <w:t>Adjusted Net Profit</w:t>
            </w:r>
          </w:p>
        </w:tc>
        <w:tc>
          <w:tcPr>
            <w:tcW w:w="112"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10,304</w:t>
            </w:r>
          </w:p>
        </w:tc>
        <w:tc>
          <w:tcPr>
            <w:tcW w:w="112"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9,594</w:t>
            </w:r>
          </w:p>
        </w:tc>
        <w:tc>
          <w:tcPr>
            <w:tcW w:w="112"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13,996</w:t>
            </w:r>
          </w:p>
        </w:tc>
      </w:tr>
      <w:bookmarkEnd w:id="99"/>
      <w:bookmarkEnd w:id="106"/>
    </w:tbl>
    <w:p w:rsidR="009534E2" w:rsidRDefault="009534E2">
      <w:pPr>
        <w:keepNext/>
        <w:keepLines/>
        <w:tabs>
          <w:tab w:val="left" w:pos="479"/>
        </w:tabs>
        <w:ind w:left="461" w:hanging="461"/>
        <w:rPr>
          <w:rFonts w:eastAsia="Times New Roman" w:asciiTheme="majorHAnsi" w:hAnsiTheme="majorHAnsi" w:cstheme="majorHAnsi"/>
          <w:lang w:eastAsia="ru-RU"/>
        </w:rPr>
      </w:pPr>
    </w:p>
    <w:p w:rsidR="009534E2" w:rsidRDefault="00EC0AE1">
      <w:pPr>
        <w:keepNext/>
        <w:keepLines/>
        <w:tabs>
          <w:tab w:val="left" w:pos="479"/>
        </w:tabs>
        <w:ind w:left="461" w:hanging="461"/>
        <w:rPr>
          <w:rFonts w:eastAsia="Times New Roman" w:asciiTheme="majorHAnsi" w:hAnsiTheme="majorHAnsi" w:cstheme="majorHAnsi"/>
          <w:u w:val="single"/>
        </w:rPr>
      </w:pPr>
      <w:r>
        <w:rPr>
          <w:rFonts w:eastAsia="Times New Roman" w:asciiTheme="majorHAnsi" w:hAnsiTheme="majorHAnsi" w:cstheme="majorHAnsi"/>
          <w:sz w:val="8"/>
          <w:szCs w:val="8"/>
          <w:lang w:eastAsia="ru-RU"/>
        </w:rPr>
        <w:pict w14:anchorId="3029140E">
          <v:rect id="_x0000_i1031" style="width:129.25pt;height:1pt;mso-position-vertical:absolute" o:hr="t" o:hrstd="t" o:hrnoshade="t" o:hrpct="250" fillcolor="black" stroked="f"/>
        </w:pict>
      </w:r>
    </w:p>
    <w:p w:rsidR="009534E2" w:rsidRDefault="003369EB">
      <w:pPr>
        <w:keepNext/>
        <w:keepLines/>
        <w:tabs>
          <w:tab w:val="left" w:pos="479"/>
        </w:tabs>
        <w:spacing w:after="200"/>
        <w:ind w:left="461" w:hanging="461"/>
        <w:rPr>
          <w:rFonts w:eastAsia="Times New Roman" w:asciiTheme="majorHAnsi" w:hAnsiTheme="majorHAnsi" w:cstheme="majorHAnsi"/>
        </w:rPr>
      </w:pPr>
      <w:r>
        <w:rPr>
          <w:rFonts w:eastAsia="Times New Roman" w:asciiTheme="majorHAnsi" w:hAnsiTheme="majorHAnsi" w:cstheme="majorHAnsi"/>
          <w:lang w:val="ru-RU" w:eastAsia="ru-RU"/>
        </w:rPr>
        <w:t>(1)</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color w:val="000000"/>
          <w:lang w:eastAsia="ru-RU"/>
        </w:rPr>
        <w:t>See “</w:t>
      </w:r>
      <w:r>
        <w:rPr>
          <w:rFonts w:eastAsia="Times New Roman" w:asciiTheme="majorHAnsi" w:hAnsiTheme="majorHAnsi" w:cstheme="majorHAnsi"/>
          <w:bCs/>
          <w:i/>
          <w:iCs/>
          <w:color w:val="000000"/>
          <w:lang w:eastAsia="ru-RU"/>
        </w:rPr>
        <w:t xml:space="preserve">Operating Results </w:t>
      </w:r>
      <w:r>
        <w:rPr>
          <w:rFonts w:eastAsia="Times New Roman" w:asciiTheme="majorHAnsi" w:hAnsiTheme="majorHAnsi" w:cstheme="majorHAnsi"/>
          <w:i/>
          <w:iCs/>
          <w:color w:val="000000"/>
          <w:lang w:eastAsia="ru-RU"/>
        </w:rPr>
        <w:t xml:space="preserve">— </w:t>
      </w:r>
      <w:r>
        <w:rPr>
          <w:rFonts w:eastAsia="Times New Roman" w:asciiTheme="majorHAnsi" w:hAnsiTheme="majorHAnsi" w:cstheme="majorHAnsi"/>
          <w:bCs/>
          <w:i/>
          <w:iCs/>
          <w:color w:val="000000"/>
          <w:lang w:eastAsia="ru-RU"/>
        </w:rPr>
        <w:t xml:space="preserve">Key Measures of Financial and Operational Performance </w:t>
      </w:r>
      <w:r>
        <w:rPr>
          <w:rFonts w:eastAsia="Times New Roman" w:asciiTheme="majorHAnsi" w:hAnsiTheme="majorHAnsi" w:cstheme="majorHAnsi"/>
          <w:i/>
          <w:iCs/>
          <w:color w:val="000000"/>
          <w:lang w:eastAsia="ru-RU"/>
        </w:rPr>
        <w:t>— Financial Measures</w:t>
      </w:r>
      <w:r>
        <w:rPr>
          <w:rFonts w:eastAsia="Times New Roman" w:asciiTheme="majorHAnsi" w:hAnsiTheme="majorHAnsi" w:cstheme="majorHAnsi"/>
          <w:color w:val="000000"/>
          <w:lang w:eastAsia="ru-RU"/>
        </w:rPr>
        <w:t xml:space="preserve">” </w:t>
      </w:r>
      <w:r>
        <w:rPr>
          <w:rFonts w:eastAsia="Times New Roman" w:asciiTheme="majorHAnsi" w:hAnsiTheme="majorHAnsi" w:cstheme="majorHAnsi"/>
          <w:lang w:eastAsia="ru-RU"/>
        </w:rPr>
        <w:t>for how we define and calculate Total Net Revenue, Adjusted EBITDA, and Adjusted Net Profit as non-IFRS financial measures and reconciliations of these measures to revenue, in the case of Total Net Revenue, and net profit, in the case of Adjusted EBITDA and Adjusted Net Profit.</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We present Total Net Revenue, Adjusted EBITDA and Adjusted Net Profit, each of which are non-IFRS financial measures. You should not consider these non-IFRS financial measures as substitutes for or superior to revenue, in the case of Total Net Revenue, or net profit, in the case of Adjusted EBITDA and Adjusted Net Profit, each prepared in accordance with IFRS. Furthermore, because these non-IFRS financial measures are not determined in accordance with IFRS, they are susceptible to varying calculations and may not be comparable to other similarly titled measures presented by other companies. We encourage investors and others to review our financial information in its entirety and not rely on a single financial measure.</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i/>
          <w:iCs/>
          <w:lang w:eastAsia="ru-RU"/>
        </w:rPr>
        <w:t>Total Net Revenue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Total Net Revenue is calculated by subtracting cost of revenue from revenue. Total Net Revenue is a key measure used by management to observe our operational profitability since it reflects our portion of the revenue net of fees that we pass through, primarily to our agents and other reload channels providers. In addition, under IFRS, most types of fees are presented on a gross basis whereas certain types of fees are presented on a net basis. Therefore, in order to analyze our two sources of payment processing fees on a comparative basis, management reviews Total Net Revenue.</w:t>
      </w:r>
    </w:p>
    <w:p w:rsidR="009534E2" w:rsidRDefault="003369EB">
      <w:pPr>
        <w:keepNext/>
        <w:keepLines/>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following table reconciles Total Net Revenue to revenue.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536"/>
        <w:gridCol w:w="160"/>
        <w:gridCol w:w="734"/>
        <w:gridCol w:w="160"/>
        <w:gridCol w:w="734"/>
        <w:gridCol w:w="160"/>
        <w:gridCol w:w="734"/>
        <w:gridCol w:w="160"/>
        <w:gridCol w:w="734"/>
        <w:gridCol w:w="160"/>
        <w:gridCol w:w="734"/>
        <w:gridCol w:w="160"/>
        <w:gridCol w:w="634"/>
      </w:tblGrid>
      <w:tr w:rsidR="009534E2">
        <w:trPr>
          <w:trHeight w:val="20" w:hRule="exact"/>
          <w:jc w:val="center"/>
        </w:trPr>
        <w:tc>
          <w:tcPr>
            <w:tcW w:w="2732"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aa163e3c_47bb_4cb5_8683_7cb75b92e20a" w:id="107"/>
            <w:bookmarkStart w:name="_624389e7_f20d_4510_b2d9_ac36b5df4cb9" w:colFirst="0" w:colLast="0" w:id="108"/>
            <w:bookmarkStart w:name="_daa3dafa_f2d7_43c9_ba29_337cda4a91a4" w:colFirst="1" w:colLast="1" w:id="109"/>
            <w:bookmarkStart w:name="_602d5ed8_a155_470f_85fb_9be1249955a4" w:colFirst="2" w:colLast="2" w:id="110"/>
            <w:bookmarkStart w:name="_be24673c_2540_4be4_a9f0_a9d41271933d" w:colFirst="3" w:colLast="3" w:id="111"/>
            <w:bookmarkStart w:name="_70a24439_a2a1_4a3d_96be_de774aa3ab02" w:colFirst="4" w:colLast="4" w:id="112"/>
            <w:bookmarkStart w:name="_20eb1d8a_efeb_48c2_b2dd_a5f10c6f978b" w:colFirst="5" w:colLast="5" w:id="113"/>
            <w:bookmarkStart w:name="_6e6c8e23_37f6_4b67_a89b_d972a4d1e7d0" w:colFirst="6" w:colLast="6" w:id="114"/>
            <w:bookmarkStart w:name="_be184776_f865_4d95_b00d_6748ad8c7d09" w:colFirst="7" w:colLast="7" w:id="115"/>
            <w:bookmarkStart w:name="_90050366_7acb_4296_9194_164e1099f2f4" w:colFirst="8" w:colLast="8" w:id="116"/>
            <w:bookmarkStart w:name="_2a7f643f_b198_4f9c_8210_2e0cbe9e9112" w:colFirst="9" w:colLast="9" w:id="117"/>
            <w:bookmarkStart w:name="_de615e4e_a9c3_4ad6_8bd0_8e015892c568" w:colFirst="10" w:colLast="10" w:id="118"/>
            <w:bookmarkStart w:name="_fabe1683_8d69_4e01_b291_e4e5f3d5b12c" w:colFirst="11" w:colLast="11" w:id="119"/>
            <w:bookmarkStart w:name="_925c7891_8ccb_4bda_9793_f92d4696515e" w:colFirst="12" w:colLast="12" w:id="120"/>
            <w:bookmarkStart w:name="_c6a330ac_5f64_4f1b_ad94_2c73ccc8926a" w:id="121"/>
            <w:bookmarkEnd w:id="107"/>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27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305e5253_eb71_4d69_8ee2_5d2a37bc6907" w:id="122"/>
            <w:bookmarkEnd w:id="108"/>
            <w:bookmarkEnd w:id="109"/>
            <w:bookmarkEnd w:id="110"/>
            <w:bookmarkEnd w:id="111"/>
            <w:bookmarkEnd w:id="112"/>
            <w:bookmarkEnd w:id="113"/>
            <w:bookmarkEnd w:id="114"/>
            <w:bookmarkEnd w:id="115"/>
            <w:bookmarkEnd w:id="116"/>
            <w:bookmarkEnd w:id="117"/>
            <w:bookmarkEnd w:id="118"/>
            <w:bookmarkEnd w:id="119"/>
            <w:bookmarkEnd w:id="120"/>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rPr>
            </w:pPr>
          </w:p>
        </w:tc>
        <w:tc>
          <w:tcPr>
            <w:tcW w:w="2181" w:type="pct"/>
            <w:gridSpan w:val="11"/>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Year ended December 31,</w:t>
            </w:r>
          </w:p>
        </w:tc>
      </w:tr>
      <w:tr w:rsidR="009534E2">
        <w:trPr>
          <w:jc w:val="center"/>
        </w:trPr>
        <w:tc>
          <w:tcPr>
            <w:tcW w:w="27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837421da_cd7c_42af_9ebe_e8fd11e6434f" w:id="123"/>
            <w:bookmarkEnd w:id="122"/>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2018</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2019</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rPr>
            </w:pPr>
          </w:p>
        </w:tc>
        <w:tc>
          <w:tcPr>
            <w:tcW w:w="669"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27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6b552d91_35f7_43e0_b3be_d37ff080a9b7" w:id="124"/>
            <w:bookmarkEnd w:id="123"/>
          </w:p>
        </w:tc>
        <w:tc>
          <w:tcPr>
            <w:tcW w:w="8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RUB</w:t>
            </w:r>
          </w:p>
        </w:tc>
        <w:tc>
          <w:tcPr>
            <w:tcW w:w="8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RUB</w:t>
            </w:r>
          </w:p>
        </w:tc>
        <w:tc>
          <w:tcPr>
            <w:tcW w:w="8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RUB</w:t>
            </w:r>
          </w:p>
        </w:tc>
        <w:tc>
          <w:tcPr>
            <w:tcW w:w="8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RUB</w:t>
            </w:r>
          </w:p>
        </w:tc>
        <w:tc>
          <w:tcPr>
            <w:tcW w:w="8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RUB</w:t>
            </w:r>
          </w:p>
        </w:tc>
        <w:tc>
          <w:tcPr>
            <w:tcW w:w="8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US $ (2)</w:t>
            </w:r>
          </w:p>
        </w:tc>
      </w:tr>
      <w:tr w:rsidR="009534E2">
        <w:trPr>
          <w:jc w:val="center"/>
        </w:trPr>
        <w:tc>
          <w:tcPr>
            <w:tcW w:w="27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15449f64_9017_45bb_9b27_1e47f5ddca93" w:id="125"/>
            <w:bookmarkEnd w:id="124"/>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rPr>
            </w:pPr>
          </w:p>
        </w:tc>
        <w:tc>
          <w:tcPr>
            <w:tcW w:w="2181" w:type="pct"/>
            <w:gridSpan w:val="11"/>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(in millions)</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33601f4d_ac37_4a40_bf18_8daf911d4c17" w:id="126"/>
            <w:bookmarkEnd w:id="125"/>
            <w:r>
              <w:rPr>
                <w:rFonts w:eastAsia="Times New Roman" w:asciiTheme="majorHAnsi" w:hAnsiTheme="majorHAnsi" w:cstheme="majorHAnsi"/>
                <w:color w:val="000000"/>
              </w:rPr>
              <w:t>Revenue from continuing operations</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29,593</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35,941</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40,622</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41,135</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51,502</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732.2</w:t>
            </w:r>
          </w:p>
        </w:tc>
      </w:tr>
      <w:tr w:rsidR="009534E2">
        <w:trPr>
          <w:jc w:val="center"/>
        </w:trPr>
        <w:tc>
          <w:tcPr>
            <w:tcW w:w="2732"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b68ebcfe_0cf1_455b_9260_0c8b8465be9d" w:id="127"/>
            <w:bookmarkEnd w:id="126"/>
            <w:r>
              <w:rPr>
                <w:rFonts w:eastAsia="Times New Roman" w:asciiTheme="majorHAnsi" w:hAnsiTheme="majorHAnsi" w:cstheme="majorHAnsi"/>
                <w:color w:val="000000"/>
              </w:rPr>
              <w:t>Minus: Cost of revenue from continuing operations (1)</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(10,332)</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(14,075)</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(16,494)</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(18,022)</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(17,365)</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(246.9)</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ed997f83_db75_4748_a3c0_d83c890218d5" w:id="128"/>
            <w:bookmarkEnd w:id="127"/>
            <w:r>
              <w:rPr>
                <w:rFonts w:eastAsia="Times New Roman" w:asciiTheme="majorHAnsi" w:hAnsiTheme="majorHAnsi" w:cstheme="majorHAnsi"/>
                <w:color w:val="000000"/>
              </w:rPr>
              <w:t>Revenue from discontinued operations</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1,017</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3,395</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2,614</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732"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6aaf7647_e0aa_41ee_a880_6e4033dda865" w:id="129"/>
            <w:bookmarkEnd w:id="128"/>
            <w:r>
              <w:rPr>
                <w:rFonts w:eastAsia="Times New Roman" w:asciiTheme="majorHAnsi" w:hAnsiTheme="majorHAnsi" w:cstheme="majorHAnsi"/>
                <w:color w:val="000000"/>
              </w:rPr>
              <w:t>Minus: Cost of revenue from discontinued operations (1)</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(621)</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(2,085)</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(764)</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16e6388c_71c9_4ff7_b864_4e3255f37d5b" w:id="130"/>
            <w:bookmarkEnd w:id="129"/>
            <w:r>
              <w:rPr>
                <w:rFonts w:eastAsia="Times New Roman" w:asciiTheme="majorHAnsi" w:hAnsiTheme="majorHAnsi" w:cstheme="majorHAnsi"/>
                <w:color w:val="000000"/>
              </w:rPr>
              <w:t>Total Net Revenue</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19,657</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23,176</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25,978</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23,113</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34,137</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485.3</w:t>
            </w:r>
          </w:p>
        </w:tc>
      </w:tr>
    </w:tbl>
    <w:bookmarkEnd w:id="121"/>
    <w:bookmarkEnd w:id="130"/>
    <w:p w:rsidR="009534E2" w:rsidRDefault="00EC0AE1">
      <w:pPr>
        <w:tabs>
          <w:tab w:val="left" w:pos="479"/>
        </w:tabs>
        <w:ind w:left="461" w:hanging="461"/>
        <w:rPr>
          <w:rFonts w:eastAsia="Times New Roman" w:asciiTheme="majorHAnsi" w:hAnsiTheme="majorHAnsi" w:cstheme="majorHAnsi"/>
          <w:u w:val="single"/>
        </w:rPr>
      </w:pPr>
      <w:r>
        <w:rPr>
          <w:rFonts w:eastAsia="Times New Roman" w:asciiTheme="majorHAnsi" w:hAnsiTheme="majorHAnsi" w:cstheme="majorHAnsi"/>
          <w:sz w:val="8"/>
          <w:szCs w:val="8"/>
          <w:lang w:eastAsia="ru-RU"/>
        </w:rPr>
        <w:pict w14:anchorId="32F332E1">
          <v:rect id="_x0000_i1032" style="width:129.25pt;height:1pt;mso-position-vertical:absolute" o:hr="t" o:hrstd="t" o:hrnoshade="t" o:hrpct="250" fillcolor="black" stroked="f"/>
        </w:pict>
      </w:r>
    </w:p>
    <w:p w:rsidR="009534E2" w:rsidRDefault="003369EB">
      <w:pPr>
        <w:tabs>
          <w:tab w:val="left" w:pos="479"/>
        </w:tabs>
        <w:spacing w:after="200"/>
        <w:ind w:left="461" w:hanging="461"/>
        <w:rPr>
          <w:rFonts w:eastAsia="Times New Roman" w:asciiTheme="majorHAnsi" w:hAnsiTheme="majorHAnsi" w:cstheme="majorHAnsi"/>
          <w:i/>
          <w:lang w:eastAsia="ru-RU"/>
        </w:rPr>
      </w:pPr>
      <w:r>
        <w:rPr>
          <w:rFonts w:eastAsia="Times New Roman" w:asciiTheme="majorHAnsi" w:hAnsiTheme="majorHAnsi" w:cstheme="majorHAnsi"/>
          <w:lang w:eastAsia="ru-RU"/>
        </w:rPr>
        <w:t>(1)</w:t>
      </w:r>
      <w:r>
        <w:rPr>
          <w:rFonts w:eastAsia="Times New Roman" w:asciiTheme="majorHAnsi" w:hAnsiTheme="majorHAnsi" w:cstheme="majorHAnsi"/>
          <w:lang w:val="ru-RU" w:eastAsia="ru-RU"/>
        </w:rPr>
        <w:tab/>
      </w:r>
      <w:r>
        <w:rPr>
          <w:rFonts w:eastAsia="Times New Roman" w:asciiTheme="majorHAnsi" w:hAnsiTheme="majorHAnsi" w:cstheme="majorHAnsi"/>
          <w:lang w:eastAsia="ru-RU"/>
        </w:rPr>
        <w:t xml:space="preserve">Historically, we viewed personnel expenses related to main personnel and compensation to employees related to administrative personnel as two separate items. Personnel expenses related to main personnel were disclosed within cost of revenue and personnel expenses related to administrative personnel were disclosed within selling, general, and administrative expenses. Starting full year 2019 reporting we present all personnel expenses as a single item in a Personnel expenses line. Personnel expenses for the years ended December 31, 2016 through 2018 were separated from cost of revenue and selling, general and administrative expenses and presented in a separate line for comparative purposes. See </w:t>
      </w:r>
      <w:r>
        <w:rPr>
          <w:rFonts w:eastAsia="Times New Roman" w:asciiTheme="majorHAnsi" w:hAnsiTheme="majorHAnsi" w:cstheme="majorHAnsi"/>
          <w:iCs/>
          <w:lang w:eastAsia="ru-RU"/>
        </w:rPr>
        <w:t>Item 5</w:t>
      </w:r>
      <w:r>
        <w:rPr>
          <w:rFonts w:eastAsia="Times New Roman" w:asciiTheme="majorHAnsi" w:hAnsiTheme="majorHAnsi" w:cstheme="majorHAnsi"/>
          <w:i/>
          <w:lang w:eastAsia="ru-RU"/>
        </w:rPr>
        <w:t xml:space="preserve"> “Operating and Financial Review and Prospects - Operating Costs and Expenses for details”.</w:t>
      </w:r>
    </w:p>
    <w:p w:rsidR="009534E2" w:rsidRDefault="009534E2">
      <w:pPr>
        <w:tabs>
          <w:tab w:val="left" w:pos="479"/>
        </w:tabs>
        <w:spacing w:after="200"/>
        <w:ind w:left="461" w:hanging="461"/>
        <w:rPr>
          <w:rFonts w:eastAsia="Times New Roman" w:asciiTheme="majorHAnsi" w:hAnsiTheme="majorHAnsi" w:cstheme="majorHAnsi"/>
        </w:rPr>
      </w:pP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i/>
          <w:iCs/>
          <w:lang w:eastAsia="ru-RU"/>
        </w:rPr>
        <w:t>Adjusted EBITDA</w:t>
      </w:r>
    </w:p>
    <w:p w:rsidR="009534E2" w:rsidRDefault="003369EB">
      <w:pPr>
        <w:keepLines/>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Adjusted EBITDA is defined as net profit before income tax expense, interest income and expenses and depreciation and amortization, as further adjusted for share of loss or gain of an associate and a joint venture, impairment of non-current assets, offering and related expenses, foreign exchange gain and loss, other income and expenses, loss on formation of associate, share-based payment expenses, gain on disposal of an associate, and loss from sale of Sovest loan portfolio. We present Adjusted EBITDA as a supplemental performance measure because we believe that it facilitates operating performance comparisons from period to period and company to company by backing out potential differences caused by variations in capital structures (affecting interest expenses, net), changes in foreign exchange rates that impact financial asset and liabilities denominated in currencies other than our functional currency (affecting foreign exchange (loss)/gain, net), tax positions (such as the impact on periods or companies of changes in effective tax rates), the age and book depreciation of fixed assets (affecting relative depreciation expense), non-cash charges (affecting share-based payments expenses and impairment of non-current assets), and certain one-time income and expenses (affecting other income, offering and related expenses, loss from sale of Sovest loan portfolio, gain on disposal of an associate, etc.). Adjusted EBITDA also excludes other expenses, share in losses of associates and impairment of investment in associates because we believe it is helpful to view the performance of our business excluding the impact of entities that we do not control, and because our share of the net income (loss) of the associate and other expenses includes items that have been excluded from Adjusted EBITDA (such as finance expenses, net, tax on income and depreciation and amortization). Because Adjusted EBITDA facilitates internal comparisons of operating performance on a more consistent basis, we also use Adjusted EBITDA in measuring our performance relative to that of our competitors.</w:t>
      </w:r>
    </w:p>
    <w:p w:rsidR="009534E2" w:rsidRDefault="003369EB">
      <w:pPr>
        <w:keepNext/>
        <w:keepLines/>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Some limitations of Adjusted EBITDA are:</w:t>
      </w:r>
    </w:p>
    <w:p w:rsidR="009534E2" w:rsidRDefault="003369EB">
      <w:pPr>
        <w:spacing w:after="200"/>
        <w:ind w:left="821" w:hanging="360"/>
        <w:rPr>
          <w:rFonts w:eastAsia="Times New Roman" w:asciiTheme="majorHAnsi" w:hAnsiTheme="majorHAnsi" w:cstheme="majorHAnsi"/>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Adjusted EBITDA does not include offering and related expenses;</w:t>
      </w:r>
    </w:p>
    <w:p w:rsidR="009534E2" w:rsidRDefault="003369EB">
      <w:pPr>
        <w:spacing w:after="200"/>
        <w:ind w:left="821" w:hanging="360"/>
        <w:rPr>
          <w:rFonts w:eastAsia="Times New Roman" w:asciiTheme="majorHAnsi" w:hAnsiTheme="majorHAnsi" w:cstheme="majorHAnsi"/>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Adjusted EBITDA does not include loss from sale of the Sovest loan portfolio;</w:t>
      </w:r>
    </w:p>
    <w:p w:rsidR="009534E2" w:rsidRDefault="003369EB">
      <w:pPr>
        <w:spacing w:after="200"/>
        <w:ind w:left="821" w:hanging="360"/>
        <w:rPr>
          <w:rFonts w:eastAsia="Times New Roman" w:asciiTheme="majorHAnsi" w:hAnsiTheme="majorHAnsi" w:cstheme="majorHAnsi"/>
          <w:sz w:val="24"/>
          <w:szCs w:val="24"/>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Adjusted EBITDA does not reflect income tax payments that may represent a reduction in cash available to us;</w:t>
      </w:r>
    </w:p>
    <w:p w:rsidR="009534E2" w:rsidRDefault="003369EB">
      <w:pPr>
        <w:spacing w:after="200"/>
        <w:ind w:left="821" w:hanging="360"/>
        <w:rPr>
          <w:rFonts w:eastAsia="Times New Roman" w:asciiTheme="majorHAnsi" w:hAnsiTheme="majorHAnsi" w:cstheme="majorHAnsi"/>
          <w:sz w:val="24"/>
          <w:szCs w:val="24"/>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Adjusted EBITDA does not include other income, other expense and foreign exchange gains and losses;</w:t>
      </w:r>
    </w:p>
    <w:p w:rsidR="009534E2" w:rsidRDefault="003369EB">
      <w:pPr>
        <w:spacing w:after="200"/>
        <w:ind w:left="821" w:hanging="360"/>
        <w:rPr>
          <w:rFonts w:eastAsia="Times New Roman" w:asciiTheme="majorHAnsi" w:hAnsiTheme="majorHAnsi" w:cstheme="majorHAnsi"/>
          <w:sz w:val="24"/>
          <w:szCs w:val="24"/>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Adjusted EBITDA excludes depreciation and amortization and although these are non-cash charges, the assets being depreciated and amortized may have to be replaced in the future; and</w:t>
      </w:r>
    </w:p>
    <w:p w:rsidR="009534E2" w:rsidRDefault="003369EB">
      <w:pPr>
        <w:spacing w:after="200"/>
        <w:ind w:left="821" w:hanging="360"/>
        <w:rPr>
          <w:rFonts w:eastAsia="Times New Roman" w:asciiTheme="majorHAnsi" w:hAnsiTheme="majorHAnsi" w:cstheme="majorHAnsi"/>
          <w:sz w:val="24"/>
          <w:szCs w:val="24"/>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Adjusted EBITDA does not include share-based payments.</w:t>
      </w:r>
    </w:p>
    <w:p w:rsidR="009534E2" w:rsidRDefault="003369EB">
      <w:pPr>
        <w:keepNext/>
        <w:keepLines/>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following table reconciles Adjusted EBITDA to net profit.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792"/>
        <w:gridCol w:w="200"/>
        <w:gridCol w:w="634"/>
        <w:gridCol w:w="200"/>
        <w:gridCol w:w="634"/>
        <w:gridCol w:w="200"/>
        <w:gridCol w:w="660"/>
        <w:gridCol w:w="200"/>
        <w:gridCol w:w="660"/>
        <w:gridCol w:w="200"/>
        <w:gridCol w:w="660"/>
        <w:gridCol w:w="200"/>
        <w:gridCol w:w="560"/>
      </w:tblGrid>
      <w:tr w:rsidR="009534E2">
        <w:trPr>
          <w:trHeight w:val="20" w:hRule="exact"/>
          <w:jc w:val="center"/>
        </w:trPr>
        <w:tc>
          <w:tcPr>
            <w:tcW w:w="2732"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5fcc97ec_468e_4069_9477_acffc3afc400" w:id="131"/>
            <w:bookmarkStart w:name="_562660ae_fe31_413c_9fc8_62a64a0e61ee" w:colFirst="0" w:colLast="0" w:id="132"/>
            <w:bookmarkStart w:name="_1cfe483e_993a_4e3a_bca1_8db6abe80295" w:colFirst="1" w:colLast="1" w:id="133"/>
            <w:bookmarkStart w:name="_fee24554_2c53_48c6_b35e_61bad5970b95" w:colFirst="2" w:colLast="2" w:id="134"/>
            <w:bookmarkStart w:name="_76d82145_c84e_4159_9d75_6ebad59ae25a" w:colFirst="3" w:colLast="3" w:id="135"/>
            <w:bookmarkStart w:name="_0ed24dda_058d_46ef_b2f1_bd6a6cd9a542" w:colFirst="4" w:colLast="4" w:id="136"/>
            <w:bookmarkStart w:name="_01248b34_72aa_4da0_8a8b_6d05b3b575f9" w:colFirst="5" w:colLast="5" w:id="137"/>
            <w:bookmarkStart w:name="_852e0816_4b23_4d01_a023_41a686919327" w:colFirst="6" w:colLast="6" w:id="138"/>
            <w:bookmarkStart w:name="_d8d62d46_35fc_4ec5_84df_b978114d56d9" w:colFirst="7" w:colLast="7" w:id="139"/>
            <w:bookmarkStart w:name="_8aa72545_3629_406d_a3c0_02c61dc901ef" w:colFirst="8" w:colLast="8" w:id="140"/>
            <w:bookmarkStart w:name="_b9bb827a_b0e5_430d_ad54_8ec83d41e209" w:colFirst="9" w:colLast="9" w:id="141"/>
            <w:bookmarkStart w:name="_b8feff37_e7ed_4e93_b170_49ca80a90243" w:colFirst="10" w:colLast="10" w:id="142"/>
            <w:bookmarkStart w:name="_cb82dbc3_8a35_439f_8b87_f3d5703358d7" w:colFirst="11" w:colLast="11" w:id="143"/>
            <w:bookmarkStart w:name="_9dbb4891_916c_4493_8812_8169571345e0" w:colFirst="12" w:colLast="12" w:id="144"/>
            <w:bookmarkStart w:name="_50225f45_8aee_4049_8b42_74edba130dd4" w:id="145"/>
            <w:bookmarkEnd w:id="131"/>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27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a63e6854_8507_46a4_bdae_31e7c6607b34" w:id="146"/>
            <w:bookmarkEnd w:id="132"/>
            <w:bookmarkEnd w:id="133"/>
            <w:bookmarkEnd w:id="134"/>
            <w:bookmarkEnd w:id="135"/>
            <w:bookmarkEnd w:id="136"/>
            <w:bookmarkEnd w:id="137"/>
            <w:bookmarkEnd w:id="138"/>
            <w:bookmarkEnd w:id="139"/>
            <w:bookmarkEnd w:id="140"/>
            <w:bookmarkEnd w:id="141"/>
            <w:bookmarkEnd w:id="142"/>
            <w:bookmarkEnd w:id="143"/>
            <w:bookmarkEnd w:id="144"/>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181" w:type="pct"/>
            <w:gridSpan w:val="11"/>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Year ended December 31,</w:t>
            </w:r>
          </w:p>
        </w:tc>
      </w:tr>
      <w:tr w:rsidR="009534E2">
        <w:trPr>
          <w:jc w:val="center"/>
        </w:trPr>
        <w:tc>
          <w:tcPr>
            <w:tcW w:w="27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ed0427a4_0088_4581_b0c4_3afd2578451c" w:id="147"/>
            <w:bookmarkEnd w:id="146"/>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2018</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2019</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669"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27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d3fb7d3c_cfb4_496d_aa22_7c5109566361" w:id="148"/>
            <w:bookmarkEnd w:id="147"/>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RUB</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RUB</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RUB</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RUB</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RUB</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US $</w:t>
            </w:r>
          </w:p>
        </w:tc>
      </w:tr>
      <w:tr w:rsidR="009534E2">
        <w:trPr>
          <w:jc w:val="center"/>
        </w:trPr>
        <w:tc>
          <w:tcPr>
            <w:tcW w:w="27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add12c6b_e019_4000_8508_f7fec9232fcf" w:id="149"/>
            <w:bookmarkEnd w:id="148"/>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181" w:type="pct"/>
            <w:gridSpan w:val="11"/>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(in millions)</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dbf02b34_2b17_4aa9_92cc_4b6dc1855592" w:id="150"/>
            <w:bookmarkEnd w:id="149"/>
            <w:r>
              <w:rPr>
                <w:rFonts w:eastAsia="Times New Roman" w:asciiTheme="majorHAnsi" w:hAnsiTheme="majorHAnsi" w:cstheme="majorHAnsi"/>
                <w:b/>
                <w:color w:val="000000"/>
              </w:rPr>
              <w:t>Net profit from continuing operations</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7,181</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9,441</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11,246</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17,536</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13,755</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195.6</w:t>
            </w:r>
          </w:p>
        </w:tc>
      </w:tr>
      <w:tr w:rsidR="009534E2">
        <w:trPr>
          <w:jc w:val="center"/>
        </w:trPr>
        <w:tc>
          <w:tcPr>
            <w:tcW w:w="2732" w:type="pct"/>
            <w:tcBorders>
              <w:top w:val="nil"/>
              <w:left w:val="nil"/>
              <w:bottom w:val="nil"/>
              <w:right w:val="nil"/>
              <w:tl2br w:val="nil"/>
              <w:tr2bl w:val="nil"/>
            </w:tcBorders>
            <w:vAlign w:val="bottom"/>
          </w:tcPr>
          <w:p w:rsidR="009534E2" w:rsidRDefault="003369EB">
            <w:pPr>
              <w:keepNext/>
              <w:rPr>
                <w:rFonts w:asciiTheme="majorHAnsi" w:hAnsiTheme="majorHAnsi" w:cstheme="majorHAnsi"/>
                <w:b/>
                <w:color w:val="000000"/>
              </w:rPr>
            </w:pPr>
            <w:bookmarkStart w:name="_e1e5701e_d981_4895_b0f3_e5f8e93f396b" w:id="151"/>
            <w:bookmarkEnd w:id="150"/>
            <w:r>
              <w:rPr>
                <w:rFonts w:eastAsia="Times New Roman" w:asciiTheme="majorHAnsi" w:hAnsiTheme="majorHAnsi" w:cstheme="majorHAnsi"/>
                <w:b/>
                <w:color w:val="000000"/>
              </w:rPr>
              <w:t>Net loss from discontinued operations</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(3,555)</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(4,554)</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(2,308)</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2513d1e4_169f_4c58_948b_f39ea844c716" w:id="152"/>
            <w:bookmarkEnd w:id="151"/>
            <w:r>
              <w:rPr>
                <w:rFonts w:eastAsia="Times New Roman" w:asciiTheme="majorHAnsi" w:hAnsiTheme="majorHAnsi" w:cstheme="majorHAnsi"/>
                <w:color w:val="000000"/>
              </w:rPr>
              <w:t>adjusted for:</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r>
      <w:tr w:rsidR="009534E2">
        <w:trPr>
          <w:jc w:val="center"/>
        </w:trPr>
        <w:tc>
          <w:tcPr>
            <w:tcW w:w="2732"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dedf0ddd_d8d1_4285_826d_75fc9c5e5923" w:id="153"/>
            <w:bookmarkEnd w:id="152"/>
            <w:r>
              <w:rPr>
                <w:rFonts w:eastAsia="Times New Roman" w:asciiTheme="majorHAnsi" w:hAnsiTheme="majorHAnsi" w:cstheme="majorHAnsi"/>
                <w:color w:val="000000"/>
              </w:rPr>
              <w:t>Depreciation and amortization (1)</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864</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1,324</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1,266</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1,130</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1,085</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15.4</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c5127a58_0f34_48b5_a476_6c29e78b29ff" w:id="154"/>
            <w:bookmarkEnd w:id="153"/>
            <w:r>
              <w:rPr>
                <w:rFonts w:eastAsia="Times New Roman" w:asciiTheme="majorHAnsi" w:hAnsiTheme="majorHAnsi" w:cstheme="majorHAnsi"/>
                <w:color w:val="000000"/>
              </w:rPr>
              <w:t>Other income and expenses, net (1)</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181</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91</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95</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(65)</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(227)</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(3.2)</w:t>
            </w:r>
          </w:p>
        </w:tc>
      </w:tr>
      <w:tr w:rsidR="009534E2">
        <w:trPr>
          <w:jc w:val="center"/>
        </w:trPr>
        <w:tc>
          <w:tcPr>
            <w:tcW w:w="2732"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2e2b1523_10bc_4fb6_ad3f_b261281e4395" w:id="155"/>
            <w:bookmarkEnd w:id="154"/>
            <w:r>
              <w:rPr>
                <w:rFonts w:eastAsia="Times New Roman" w:asciiTheme="majorHAnsi" w:hAnsiTheme="majorHAnsi" w:cstheme="majorHAnsi"/>
                <w:color w:val="000000"/>
              </w:rPr>
              <w:t>Foreign exchange loss/(gain), net (1), (2)</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(262)</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172</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224</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29</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650</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9.2</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600d7bea_cd3d_4939_a7b0_deffd37bdddc" w:id="156"/>
            <w:bookmarkEnd w:id="155"/>
            <w:r>
              <w:rPr>
                <w:rFonts w:eastAsia="Times New Roman" w:asciiTheme="majorHAnsi" w:hAnsiTheme="majorHAnsi" w:cstheme="majorHAnsi"/>
                <w:color w:val="000000"/>
              </w:rPr>
              <w:t>Gain on disposal of an associate (3)</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(8,177)</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732"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27eecaf5_fe81_4636_b003_d8a5b692280d" w:id="157"/>
            <w:bookmarkEnd w:id="156"/>
            <w:r>
              <w:rPr>
                <w:rFonts w:eastAsia="Times New Roman" w:asciiTheme="majorHAnsi" w:hAnsiTheme="majorHAnsi" w:cstheme="majorHAnsi"/>
                <w:color w:val="000000"/>
              </w:rPr>
              <w:t>Share of loss / (gain) of an associate and a joint venture (1)</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46</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(258)</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(663)</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(306)</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39</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0.6</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cc5defd9_d5b0_4dc1_a69a_97b87d865166" w:id="158"/>
            <w:bookmarkEnd w:id="157"/>
            <w:r>
              <w:rPr>
                <w:rFonts w:eastAsia="Times New Roman" w:asciiTheme="majorHAnsi" w:hAnsiTheme="majorHAnsi" w:cstheme="majorHAnsi"/>
                <w:color w:val="000000"/>
              </w:rPr>
              <w:t>Impairment of non-current assets (1)</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792</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134</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24</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47</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0.7</w:t>
            </w:r>
          </w:p>
        </w:tc>
      </w:tr>
      <w:tr w:rsidR="009534E2">
        <w:trPr>
          <w:jc w:val="center"/>
        </w:trPr>
        <w:tc>
          <w:tcPr>
            <w:tcW w:w="2732"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93da0732_7cfa_4b4f_85b4_18aa3a092747" w:id="159"/>
            <w:bookmarkEnd w:id="158"/>
            <w:r>
              <w:rPr>
                <w:rFonts w:eastAsia="Times New Roman" w:asciiTheme="majorHAnsi" w:hAnsiTheme="majorHAnsi" w:cstheme="majorHAnsi"/>
                <w:color w:val="000000"/>
              </w:rPr>
              <w:t>Interest income and expenses, net (1)</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(17)</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56</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99</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(92)</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(58)</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(0.8)</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d53df2b0_6089_40ad_85ae_4b3802133b35" w:id="160"/>
            <w:bookmarkEnd w:id="159"/>
            <w:r>
              <w:rPr>
                <w:rFonts w:eastAsia="Times New Roman" w:asciiTheme="majorHAnsi" w:hAnsiTheme="majorHAnsi" w:cstheme="majorHAnsi"/>
                <w:color w:val="000000"/>
              </w:rPr>
              <w:t>Income tax expenses (1)</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875</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1,492</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2,918</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3,080</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4,429</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63.0</w:t>
            </w:r>
          </w:p>
        </w:tc>
      </w:tr>
      <w:tr w:rsidR="009534E2">
        <w:trPr>
          <w:jc w:val="center"/>
        </w:trPr>
        <w:tc>
          <w:tcPr>
            <w:tcW w:w="2732"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ba0df6e0_9d5a_4e99_b503_3d50f93e4876" w:id="161"/>
            <w:bookmarkEnd w:id="160"/>
            <w:r>
              <w:rPr>
                <w:rFonts w:eastAsia="Times New Roman" w:asciiTheme="majorHAnsi" w:hAnsiTheme="majorHAnsi" w:cstheme="majorHAnsi"/>
                <w:color w:val="000000"/>
              </w:rPr>
              <w:t>Loss from sale of Sovest loan portfolio</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712</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9e55d14e_b562_4f86_9ba7_ae7d2d88c261" w:id="162"/>
            <w:bookmarkEnd w:id="161"/>
            <w:r>
              <w:rPr>
                <w:rFonts w:eastAsia="Times New Roman" w:asciiTheme="majorHAnsi" w:hAnsiTheme="majorHAnsi" w:cstheme="majorHAnsi"/>
                <w:color w:val="000000"/>
              </w:rPr>
              <w:t>Offering expenses</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79</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71</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732"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b5cf5a08_d5d2_44bb_a987_2c04b6fced5b" w:id="163"/>
            <w:bookmarkEnd w:id="162"/>
            <w:r>
              <w:rPr>
                <w:rFonts w:eastAsia="Times New Roman" w:asciiTheme="majorHAnsi" w:hAnsiTheme="majorHAnsi" w:cstheme="majorHAnsi"/>
                <w:color w:val="000000"/>
              </w:rPr>
              <w:t>Share-based payment expenses</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635</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464</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43</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59</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0.8</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d61fc73b_9556_43a8_b590_c6f1a35b9666" w:id="164"/>
            <w:bookmarkEnd w:id="163"/>
            <w:r>
              <w:rPr>
                <w:rFonts w:eastAsia="Times New Roman" w:asciiTheme="majorHAnsi" w:hAnsiTheme="majorHAnsi" w:cstheme="majorHAnsi"/>
                <w:color w:val="000000"/>
              </w:rPr>
              <w:t>Adjusted EBITDA</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5,948</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9,099</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13,837</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13,167</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19,779</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281.2</w:t>
            </w:r>
          </w:p>
        </w:tc>
      </w:tr>
    </w:tbl>
    <w:bookmarkEnd w:id="145"/>
    <w:bookmarkEnd w:id="164"/>
    <w:p w:rsidR="009534E2" w:rsidRDefault="00EC0AE1">
      <w:pPr>
        <w:tabs>
          <w:tab w:val="left" w:pos="479"/>
        </w:tabs>
        <w:ind w:left="461" w:hanging="461"/>
        <w:rPr>
          <w:rFonts w:eastAsia="Times New Roman" w:asciiTheme="majorHAnsi" w:hAnsiTheme="majorHAnsi" w:cstheme="majorHAnsi"/>
          <w:u w:val="single"/>
        </w:rPr>
      </w:pPr>
      <w:r>
        <w:rPr>
          <w:rFonts w:eastAsia="Times New Roman" w:asciiTheme="majorHAnsi" w:hAnsiTheme="majorHAnsi" w:cstheme="majorHAnsi"/>
          <w:sz w:val="8"/>
          <w:szCs w:val="8"/>
          <w:lang w:eastAsia="ru-RU"/>
        </w:rPr>
        <w:pict w14:anchorId="36F3BAC1">
          <v:rect id="_x0000_i1033" style="width:129.25pt;height:1pt;mso-position-vertical:absolute" o:hr="t" o:hrstd="t" o:hrnoshade="t" o:hrpct="250" fillcolor="black" stroked="f"/>
        </w:pict>
      </w:r>
    </w:p>
    <w:p w:rsidR="009534E2" w:rsidRDefault="003369EB">
      <w:pPr>
        <w:tabs>
          <w:tab w:val="left" w:pos="479"/>
        </w:tabs>
        <w:ind w:left="461" w:hanging="461"/>
        <w:rPr>
          <w:rFonts w:eastAsia="Times New Roman" w:asciiTheme="majorHAnsi" w:hAnsiTheme="majorHAnsi" w:cstheme="majorHAnsi"/>
        </w:rPr>
      </w:pPr>
      <w:r>
        <w:rPr>
          <w:rFonts w:eastAsia="Times New Roman" w:asciiTheme="majorHAnsi" w:hAnsiTheme="majorHAnsi" w:cstheme="majorHAnsi"/>
          <w:lang w:val="ru-RU" w:eastAsia="ru-RU"/>
        </w:rPr>
        <w:t>(1)</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lang w:eastAsia="ru-RU"/>
        </w:rPr>
        <w:t>Numbers include continuing and discontinued operations results and therefore do not correspond to the Consolidated Statement of Comprehensive Income Data.</w:t>
      </w:r>
    </w:p>
    <w:p w:rsidR="009534E2" w:rsidRDefault="003369EB">
      <w:pPr>
        <w:tabs>
          <w:tab w:val="left" w:pos="479"/>
        </w:tabs>
        <w:ind w:left="461" w:hanging="461"/>
        <w:rPr>
          <w:rFonts w:eastAsia="Times New Roman" w:asciiTheme="majorHAnsi" w:hAnsiTheme="majorHAnsi" w:cstheme="majorHAnsi"/>
        </w:rPr>
      </w:pPr>
      <w:r>
        <w:rPr>
          <w:rFonts w:eastAsia="Times New Roman" w:asciiTheme="majorHAnsi" w:hAnsiTheme="majorHAnsi" w:cstheme="majorHAnsi"/>
          <w:lang w:eastAsia="ru-RU"/>
        </w:rPr>
        <w:t>(2)</w:t>
      </w:r>
      <w:r>
        <w:rPr>
          <w:rFonts w:eastAsia="Times New Roman" w:asciiTheme="majorHAnsi" w:hAnsiTheme="majorHAnsi" w:cstheme="majorHAnsi"/>
          <w:lang w:eastAsia="ru-RU"/>
        </w:rPr>
        <w:tab/>
        <w:t>Starting December 31, 2020, we present foreign exchange gain and foreign exchange loss on a netted basis. This change in presentation was implemented to make our financial statements comparable with industry peers.</w:t>
      </w:r>
    </w:p>
    <w:p w:rsidR="009534E2" w:rsidRDefault="003369EB">
      <w:pPr>
        <w:tabs>
          <w:tab w:val="left" w:pos="479"/>
        </w:tabs>
        <w:spacing w:after="200"/>
        <w:ind w:left="461" w:hanging="461"/>
        <w:rPr>
          <w:rFonts w:eastAsia="Times New Roman" w:asciiTheme="majorHAnsi" w:hAnsiTheme="majorHAnsi" w:cstheme="majorHAnsi"/>
        </w:rPr>
      </w:pPr>
      <w:r>
        <w:rPr>
          <w:rFonts w:eastAsia="Times New Roman" w:asciiTheme="majorHAnsi" w:hAnsiTheme="majorHAnsi" w:cstheme="majorHAnsi"/>
          <w:lang w:eastAsia="ru-RU"/>
        </w:rPr>
        <w:t>(</w:t>
      </w:r>
      <w:r>
        <w:rPr>
          <w:rFonts w:eastAsia="Times New Roman" w:asciiTheme="majorHAnsi" w:hAnsiTheme="majorHAnsi" w:cstheme="majorHAnsi"/>
          <w:lang w:val="ru-RU" w:eastAsia="ru-RU"/>
        </w:rPr>
        <w:t>3</w:t>
      </w:r>
      <w:r>
        <w:rPr>
          <w:rFonts w:eastAsia="Times New Roman" w:asciiTheme="majorHAnsi" w:hAnsiTheme="majorHAnsi" w:cstheme="majorHAnsi"/>
          <w:lang w:eastAsia="ru-RU"/>
        </w:rPr>
        <w:t>)</w:t>
      </w:r>
      <w:r>
        <w:rPr>
          <w:rFonts w:eastAsia="Times New Roman" w:asciiTheme="majorHAnsi" w:hAnsiTheme="majorHAnsi" w:cstheme="majorHAnsi"/>
          <w:lang w:eastAsia="ru-RU"/>
        </w:rPr>
        <w:tab/>
        <w:t>During third quarter 2021, the Group has completed the sale of its stake in its Tochka equity associate</w:t>
      </w:r>
      <w:r>
        <w:rPr>
          <w:rFonts w:eastAsia="Times New Roman" w:asciiTheme="majorHAnsi" w:hAnsiTheme="majorHAnsi" w:cstheme="majorHAnsi"/>
          <w:i/>
          <w:lang w:eastAsia="ru-RU"/>
        </w:rPr>
        <w:t>.</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i/>
          <w:iCs/>
          <w:lang w:eastAsia="ru-RU"/>
        </w:rPr>
        <w:t>Adjusted Net Profit</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Adjusted Net Profit is defined as net profit excluding fair value adjustments recorded on business combinations and their amortization, share-based payments, foreign exchange loss/(gain) from revaluation of cash proceeds, impairment of non-current assets, loss from disposals of subsidiaries, offering and related expenses, loss from sale of Sovest loan portfolio, gain on disposal of an associate, and the effects of taxation on those excluded items. Adjusted Net Profit is a key measure used by management to observe the operational profitability of the company. We believe Adjusted Net Profit is useful to an investor in evaluating our operating performance because it measures a company’s operating performance without the effect of non-recurring items or items that are not core to our operations. For example, loss from disposals of subsidiaries, gain on disposal of an associate and the effects of deferred taxation on excluded items do not represent the core operations of the business, and fair value adjustments recorded on business combinations and their amortization, impairment of non-current assets and share-based payments expenses do not have a substantial cash effect. Nevertheless, such gains and losses can affect our financial performance. For the periods presented in this Annual Report Adjusted Net Profit is equal to Total Segment Net Profit.</w:t>
      </w:r>
    </w:p>
    <w:p w:rsidR="009534E2" w:rsidRDefault="003369EB">
      <w:pPr>
        <w:keepNext/>
        <w:keepLines/>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following table reconciles Adjusted Net Profit to net profit.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887"/>
        <w:gridCol w:w="174"/>
        <w:gridCol w:w="634"/>
        <w:gridCol w:w="175"/>
        <w:gridCol w:w="634"/>
        <w:gridCol w:w="175"/>
        <w:gridCol w:w="660"/>
        <w:gridCol w:w="175"/>
        <w:gridCol w:w="660"/>
        <w:gridCol w:w="175"/>
        <w:gridCol w:w="660"/>
        <w:gridCol w:w="175"/>
        <w:gridCol w:w="616"/>
      </w:tblGrid>
      <w:tr w:rsidR="009534E2">
        <w:trPr>
          <w:trHeight w:val="20" w:hRule="exact"/>
          <w:jc w:val="center"/>
        </w:trPr>
        <w:tc>
          <w:tcPr>
            <w:tcW w:w="2732"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f7f83207_db02_45e5_8112_dbc028287e49" w:id="165"/>
            <w:bookmarkStart w:name="_793c9f9f_6f91_4144_8d61_3977e6df392a" w:colFirst="0" w:colLast="0" w:id="166"/>
            <w:bookmarkStart w:name="_a5c1fde2_1d79_4355_ab77_0cb6d7a36011" w:colFirst="1" w:colLast="1" w:id="167"/>
            <w:bookmarkStart w:name="_6baf638a_c65f_40c4_bd6f_4a0fa7ccc518" w:colFirst="2" w:colLast="2" w:id="168"/>
            <w:bookmarkStart w:name="_5fb63bfb_2a00_462a_b34f_fbd9646acb21" w:colFirst="3" w:colLast="3" w:id="169"/>
            <w:bookmarkStart w:name="_868096b2_cadf_4089_a2fd_38e486fa1c4b" w:colFirst="4" w:colLast="4" w:id="170"/>
            <w:bookmarkStart w:name="_e5f4ac65_49d1_4a15_81c6_4803b906f250" w:colFirst="5" w:colLast="5" w:id="171"/>
            <w:bookmarkStart w:name="_a9fcfd32_6b95_424b_8083_a795bace7310" w:colFirst="6" w:colLast="6" w:id="172"/>
            <w:bookmarkStart w:name="_55923eb1_5fa4_46d9_b79d_bdea23db65ef" w:colFirst="7" w:colLast="7" w:id="173"/>
            <w:bookmarkStart w:name="_f21380fe_9f34_4885_9c69_08dd8a725ca7" w:colFirst="8" w:colLast="8" w:id="174"/>
            <w:bookmarkStart w:name="_5405de86_8882_4e92_b2d1_5970ade9d9a6" w:colFirst="9" w:colLast="9" w:id="175"/>
            <w:bookmarkStart w:name="_ca98385f_75ef_4d40_8891_f7cf8e074581" w:colFirst="10" w:colLast="10" w:id="176"/>
            <w:bookmarkStart w:name="_8a3708f9_74da_48a1_8591_7f3bc6b95a79" w:colFirst="11" w:colLast="11" w:id="177"/>
            <w:bookmarkStart w:name="_9d914109_5d9f_48c7_96c7_74e89e4ddc62" w:colFirst="12" w:colLast="12" w:id="178"/>
            <w:bookmarkStart w:name="_2ce97db2_bac2_4172_b078_e4c44db6a9c4" w:id="179"/>
            <w:bookmarkEnd w:id="165"/>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9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27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99f98e4f_c4af_4477_a792_19871a30558b" w:id="180"/>
            <w:bookmarkEnd w:id="166"/>
            <w:bookmarkEnd w:id="167"/>
            <w:bookmarkEnd w:id="168"/>
            <w:bookmarkEnd w:id="169"/>
            <w:bookmarkEnd w:id="170"/>
            <w:bookmarkEnd w:id="171"/>
            <w:bookmarkEnd w:id="172"/>
            <w:bookmarkEnd w:id="173"/>
            <w:bookmarkEnd w:id="174"/>
            <w:bookmarkEnd w:id="175"/>
            <w:bookmarkEnd w:id="176"/>
            <w:bookmarkEnd w:id="177"/>
            <w:bookmarkEnd w:id="178"/>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181" w:type="pct"/>
            <w:gridSpan w:val="11"/>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Year ended December 31,</w:t>
            </w:r>
          </w:p>
        </w:tc>
      </w:tr>
      <w:tr w:rsidR="009534E2">
        <w:trPr>
          <w:jc w:val="center"/>
        </w:trPr>
        <w:tc>
          <w:tcPr>
            <w:tcW w:w="27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2cecbb5f_901f_40a4_9e6a_518c98f20feb" w:id="181"/>
            <w:bookmarkEnd w:id="180"/>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2018</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2019</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669"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27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bc02c0e1_de6b_4af9_840a_ab7aae8d5eea" w:id="182"/>
            <w:bookmarkEnd w:id="181"/>
          </w:p>
        </w:tc>
        <w:tc>
          <w:tcPr>
            <w:tcW w:w="8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RUB</w:t>
            </w:r>
          </w:p>
        </w:tc>
        <w:tc>
          <w:tcPr>
            <w:tcW w:w="8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RUB</w:t>
            </w:r>
          </w:p>
        </w:tc>
        <w:tc>
          <w:tcPr>
            <w:tcW w:w="8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RUB</w:t>
            </w:r>
          </w:p>
        </w:tc>
        <w:tc>
          <w:tcPr>
            <w:tcW w:w="8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RUB</w:t>
            </w:r>
          </w:p>
        </w:tc>
        <w:tc>
          <w:tcPr>
            <w:tcW w:w="8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RUB</w:t>
            </w:r>
          </w:p>
        </w:tc>
        <w:tc>
          <w:tcPr>
            <w:tcW w:w="8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29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US $</w:t>
            </w:r>
          </w:p>
        </w:tc>
      </w:tr>
      <w:tr w:rsidR="009534E2">
        <w:trPr>
          <w:jc w:val="center"/>
        </w:trPr>
        <w:tc>
          <w:tcPr>
            <w:tcW w:w="27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fb45547c_1b58_40b9_bf95_3b0b7f4452a5" w:id="183"/>
            <w:bookmarkEnd w:id="182"/>
          </w:p>
        </w:tc>
        <w:tc>
          <w:tcPr>
            <w:tcW w:w="8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181" w:type="pct"/>
            <w:gridSpan w:val="11"/>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(in millions)</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35241b4d_f4e6_4c72_ac80_e6f66585e13f" w:id="184"/>
            <w:bookmarkEnd w:id="183"/>
            <w:r>
              <w:rPr>
                <w:rFonts w:eastAsia="Times New Roman" w:asciiTheme="majorHAnsi" w:hAnsiTheme="majorHAnsi" w:cstheme="majorHAnsi"/>
                <w:b/>
                <w:color w:val="000000"/>
              </w:rPr>
              <w:t>Net profit from continuing operations</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7,181</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9,441</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11,246</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17,536</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13,755</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195.6</w:t>
            </w:r>
          </w:p>
        </w:tc>
      </w:tr>
      <w:tr w:rsidR="009534E2">
        <w:trPr>
          <w:jc w:val="center"/>
        </w:trPr>
        <w:tc>
          <w:tcPr>
            <w:tcW w:w="2732" w:type="pct"/>
            <w:tcBorders>
              <w:top w:val="nil"/>
              <w:left w:val="nil"/>
              <w:bottom w:val="nil"/>
              <w:right w:val="nil"/>
              <w:tl2br w:val="nil"/>
              <w:tr2bl w:val="nil"/>
            </w:tcBorders>
            <w:vAlign w:val="bottom"/>
          </w:tcPr>
          <w:p w:rsidR="009534E2" w:rsidRDefault="003369EB">
            <w:pPr>
              <w:keepNext/>
              <w:rPr>
                <w:rFonts w:asciiTheme="majorHAnsi" w:hAnsiTheme="majorHAnsi" w:cstheme="majorHAnsi"/>
                <w:b/>
                <w:color w:val="000000"/>
              </w:rPr>
            </w:pPr>
            <w:bookmarkStart w:name="_25225a2a_5459_493c_b83f_8de2c55afc59" w:id="185"/>
            <w:bookmarkEnd w:id="184"/>
            <w:r>
              <w:rPr>
                <w:rFonts w:eastAsia="Times New Roman" w:asciiTheme="majorHAnsi" w:hAnsiTheme="majorHAnsi" w:cstheme="majorHAnsi"/>
                <w:b/>
                <w:color w:val="000000"/>
              </w:rPr>
              <w:t>Net loss from discontinued operations</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(3,555)</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(4,554)</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(2,308)</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9cbb11cd_2e63_4a63_8613_0a2f2b49d141" w:id="186"/>
            <w:bookmarkEnd w:id="185"/>
            <w:r>
              <w:rPr>
                <w:rFonts w:eastAsia="Times New Roman" w:asciiTheme="majorHAnsi" w:hAnsiTheme="majorHAnsi" w:cstheme="majorHAnsi"/>
                <w:color w:val="000000"/>
              </w:rPr>
              <w:t>adjusted for:</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r>
      <w:tr w:rsidR="009534E2">
        <w:trPr>
          <w:jc w:val="center"/>
        </w:trPr>
        <w:tc>
          <w:tcPr>
            <w:tcW w:w="2732"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34fb84f3_9908_40c6_a03a_e067ebcd36c7" w:id="187"/>
            <w:bookmarkEnd w:id="186"/>
            <w:r>
              <w:rPr>
                <w:rFonts w:eastAsia="Times New Roman" w:asciiTheme="majorHAnsi" w:hAnsiTheme="majorHAnsi" w:cstheme="majorHAnsi"/>
                <w:color w:val="000000"/>
              </w:rPr>
              <w:t>Fair value adjustments recorded on business combinations and their amortization</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369</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479</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337</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241</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219</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3.1</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122cf16b_15bc_4376_a889_d89244cb8599" w:id="188"/>
            <w:bookmarkEnd w:id="187"/>
            <w:r>
              <w:rPr>
                <w:rFonts w:eastAsia="Times New Roman" w:asciiTheme="majorHAnsi" w:hAnsiTheme="majorHAnsi" w:cstheme="majorHAnsi"/>
                <w:color w:val="000000"/>
              </w:rPr>
              <w:t>Share-based payments</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635</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464</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43</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59</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0.8</w:t>
            </w:r>
          </w:p>
        </w:tc>
      </w:tr>
      <w:tr w:rsidR="009534E2">
        <w:trPr>
          <w:jc w:val="center"/>
        </w:trPr>
        <w:tc>
          <w:tcPr>
            <w:tcW w:w="2732"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033dab6c_27c7_4dd5_b258_0e797928b3d9" w:id="189"/>
            <w:bookmarkEnd w:id="188"/>
            <w:r>
              <w:rPr>
                <w:rFonts w:eastAsia="Times New Roman" w:asciiTheme="majorHAnsi" w:hAnsiTheme="majorHAnsi" w:cstheme="majorHAnsi"/>
                <w:color w:val="000000"/>
              </w:rPr>
              <w:t>Foreign exchange loss/(gain) from revaluation of cash proceeds (1)</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(433)</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130</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f244119c_9eee_45d9_a3da_4503704b32bb" w:id="190"/>
            <w:bookmarkEnd w:id="189"/>
            <w:r>
              <w:rPr>
                <w:rFonts w:eastAsia="Times New Roman" w:asciiTheme="majorHAnsi" w:hAnsiTheme="majorHAnsi" w:cstheme="majorHAnsi"/>
                <w:color w:val="000000"/>
              </w:rPr>
              <w:t>Impairment of non-current assets</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792</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134</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24</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47</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0.7</w:t>
            </w:r>
          </w:p>
        </w:tc>
      </w:tr>
      <w:tr w:rsidR="009534E2">
        <w:trPr>
          <w:jc w:val="center"/>
        </w:trPr>
        <w:tc>
          <w:tcPr>
            <w:tcW w:w="2732"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7d04ac91_a597_43af_8a91_8c3ef51aab0f" w:id="191"/>
            <w:bookmarkEnd w:id="190"/>
            <w:r>
              <w:rPr>
                <w:rFonts w:eastAsia="Times New Roman" w:asciiTheme="majorHAnsi" w:hAnsiTheme="majorHAnsi" w:cstheme="majorHAnsi"/>
                <w:color w:val="000000"/>
              </w:rPr>
              <w:t>Loss on disposals of subsidiaries</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42</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a7aa853c_92d6_4aba_a000_1dcdd0b1fa36" w:id="192"/>
            <w:bookmarkEnd w:id="191"/>
            <w:r>
              <w:rPr>
                <w:rFonts w:eastAsia="Times New Roman" w:asciiTheme="majorHAnsi" w:hAnsiTheme="majorHAnsi" w:cstheme="majorHAnsi"/>
                <w:color w:val="000000"/>
              </w:rPr>
              <w:t>Gain on disposal of an associate (2)</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(8,177)</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732"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978e8fe3_991f_4a02_92d6_0afa5ec1bc2f" w:id="193"/>
            <w:bookmarkEnd w:id="192"/>
            <w:r>
              <w:rPr>
                <w:rFonts w:eastAsia="Times New Roman" w:asciiTheme="majorHAnsi" w:hAnsiTheme="majorHAnsi" w:cstheme="majorHAnsi"/>
                <w:color w:val="000000"/>
              </w:rPr>
              <w:t>Offering expenses</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79</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71</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79b924f3_29a6_4b6a_a8a2_f6e0ef101186" w:id="194"/>
            <w:bookmarkEnd w:id="193"/>
            <w:r>
              <w:rPr>
                <w:rFonts w:eastAsia="Times New Roman" w:asciiTheme="majorHAnsi" w:hAnsiTheme="majorHAnsi" w:cstheme="majorHAnsi"/>
                <w:color w:val="000000"/>
              </w:rPr>
              <w:t>Loss from sale of Sovest loan portfolio</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712</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732"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0a6414a5_8160_4543_8b3d_256f24d54881" w:id="195"/>
            <w:bookmarkEnd w:id="194"/>
            <w:r>
              <w:rPr>
                <w:rFonts w:eastAsia="Times New Roman" w:asciiTheme="majorHAnsi" w:hAnsiTheme="majorHAnsi" w:cstheme="majorHAnsi"/>
                <w:color w:val="000000"/>
              </w:rPr>
              <w:t>Effect of taxation of the above items</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(60)</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(152)</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27</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(38)</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(84)</w:t>
            </w:r>
          </w:p>
        </w:tc>
        <w:tc>
          <w:tcPr>
            <w:tcW w:w="8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(1.2)</w:t>
            </w:r>
          </w:p>
        </w:tc>
      </w:tr>
      <w:tr w:rsidR="009534E2">
        <w:trPr>
          <w:jc w:val="center"/>
        </w:trPr>
        <w:tc>
          <w:tcPr>
            <w:tcW w:w="27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f93e66e1_4eaa_4116_b8c4_6043750c3ae8" w:id="196"/>
            <w:bookmarkEnd w:id="195"/>
            <w:r>
              <w:rPr>
                <w:rFonts w:eastAsia="Times New Roman" w:asciiTheme="majorHAnsi" w:hAnsiTheme="majorHAnsi" w:cstheme="majorHAnsi"/>
                <w:color w:val="000000"/>
              </w:rPr>
              <w:t>Adjusted Net Profit</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4,137</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6,679</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10,304</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9,594</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13,996</w:t>
            </w:r>
          </w:p>
        </w:tc>
        <w:tc>
          <w:tcPr>
            <w:tcW w:w="8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9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199.0</w:t>
            </w:r>
          </w:p>
        </w:tc>
      </w:tr>
    </w:tbl>
    <w:bookmarkEnd w:id="179"/>
    <w:bookmarkEnd w:id="196"/>
    <w:p w:rsidR="009534E2" w:rsidRDefault="00EC0AE1">
      <w:pPr>
        <w:tabs>
          <w:tab w:val="left" w:pos="479"/>
        </w:tabs>
        <w:ind w:left="461" w:hanging="461"/>
        <w:rPr>
          <w:rFonts w:eastAsia="Times New Roman" w:asciiTheme="majorHAnsi" w:hAnsiTheme="majorHAnsi" w:cstheme="majorHAnsi"/>
          <w:u w:val="single"/>
        </w:rPr>
      </w:pPr>
      <w:r>
        <w:rPr>
          <w:rFonts w:eastAsia="Times New Roman" w:asciiTheme="majorHAnsi" w:hAnsiTheme="majorHAnsi" w:cstheme="majorHAnsi"/>
          <w:sz w:val="8"/>
          <w:szCs w:val="8"/>
          <w:lang w:eastAsia="ru-RU"/>
        </w:rPr>
        <w:pict w14:anchorId="3F504FDC">
          <v:rect id="_x0000_i1034" style="width:129.25pt;height:1pt;mso-position-vertical:absolute" o:hr="t" o:hrstd="t" o:hrnoshade="t" o:hrpct="250" fillcolor="black" stroked="f"/>
        </w:pict>
      </w:r>
    </w:p>
    <w:p w:rsidR="009534E2" w:rsidRDefault="003369EB">
      <w:pPr>
        <w:tabs>
          <w:tab w:val="left" w:pos="479"/>
        </w:tabs>
        <w:ind w:left="461" w:hanging="461"/>
        <w:rPr>
          <w:rFonts w:eastAsia="Times New Roman" w:asciiTheme="majorHAnsi" w:hAnsiTheme="majorHAnsi" w:cstheme="majorHAnsi"/>
          <w:sz w:val="24"/>
          <w:szCs w:val="24"/>
        </w:rPr>
      </w:pPr>
      <w:r>
        <w:rPr>
          <w:rFonts w:eastAsia="Times New Roman" w:asciiTheme="majorHAnsi" w:hAnsiTheme="majorHAnsi" w:cstheme="majorHAnsi"/>
          <w:lang w:val="ru-RU" w:eastAsia="ru-RU"/>
        </w:rPr>
        <w:t>(1)</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lang w:eastAsia="ru-RU"/>
        </w:rPr>
        <w:t>Foreign exchange gain on June 2014 offering proceeds, as presented in the reconciliation of net profit to adjusted net profit differs from the foreign exchange loss/(gain) in the reconciliation of net profit to Adjusted EBITDA as the latter includes all the foreign exchange losses/(gains) for the period, while the former relates solely to foreign currency changes resulting from the funds received in connection with our offering of ADSs in June 2014.</w:t>
      </w:r>
    </w:p>
    <w:p w:rsidR="009534E2" w:rsidRDefault="003369EB">
      <w:pPr>
        <w:tabs>
          <w:tab w:val="left" w:pos="479"/>
        </w:tabs>
        <w:spacing w:after="200"/>
        <w:ind w:left="461" w:hanging="461"/>
        <w:rPr>
          <w:rFonts w:eastAsia="Times New Roman" w:asciiTheme="majorHAnsi" w:hAnsiTheme="majorHAnsi" w:cstheme="majorHAnsi"/>
        </w:rPr>
      </w:pPr>
      <w:r>
        <w:rPr>
          <w:rFonts w:eastAsia="Times New Roman" w:asciiTheme="majorHAnsi" w:hAnsiTheme="majorHAnsi" w:cstheme="majorHAnsi"/>
          <w:lang w:eastAsia="ru-RU"/>
        </w:rPr>
        <w:t>(</w:t>
      </w:r>
      <w:r>
        <w:rPr>
          <w:rFonts w:eastAsia="Times New Roman" w:asciiTheme="majorHAnsi" w:hAnsiTheme="majorHAnsi" w:cstheme="majorHAnsi"/>
          <w:lang w:val="ru-RU" w:eastAsia="ru-RU"/>
        </w:rPr>
        <w:t>2</w:t>
      </w:r>
      <w:r>
        <w:rPr>
          <w:rFonts w:eastAsia="Times New Roman" w:asciiTheme="majorHAnsi" w:hAnsiTheme="majorHAnsi" w:cstheme="majorHAnsi"/>
          <w:lang w:eastAsia="ru-RU"/>
        </w:rPr>
        <w:t>)</w:t>
      </w:r>
      <w:r>
        <w:rPr>
          <w:rFonts w:eastAsia="Times New Roman" w:asciiTheme="majorHAnsi" w:hAnsiTheme="majorHAnsi" w:cstheme="majorHAnsi"/>
          <w:lang w:val="ru-RU" w:eastAsia="ru-RU"/>
        </w:rPr>
        <w:tab/>
      </w:r>
      <w:r>
        <w:rPr>
          <w:rFonts w:eastAsia="Times New Roman" w:asciiTheme="majorHAnsi" w:hAnsiTheme="majorHAnsi" w:cstheme="majorHAnsi"/>
          <w:lang w:eastAsia="ru-RU"/>
        </w:rPr>
        <w:t>During third quarter 2021, the Group has completed the sale of its stake in its Tochka equity associate.</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Operating Measures</w:t>
      </w:r>
    </w:p>
    <w:p w:rsidR="009534E2" w:rsidRDefault="003369EB">
      <w:pPr>
        <w:keepNext/>
        <w:keepLines/>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following table presents our key operating measures for the year ended December 31, 2020, 2021 and 2022.</w:t>
      </w:r>
    </w:p>
    <w:tbl>
      <w:tblPr>
        <w:tblW w:w="4500" w:type="pct"/>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129"/>
        <w:gridCol w:w="160"/>
        <w:gridCol w:w="910"/>
        <w:gridCol w:w="267"/>
        <w:gridCol w:w="910"/>
        <w:gridCol w:w="267"/>
        <w:gridCol w:w="910"/>
        <w:gridCol w:w="167"/>
      </w:tblGrid>
      <w:tr w:rsidR="009534E2">
        <w:trPr>
          <w:trHeight w:val="20" w:hRule="exact"/>
        </w:trPr>
        <w:tc>
          <w:tcPr>
            <w:tcW w:w="3279"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5eef23b5_e504_4445_8cde_5580cc8ce24a" w:id="197"/>
            <w:bookmarkStart w:name="_e7cb9a7f_7f6c_4808_b797_cb415bb20c33" w:colFirst="0" w:colLast="0" w:id="198"/>
            <w:bookmarkStart w:name="_01e4824f_1176_462d_b6e5_b4a8c6d05014" w:colFirst="1" w:colLast="1" w:id="199"/>
            <w:bookmarkStart w:name="_928109a5_641c_47d8_be5b_373a595c237b" w:colFirst="2" w:colLast="2" w:id="200"/>
            <w:bookmarkStart w:name="_8864e3fc_74cb_4763_bf6d_5ce2e90a13c5" w:colFirst="3" w:colLast="3" w:id="201"/>
            <w:bookmarkStart w:name="_38608a7c_cb0a_49f9_8940_c37138b05f09" w:colFirst="4" w:colLast="4" w:id="202"/>
            <w:bookmarkStart w:name="_db6e98a7_79c3_490b_9cb7_5598bab18aad" w:colFirst="5" w:colLast="5" w:id="203"/>
            <w:bookmarkStart w:name="_95959274_8155_4096_8667_d2236d570b51" w:colFirst="6" w:colLast="6" w:id="204"/>
            <w:bookmarkStart w:name="_87333cc5_f5a8_4ccc_8b50_973b548e8afe" w:colFirst="7" w:colLast="7" w:id="205"/>
            <w:bookmarkStart w:name="_ff1064eb_d1fd_46ba_a664_0016497e4dc7" w:id="206"/>
            <w:bookmarkEnd w:id="197"/>
          </w:p>
        </w:tc>
        <w:tc>
          <w:tcPr>
            <w:tcW w:w="10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4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4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4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66"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c>
          <w:tcPr>
            <w:tcW w:w="3279"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53560548_3764_4d76_b274_7b82e54cc719" w:id="207"/>
            <w:bookmarkEnd w:id="198"/>
            <w:bookmarkEnd w:id="199"/>
            <w:bookmarkEnd w:id="200"/>
            <w:bookmarkEnd w:id="201"/>
            <w:bookmarkEnd w:id="202"/>
            <w:bookmarkEnd w:id="203"/>
            <w:bookmarkEnd w:id="204"/>
            <w:bookmarkEnd w:id="205"/>
          </w:p>
        </w:tc>
        <w:tc>
          <w:tcPr>
            <w:tcW w:w="104"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rPr>
            </w:pPr>
          </w:p>
        </w:tc>
        <w:tc>
          <w:tcPr>
            <w:tcW w:w="1552" w:type="pct"/>
            <w:gridSpan w:val="5"/>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Year ended December 31,</w:t>
            </w:r>
          </w:p>
        </w:tc>
        <w:tc>
          <w:tcPr>
            <w:tcW w:w="66"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r>
      <w:tr w:rsidR="009534E2">
        <w:tc>
          <w:tcPr>
            <w:tcW w:w="3279"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e51c25de_556c_40e3_b244_bbfaeb53b053" w:id="208"/>
            <w:bookmarkEnd w:id="207"/>
          </w:p>
        </w:tc>
        <w:tc>
          <w:tcPr>
            <w:tcW w:w="10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8"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0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8"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0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8"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c>
          <w:tcPr>
            <w:tcW w:w="66"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r>
      <w:tr w:rsidR="009534E2">
        <w:tc>
          <w:tcPr>
            <w:tcW w:w="3279"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154e41a8_b970_4e2c_9a84_404dfdd19607" w:id="209"/>
            <w:bookmarkEnd w:id="208"/>
          </w:p>
        </w:tc>
        <w:tc>
          <w:tcPr>
            <w:tcW w:w="104"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rPr>
            </w:pPr>
          </w:p>
        </w:tc>
        <w:tc>
          <w:tcPr>
            <w:tcW w:w="1552" w:type="pct"/>
            <w:gridSpan w:val="5"/>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 unless otherwise indicated)</w:t>
            </w:r>
          </w:p>
        </w:tc>
        <w:tc>
          <w:tcPr>
            <w:tcW w:w="66"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r>
      <w:tr w:rsidR="009534E2">
        <w:tc>
          <w:tcPr>
            <w:tcW w:w="3279"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fdc4784e_ec27_4f6d_8cc4_344249d89cb0" w:id="210"/>
            <w:bookmarkEnd w:id="209"/>
            <w:r>
              <w:rPr>
                <w:rFonts w:eastAsia="Times New Roman" w:asciiTheme="majorHAnsi" w:hAnsiTheme="majorHAnsi" w:cstheme="majorHAnsi"/>
                <w:color w:val="000000"/>
              </w:rPr>
              <w:t>Payment Services Segment Payment Volume</w:t>
            </w:r>
          </w:p>
        </w:tc>
        <w:tc>
          <w:tcPr>
            <w:tcW w:w="10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1,616,799</w:t>
            </w:r>
          </w:p>
        </w:tc>
        <w:tc>
          <w:tcPr>
            <w:tcW w:w="10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1,735,414</w:t>
            </w:r>
          </w:p>
        </w:tc>
        <w:tc>
          <w:tcPr>
            <w:tcW w:w="10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1,874,836</w:t>
            </w:r>
          </w:p>
        </w:tc>
        <w:tc>
          <w:tcPr>
            <w:tcW w:w="66"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r>
      <w:tr w:rsidR="009534E2">
        <w:tc>
          <w:tcPr>
            <w:tcW w:w="3279"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17239247_5d66_42ab_8f0b_2dea8a016209" w:id="211"/>
            <w:bookmarkEnd w:id="210"/>
            <w:r>
              <w:rPr>
                <w:rFonts w:eastAsia="Times New Roman" w:asciiTheme="majorHAnsi" w:hAnsiTheme="majorHAnsi" w:cstheme="majorHAnsi"/>
                <w:color w:val="000000"/>
              </w:rPr>
              <w:t>Active QIWI Wallet accounts (at period end, in millions) (1)</w:t>
            </w:r>
          </w:p>
        </w:tc>
        <w:tc>
          <w:tcPr>
            <w:tcW w:w="10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14.5</w:t>
            </w:r>
          </w:p>
        </w:tc>
        <w:tc>
          <w:tcPr>
            <w:tcW w:w="10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12.1</w:t>
            </w:r>
          </w:p>
        </w:tc>
        <w:tc>
          <w:tcPr>
            <w:tcW w:w="10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13.8</w:t>
            </w:r>
          </w:p>
        </w:tc>
        <w:tc>
          <w:tcPr>
            <w:tcW w:w="66"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r>
      <w:tr w:rsidR="009534E2">
        <w:tc>
          <w:tcPr>
            <w:tcW w:w="3279"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8609fbe1_0408_4a1a_870d_5de7e3ffa354" w:id="212"/>
            <w:bookmarkEnd w:id="211"/>
            <w:r>
              <w:rPr>
                <w:rFonts w:eastAsia="Times New Roman" w:asciiTheme="majorHAnsi" w:hAnsiTheme="majorHAnsi" w:cstheme="majorHAnsi"/>
                <w:color w:val="000000"/>
              </w:rPr>
              <w:t>Active kiosks and terminals (units) (2)</w:t>
            </w:r>
          </w:p>
        </w:tc>
        <w:tc>
          <w:tcPr>
            <w:tcW w:w="10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113,713</w:t>
            </w:r>
          </w:p>
        </w:tc>
        <w:tc>
          <w:tcPr>
            <w:tcW w:w="10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93,244</w:t>
            </w:r>
          </w:p>
        </w:tc>
        <w:tc>
          <w:tcPr>
            <w:tcW w:w="10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74,093</w:t>
            </w:r>
          </w:p>
        </w:tc>
        <w:tc>
          <w:tcPr>
            <w:tcW w:w="66"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r>
      <w:tr w:rsidR="009534E2">
        <w:tc>
          <w:tcPr>
            <w:tcW w:w="3279"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174ad5a9_673e_40e3_8ebe_8f0437320e51" w:id="213"/>
            <w:bookmarkEnd w:id="212"/>
            <w:r>
              <w:rPr>
                <w:rFonts w:eastAsia="Times New Roman" w:asciiTheme="majorHAnsi" w:hAnsiTheme="majorHAnsi" w:cstheme="majorHAnsi"/>
                <w:color w:val="000000"/>
              </w:rPr>
              <w:t>Payment Services Segment Net Revenue Yield (3)</w:t>
            </w:r>
          </w:p>
        </w:tc>
        <w:tc>
          <w:tcPr>
            <w:tcW w:w="10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1.40</w:t>
            </w:r>
          </w:p>
        </w:tc>
        <w:tc>
          <w:tcPr>
            <w:tcW w:w="10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1.22</w:t>
            </w:r>
          </w:p>
        </w:tc>
        <w:tc>
          <w:tcPr>
            <w:tcW w:w="10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1.61</w:t>
            </w:r>
          </w:p>
        </w:tc>
        <w:tc>
          <w:tcPr>
            <w:tcW w:w="66"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w:t>
            </w:r>
          </w:p>
        </w:tc>
      </w:tr>
    </w:tbl>
    <w:bookmarkEnd w:id="206"/>
    <w:bookmarkEnd w:id="213"/>
    <w:p w:rsidR="009534E2" w:rsidRDefault="00EC0AE1">
      <w:pPr>
        <w:tabs>
          <w:tab w:val="left" w:pos="479"/>
        </w:tabs>
        <w:ind w:left="461" w:hanging="461"/>
        <w:rPr>
          <w:rFonts w:eastAsia="Times New Roman" w:asciiTheme="majorHAnsi" w:hAnsiTheme="majorHAnsi" w:cstheme="majorHAnsi"/>
          <w:u w:val="single"/>
        </w:rPr>
      </w:pPr>
      <w:r>
        <w:rPr>
          <w:rFonts w:eastAsia="Times New Roman" w:asciiTheme="majorHAnsi" w:hAnsiTheme="majorHAnsi" w:cstheme="majorHAnsi"/>
          <w:sz w:val="8"/>
          <w:szCs w:val="8"/>
          <w:lang w:eastAsia="ru-RU"/>
        </w:rPr>
        <w:pict w14:anchorId="07148B49">
          <v:rect id="_x0000_i1035" style="width:129.25pt;height:1pt;mso-position-vertical:absolute" o:hr="t" o:hrstd="t" o:hrnoshade="t" o:hrpct="250" fillcolor="black" stroked="f"/>
        </w:pict>
      </w:r>
    </w:p>
    <w:p w:rsidR="009534E2" w:rsidRDefault="003369EB">
      <w:pPr>
        <w:tabs>
          <w:tab w:val="left" w:pos="479"/>
        </w:tabs>
        <w:ind w:left="461" w:hanging="461"/>
        <w:rPr>
          <w:rFonts w:eastAsia="Times New Roman" w:asciiTheme="majorHAnsi" w:hAnsiTheme="majorHAnsi" w:cstheme="majorHAnsi"/>
          <w:sz w:val="24"/>
          <w:szCs w:val="24"/>
        </w:rPr>
      </w:pPr>
      <w:r>
        <w:rPr>
          <w:rFonts w:eastAsia="Times New Roman" w:asciiTheme="majorHAnsi" w:hAnsiTheme="majorHAnsi" w:cstheme="majorHAnsi"/>
          <w:lang w:val="ru-RU" w:eastAsia="ru-RU"/>
        </w:rPr>
        <w:t>(1)</w:t>
      </w:r>
      <w:r>
        <w:rPr>
          <w:rFonts w:eastAsia="Times New Roman" w:asciiTheme="majorHAnsi" w:hAnsiTheme="majorHAnsi" w:cstheme="majorHAnsi"/>
          <w:lang w:val="ru-RU" w:eastAsia="ru-RU"/>
        </w:rPr>
        <w:tab/>
      </w:r>
      <w:r>
        <w:rPr>
          <w:rFonts w:eastAsia="Times New Roman" w:asciiTheme="majorHAnsi" w:hAnsiTheme="majorHAnsi" w:cstheme="majorHAnsi"/>
          <w:lang w:eastAsia="ru-RU"/>
        </w:rPr>
        <w:t>Number of active QIWI Wallet accounts is defined as the number of wallets through which at least one payment has been made or that have been loaded or reloaded in the 12 months preceding the end of the relevant reporting period, excluding wallets opened for technical purposes.</w:t>
      </w:r>
    </w:p>
    <w:p w:rsidR="009534E2" w:rsidRDefault="003369EB">
      <w:pPr>
        <w:tabs>
          <w:tab w:val="left" w:pos="479"/>
        </w:tabs>
        <w:ind w:left="461" w:hanging="461"/>
        <w:rPr>
          <w:rFonts w:eastAsia="Times New Roman" w:asciiTheme="majorHAnsi" w:hAnsiTheme="majorHAnsi" w:cstheme="majorHAnsi"/>
          <w:sz w:val="24"/>
          <w:szCs w:val="24"/>
        </w:rPr>
      </w:pPr>
      <w:r>
        <w:rPr>
          <w:rFonts w:eastAsia="Times New Roman" w:asciiTheme="majorHAnsi" w:hAnsiTheme="majorHAnsi" w:cstheme="majorHAnsi"/>
          <w:lang w:val="ru-RU" w:eastAsia="ru-RU"/>
        </w:rPr>
        <w:t>(2)</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lang w:eastAsia="ru-RU"/>
        </w:rPr>
        <w:t>We measure the numbers of our kiosks and terminals on a daily basis, with only those kiosks and terminals being taken into calculation through which at least one payment has been processed during the day, which we refer to as active kiosks and terminals. The period end numbers of our kiosks and terminals are calculated as an average of the number of active kiosks and terminals for the last 30 days of the respective reporting period.</w:t>
      </w:r>
    </w:p>
    <w:p w:rsidR="009534E2" w:rsidRDefault="003369EB">
      <w:pPr>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lang w:val="ru-RU" w:eastAsia="ru-RU"/>
        </w:rPr>
        <w:t>(3)</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lang w:eastAsia="ru-RU"/>
        </w:rPr>
        <w:t>Payment Services segment net revenue yield is defined as Payment Services segment net revenue divided by Payment Services segment payment volume.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i/>
          <w:iCs/>
          <w:lang w:eastAsia="ru-RU"/>
        </w:rPr>
        <w:t xml:space="preserve">Payment volume. </w:t>
      </w:r>
      <w:r>
        <w:rPr>
          <w:rFonts w:eastAsia="Times New Roman" w:asciiTheme="majorHAnsi" w:hAnsiTheme="majorHAnsi" w:cstheme="majorHAnsi"/>
          <w:lang w:eastAsia="ru-RU"/>
        </w:rPr>
        <w:t>Payment Services segment payment volume provides a measure of the overall size and growth of the business, and increasing our payment volumes is essential to growing our profitability. Payment Services segment payment volumes have increased by 8.0% in 2022 as compared to 2021, reaching RUB 1,875 billion predominantly due to higher number of operations via our CONTACT money remittance payment system, onboarding of new merchants and aggregators, increase of payment volume using QIWI Wallet for numerous types of services, and growing payment volume from our product offering for self-employed and peer-to-peer operations. Payment Services segment payment volumes have increased by 7.3% in 2021 as compared to 2020, reaching RUB 1,735 billion for the year ended December 31, 2021 due to the growth of volumes via our CONTACT money remittance payment system, development of payment solutions for merchants including betting merchants, new contracts and new projects targeting the self-employed market, and growth of peer-to-peer operations.</w:t>
      </w:r>
    </w:p>
    <w:p w:rsidR="009534E2" w:rsidRDefault="003369EB">
      <w:pPr>
        <w:keepNext/>
        <w:spacing w:after="200"/>
        <w:ind w:firstLine="461"/>
        <w:rPr>
          <w:rFonts w:eastAsia="Times New Roman" w:asciiTheme="majorHAnsi" w:hAnsiTheme="majorHAnsi" w:cstheme="majorHAnsi"/>
        </w:rPr>
      </w:pPr>
      <w:r>
        <w:rPr>
          <w:rFonts w:eastAsia="Times New Roman" w:asciiTheme="majorHAnsi" w:hAnsiTheme="majorHAnsi" w:cstheme="majorHAnsi"/>
        </w:rPr>
        <w:t>The following factors may have a significant impact on the payment volumes and therefore our revenue and profits:</w:t>
      </w:r>
    </w:p>
    <w:p w:rsidR="009534E2" w:rsidRDefault="003369EB">
      <w:pPr>
        <w:pStyle w:val="ListParagraph"/>
        <w:numPr>
          <w:ilvl w:val="0"/>
          <w:numId w:val="43"/>
        </w:numPr>
        <w:tabs>
          <w:tab w:val="left" w:pos="1621"/>
          <w:tab w:val="left" w:pos="1869"/>
          <w:tab w:val="left" w:pos="2003"/>
        </w:tabs>
        <w:spacing w:after="200"/>
        <w:ind w:left="1080"/>
        <w:rPr>
          <w:rFonts w:eastAsia="Times New Roman" w:asciiTheme="majorHAnsi" w:hAnsiTheme="majorHAnsi" w:cstheme="majorHAnsi"/>
          <w:sz w:val="14"/>
          <w:szCs w:val="24"/>
        </w:rPr>
      </w:pPr>
      <w:r>
        <w:rPr>
          <w:rFonts w:eastAsia="Times New Roman" w:asciiTheme="majorHAnsi" w:hAnsiTheme="majorHAnsi" w:cstheme="majorHAnsi"/>
          <w:i/>
          <w:iCs/>
          <w:lang w:eastAsia="ru-RU"/>
        </w:rPr>
        <w:t>Russian economy</w:t>
      </w:r>
      <w:r>
        <w:rPr>
          <w:rFonts w:eastAsia="Times New Roman" w:asciiTheme="majorHAnsi" w:hAnsiTheme="majorHAnsi" w:cstheme="majorHAnsi"/>
          <w:lang w:eastAsia="ru-RU"/>
        </w:rPr>
        <w:t>. We carry out our operations primarily in Russia. Macroeconomic conditions in Russia significantly impact the volume of payments made by our consumers. During periods of economic growth, overall consumer spending tends to increase along with rises in wealth, and during economic downturns, consumer spending tends to correspondingly decline, although some of the market we service tend to show counter cyclical trends.</w:t>
      </w:r>
    </w:p>
    <w:p w:rsidR="009534E2" w:rsidRDefault="003369EB">
      <w:pPr>
        <w:pStyle w:val="ListParagraph"/>
        <w:numPr>
          <w:ilvl w:val="0"/>
          <w:numId w:val="43"/>
        </w:numPr>
        <w:tabs>
          <w:tab w:val="left" w:pos="1621"/>
          <w:tab w:val="left" w:pos="1869"/>
          <w:tab w:val="left" w:pos="2003"/>
        </w:tabs>
        <w:spacing w:after="200"/>
        <w:ind w:left="1080"/>
        <w:rPr>
          <w:rFonts w:eastAsia="Times New Roman" w:asciiTheme="majorHAnsi" w:hAnsiTheme="majorHAnsi" w:cstheme="majorHAnsi"/>
          <w:iCs/>
        </w:rPr>
      </w:pPr>
      <w:r>
        <w:rPr>
          <w:rFonts w:eastAsia="Times New Roman" w:asciiTheme="majorHAnsi" w:hAnsiTheme="majorHAnsi" w:cstheme="majorHAnsi"/>
          <w:i/>
          <w:iCs/>
          <w:lang w:eastAsia="ru-RU"/>
        </w:rPr>
        <w:t xml:space="preserve">Regulatory changes. </w:t>
      </w:r>
      <w:r>
        <w:rPr>
          <w:rFonts w:eastAsia="Times New Roman" w:asciiTheme="majorHAnsi" w:hAnsiTheme="majorHAnsi" w:cstheme="majorHAnsi"/>
          <w:lang w:eastAsia="ru-RU"/>
        </w:rPr>
        <w:t>Our business is impacted by laws and regulations that affect our industry, the number of which has increased significantly in the recent years. We are subject to a variety of regulations aimed at preventing money laundering and financing criminal activity and terrorism, financial services regulations, payment services regulations, consumer protection laws, currency control regulations, advertising laws, betting laws and privacy and data protection laws, and experience periodic investigations by various regulatory authorities in connection with the same, which may sometimes result in monetary or other sanctions being imposed on us. In September 2021, the Central Bank of Russia introduced heightened scrutiny recommendations with respect to peer-to-peer transactions which we expect will negatively affect the volume of the peer-to-peer transfers in Russia (and our respective volumes in particular) (see Item 3D</w:t>
      </w:r>
      <w:r>
        <w:rPr>
          <w:rFonts w:eastAsia="Times New Roman" w:asciiTheme="majorHAnsi" w:hAnsiTheme="majorHAnsi" w:cstheme="majorHAnsi"/>
          <w:i/>
          <w:iCs/>
          <w:lang w:eastAsia="ru-RU"/>
        </w:rPr>
        <w:t xml:space="preserve"> “Risk Factors, – Qiwi Bank operates in a highly regulated environment and increased regulatory scrutiny could have an adverse effect on our business, financial condition and results of operations”).</w:t>
      </w:r>
    </w:p>
    <w:p w:rsidR="009534E2" w:rsidRDefault="003369EB">
      <w:pPr>
        <w:pStyle w:val="ListParagraph"/>
        <w:numPr>
          <w:ilvl w:val="0"/>
          <w:numId w:val="43"/>
        </w:numPr>
        <w:tabs>
          <w:tab w:val="left" w:pos="1621"/>
          <w:tab w:val="left" w:pos="1869"/>
          <w:tab w:val="left" w:pos="2003"/>
        </w:tabs>
        <w:spacing w:after="200"/>
        <w:ind w:left="1080"/>
        <w:rPr>
          <w:rFonts w:eastAsia="Times New Roman" w:asciiTheme="majorHAnsi" w:hAnsiTheme="majorHAnsi" w:cstheme="majorHAnsi"/>
          <w:sz w:val="24"/>
          <w:szCs w:val="24"/>
        </w:rPr>
      </w:pPr>
      <w:r>
        <w:rPr>
          <w:rFonts w:eastAsia="Times New Roman" w:asciiTheme="majorHAnsi" w:hAnsiTheme="majorHAnsi" w:cstheme="majorHAnsi"/>
          <w:i/>
          <w:iCs/>
          <w:lang w:eastAsia="ru-RU"/>
        </w:rPr>
        <w:t>Increase in the volume of online transactions and the use of alternative payment methods</w:t>
      </w:r>
      <w:r>
        <w:rPr>
          <w:rFonts w:eastAsia="Times New Roman" w:asciiTheme="majorHAnsi" w:hAnsiTheme="majorHAnsi" w:cstheme="majorHAnsi"/>
          <w:lang w:eastAsia="ru-RU"/>
        </w:rPr>
        <w:t>. The volume of online transactions has grown considerably in the recent years and continues to grow. Similarly, we expect the use of both banking cards and alternative payment methods in Russia, such as smartphones to grow considerably. We believe that growth in online transactions and alternative payment methods will be an important driver in increasing the demand for technological payment solutions, the number of potential merchants and partners to which we can offer payment services and the potential number of our users. However, the rapid development of bank card transactions in online environment as well as development of online banking services could hinder the growth in alternative payment methods.</w:t>
      </w:r>
    </w:p>
    <w:p w:rsidR="009534E2" w:rsidRDefault="003369EB">
      <w:pPr>
        <w:pStyle w:val="ListParagraph"/>
        <w:numPr>
          <w:ilvl w:val="0"/>
          <w:numId w:val="43"/>
        </w:numPr>
        <w:tabs>
          <w:tab w:val="left" w:pos="1621"/>
          <w:tab w:val="left" w:pos="1869"/>
          <w:tab w:val="left" w:pos="2003"/>
        </w:tabs>
        <w:spacing w:after="200"/>
        <w:ind w:left="1080"/>
        <w:rPr>
          <w:rFonts w:eastAsia="Times New Roman" w:asciiTheme="majorHAnsi" w:hAnsiTheme="majorHAnsi" w:cstheme="majorHAnsi"/>
          <w:sz w:val="24"/>
          <w:szCs w:val="24"/>
        </w:rPr>
      </w:pPr>
      <w:r>
        <w:rPr>
          <w:rFonts w:eastAsia="Times New Roman" w:asciiTheme="majorHAnsi" w:hAnsiTheme="majorHAnsi" w:cstheme="majorHAnsi"/>
          <w:i/>
          <w:iCs/>
          <w:lang w:eastAsia="ru-RU"/>
        </w:rPr>
        <w:t>Consumer adoption</w:t>
      </w:r>
      <w:r>
        <w:rPr>
          <w:rFonts w:eastAsia="Times New Roman" w:asciiTheme="majorHAnsi" w:hAnsiTheme="majorHAnsi" w:cstheme="majorHAnsi"/>
          <w:lang w:eastAsia="ru-RU"/>
        </w:rPr>
        <w:t>. We have actively sought new merchants to offer consumers more payment choices when using our products and developed certain solutions and technological capabilities to widen the scope of services that we offer for merchants, partners and customers. We believe that growth of our infrastructure and suite of services we offer as well as merchant and partner network will lead to more consumers using our payment and financial services more frequently. In addition, we actively encourage consumers to use multiple products, distribution channels and interfaces, for example, for users of our physical distribution network to create a QIWI Wallet or other online account and use it for wider range of purposes such as, for example, recurring and non-recurring payments, money transfers or as a payment collection tool. We also encourage our merchants and partners to use variety of our complimentary solutions and promote users of our payment services to adopt the financial services products that we offer, such as ROWI, RealWeb and Flocktory. We believe that the synergies offered within our ecosystem and between our payment and financial services will help enhance consumer adoption of our services in the future and create a more attractive and complete range of use cases and consumer journeys.</w:t>
      </w:r>
    </w:p>
    <w:p w:rsidR="009534E2" w:rsidRDefault="003369EB">
      <w:pPr>
        <w:pStyle w:val="ListParagraph"/>
        <w:numPr>
          <w:ilvl w:val="0"/>
          <w:numId w:val="43"/>
        </w:numPr>
        <w:tabs>
          <w:tab w:val="left" w:pos="1621"/>
          <w:tab w:val="left" w:pos="1869"/>
          <w:tab w:val="left" w:pos="2003"/>
        </w:tabs>
        <w:spacing w:after="200"/>
        <w:ind w:left="1080"/>
        <w:rPr>
          <w:rFonts w:eastAsia="Times New Roman" w:asciiTheme="majorHAnsi" w:hAnsiTheme="majorHAnsi" w:cstheme="majorHAnsi"/>
          <w:iCs/>
        </w:rPr>
      </w:pPr>
      <w:r>
        <w:rPr>
          <w:rFonts w:eastAsia="Times New Roman" w:asciiTheme="majorHAnsi" w:hAnsiTheme="majorHAnsi" w:cstheme="majorHAnsi"/>
          <w:i/>
          <w:iCs/>
          <w:lang w:eastAsia="ru-RU"/>
        </w:rPr>
        <w:t>Use of cash as a means of payment</w:t>
      </w:r>
      <w:r>
        <w:rPr>
          <w:rFonts w:eastAsia="Times New Roman" w:asciiTheme="majorHAnsi" w:hAnsiTheme="majorHAnsi" w:cstheme="majorHAnsi"/>
          <w:lang w:eastAsia="ru-RU"/>
        </w:rPr>
        <w:t>. Changes in the aggregate use of cash as a means of payment is an important variable affecting our revenues. Cash payments are one of the principal forms of payment in Russia, and, as a result, a significant share of our payment volumes continues to be cash-based. Over time, the prevalence of cash payments is declining as a greater percentage of the population in emerging markets is adopting credit and debit card payments and electronic banking, and our kiosks and terminals network is decreasing. We expect cash payments to continue to be an important means of payment in Russia and to sustain demand for use of our kiosks and terminals in the near future. If the use of cash as means of payment declines in Russia, it may negatively impact our financial results, hence we increasingly focus on offering our clients primarily digital solutions.</w:t>
      </w:r>
    </w:p>
    <w:p w:rsidR="009534E2" w:rsidRDefault="003369EB">
      <w:pPr>
        <w:suppressLineNumbers/>
        <w:spacing w:after="200"/>
        <w:ind w:firstLine="461"/>
        <w:rPr>
          <w:rFonts w:eastAsia="Times New Roman" w:asciiTheme="majorHAnsi" w:hAnsiTheme="majorHAnsi" w:cstheme="majorHAnsi"/>
        </w:rPr>
      </w:pPr>
      <w:r>
        <w:rPr>
          <w:rFonts w:eastAsia="Times New Roman" w:asciiTheme="majorHAnsi" w:hAnsiTheme="majorHAnsi" w:cstheme="majorHAnsi"/>
          <w:i/>
          <w:iCs/>
          <w:lang w:eastAsia="ru-RU"/>
        </w:rPr>
        <w:t xml:space="preserve">Number of active QIWI Wallet accounts. </w:t>
      </w:r>
      <w:r>
        <w:rPr>
          <w:rFonts w:eastAsia="Times New Roman" w:asciiTheme="majorHAnsi" w:hAnsiTheme="majorHAnsi" w:cstheme="majorHAnsi"/>
          <w:lang w:eastAsia="ru-RU"/>
        </w:rPr>
        <w:t>Number of active wallets represents the number of wallets through which at least one payment has been made or which has been loaded in the 12 months preceding the end of the relevant reporting period, excluding wallets opened for technical purposes. Number of active wallets is one of the measures of our success in penetrating the market and expanding our customer base. The number of active QIWI Wallet accounts increased to 13.8 million as of December 31, 2022 from 12.1 million as of December 31, 2021. Such increase in number of active virtual wallets in 2022 is attributable primarily due to the changes in the competitive landscape which led to an increase in the use of QIWI Wallet as a payment option. However, given the current political and economic climate it's uncertain whether this trend is long-term or whether we only observed the one-off effect. Furthermore, since December 12, 2022 all banks will implement EDI with the Federal bailiff service, which could also decrease advantages of e-wallets over bank accounts.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i/>
          <w:iCs/>
          <w:lang w:eastAsia="ru-RU"/>
        </w:rPr>
        <w:t>Number of active kiosks and terminals</w:t>
      </w:r>
      <w:r>
        <w:rPr>
          <w:rFonts w:eastAsia="Times New Roman" w:asciiTheme="majorHAnsi" w:hAnsiTheme="majorHAnsi" w:cstheme="majorHAnsi"/>
          <w:lang w:eastAsia="ru-RU"/>
        </w:rPr>
        <w:t>. We measure the numbers of our kiosks and terminals on a daily basis, with only those kiosks and terminals being taken into calculation through which at least one payment has been processed during the day, which we refer to as active kiosks and terminals. The period end numbers of our kiosks and terminals are calculated as an average of the number of active kiosks and terminals for the last 30 days of the respective reporting period. From December 31, 2021 to December 31, 2022, our number of kiosks decreased from 75,000 to 62,000 and the number of terminals decreased from 18,000 to 12,000. Our kiosks and terminals can be found next to convenience stores, in train stations, post offices, retail stores and airport terminals in all major urban cities as well as many small and rural towns that lack large bank branches and other financial infrastructure. The number of kiosks and terminals is generally decreasing as market evolves towards higher share of digital payments, moreover our physical distribution network was, and to a certain extend continues to be, negatively affected by the spread of COVID-19 pandemic, corresponding lockdown measures and other restrictions that limited users’ access to certain retail locations as well as the overall activity of the population. Nevertheless, we believe that our physical distribution network remains an important part of our infrastructure, and we maintain or even slightly increase our market share.</w:t>
      </w:r>
    </w:p>
    <w:p w:rsidR="009534E2" w:rsidRDefault="003369EB">
      <w:pPr>
        <w:keepNext/>
        <w:spacing w:after="200"/>
        <w:ind w:firstLine="461"/>
        <w:rPr>
          <w:rFonts w:eastAsia="Times New Roman" w:asciiTheme="majorHAnsi" w:hAnsiTheme="majorHAnsi" w:cstheme="majorHAnsi"/>
          <w:sz w:val="24"/>
          <w:szCs w:val="24"/>
        </w:rPr>
      </w:pPr>
      <w:r>
        <w:rPr>
          <w:rFonts w:eastAsia="Times New Roman" w:asciiTheme="majorHAnsi" w:hAnsiTheme="majorHAnsi" w:cstheme="majorHAnsi"/>
          <w:i/>
          <w:iCs/>
          <w:lang w:eastAsia="ru-RU"/>
        </w:rPr>
        <w:t xml:space="preserve">Payment Services segment net revenue yield. </w:t>
      </w:r>
      <w:r>
        <w:rPr>
          <w:rFonts w:eastAsia="Times New Roman" w:asciiTheme="majorHAnsi" w:hAnsiTheme="majorHAnsi" w:cstheme="majorHAnsi"/>
          <w:lang w:eastAsia="ru-RU"/>
        </w:rPr>
        <w:t>We calculate Payment Services segment net revenue yield by dividing Payment Services segment net revenue by Payment Services segment payment volume. Payment Services segment net revenue yield provides a measure of our ability to generate net revenue per unit of volume we process. Payment Services segment net revenue yield was 1.40%, 1.22% and 1.61% in 2020, 2021, and 2022, respectively. In 2022, Payment Services segment net revenue yield increased by 39 bps in comparison to 2021. The following factors have influenced Payment Services segment net revenue yield and may influence it going forward:</w:t>
      </w:r>
    </w:p>
    <w:p w:rsidR="009534E2" w:rsidRDefault="003369EB">
      <w:pPr>
        <w:pStyle w:val="ListParagraph"/>
        <w:numPr>
          <w:ilvl w:val="0"/>
          <w:numId w:val="43"/>
        </w:numPr>
        <w:tabs>
          <w:tab w:val="left" w:pos="1621"/>
          <w:tab w:val="left" w:pos="1869"/>
          <w:tab w:val="left" w:pos="2003"/>
        </w:tabs>
        <w:spacing w:after="200"/>
        <w:ind w:left="821"/>
        <w:rPr>
          <w:rFonts w:eastAsia="Times New Roman" w:asciiTheme="majorHAnsi" w:hAnsiTheme="majorHAnsi" w:cstheme="majorHAnsi"/>
          <w:sz w:val="24"/>
          <w:szCs w:val="24"/>
        </w:rPr>
      </w:pPr>
      <w:r>
        <w:rPr>
          <w:rFonts w:eastAsia="Times New Roman" w:asciiTheme="majorHAnsi" w:hAnsiTheme="majorHAnsi" w:cstheme="majorHAnsi"/>
          <w:lang w:eastAsia="ru-RU"/>
        </w:rPr>
        <w:t>We have experienced an increase in Payment Services segment net revenue yield mainly driven by a combination of (1) terminated low-margin TSUPIS operations since October 2021, (2) lower third-party processing commissions for payment operations, (3) improved economics of payouts on the taxi market post acquisition of Taxiaggregator SaaS platform, (4) increased share of operations with higher commissions on currency conversion, and (5) higher interest income driven by a higher Central Bank base rate.</w:t>
      </w:r>
    </w:p>
    <w:p w:rsidR="009534E2" w:rsidRDefault="003369EB">
      <w:pPr>
        <w:pStyle w:val="ListParagraph"/>
        <w:numPr>
          <w:ilvl w:val="0"/>
          <w:numId w:val="43"/>
        </w:numPr>
        <w:suppressLineNumbers/>
        <w:tabs>
          <w:tab w:val="left" w:pos="1621"/>
          <w:tab w:val="left" w:pos="1869"/>
          <w:tab w:val="left" w:pos="2003"/>
        </w:tabs>
        <w:spacing w:after="200"/>
        <w:ind w:left="821"/>
        <w:rPr>
          <w:rFonts w:eastAsia="Times New Roman" w:asciiTheme="majorHAnsi" w:hAnsiTheme="majorHAnsi" w:cstheme="majorHAnsi"/>
        </w:rPr>
      </w:pPr>
      <w:r>
        <w:rPr>
          <w:rFonts w:eastAsia="Times New Roman" w:asciiTheme="majorHAnsi" w:hAnsiTheme="majorHAnsi" w:cstheme="majorHAnsi"/>
          <w:lang w:eastAsia="ru-RU"/>
        </w:rPr>
        <w:t>Our Payment Services segment net revenue yield depends on the level and mix of merchant commissions as well as the level of the reload costs we have. Such costs depend on the commissions charged to us by our partners and agents for the wallet reload as well as on the mix of such channels. If the consumer preferences shift between different reload methods or if any channel becomes more expensive to us or less expensive to us, our Payment Services segment net revenue yield may decrease or increase respectively.</w:t>
      </w:r>
    </w:p>
    <w:p w:rsidR="009534E2" w:rsidRDefault="003369EB">
      <w:pPr>
        <w:keepNext/>
        <w:keepLines/>
        <w:spacing w:after="200"/>
        <w:rPr>
          <w:rFonts w:eastAsia="Times New Roman" w:asciiTheme="majorHAnsi" w:hAnsiTheme="majorHAnsi" w:cstheme="majorHAnsi"/>
          <w:bCs/>
          <w:iCs/>
        </w:rPr>
      </w:pPr>
      <w:r>
        <w:rPr>
          <w:rFonts w:eastAsia="Times New Roman" w:asciiTheme="majorHAnsi" w:hAnsiTheme="majorHAnsi" w:cstheme="majorHAnsi"/>
          <w:b/>
          <w:bCs/>
          <w:iCs/>
          <w:lang w:eastAsia="ru-RU"/>
        </w:rPr>
        <w:t>Impact of geopolitical developments in Russia and related sanctions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The Ukraine crisis, which started in late 2013 and escalated into a major military conflict between Russia and Ukraine in February 2022, has had a devastating effect on Russian relations with the West. In response to the Ukraine crisis, Ukraine, the European Union, the United Kingdom and the United States (as well as numerous other countries such as Switzerland, Japan, Norway, Canada and Australia) have passed a variety of economic sanctions against numerous Russian banks, other companies, private individuals, and whole sectors of Russian economy, as well as export restrictions and “sectoral” sanctions affecting specified types of transactions with named participants in certain industries, including named Russian financial institutions. During 2022, we saw the imposition of severe measures that have hitherto been unprecedented. See </w:t>
      </w:r>
      <w:r>
        <w:rPr>
          <w:rFonts w:eastAsia="Times New Roman" w:asciiTheme="majorHAnsi" w:hAnsiTheme="majorHAnsi" w:cstheme="majorHAnsi"/>
          <w:i/>
          <w:iCs/>
          <w:lang w:eastAsia="ru-RU"/>
        </w:rPr>
        <w:t>“– The conflict between Russia and Ukraine, and particularly its 2022 escalation, the US, EU, UK and other countries’ sanctions that have been imposed in connection therewith, the resulting negative implications on the Russian economy, and the measures that are being adopted by Russia in response, could adversely impact our operations and financial condition”</w:t>
      </w:r>
      <w:r>
        <w:rPr>
          <w:rFonts w:eastAsia="Times New Roman" w:asciiTheme="majorHAnsi" w:hAnsiTheme="majorHAnsi" w:cstheme="majorHAnsi"/>
          <w:lang w:eastAsia="ru-RU"/>
        </w:rPr>
        <w: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While the current sanctions generally do not target QIWI directly (other than certain sanctions introduced by Ukraine, </w:t>
      </w:r>
      <w:r>
        <w:rPr>
          <w:rFonts w:eastAsia="Arial" w:asciiTheme="majorHAnsi" w:hAnsiTheme="majorHAnsi" w:cstheme="majorHAnsi"/>
          <w:lang w:eastAsia="ru-RU"/>
        </w:rPr>
        <w:t xml:space="preserve">see </w:t>
      </w:r>
      <w:r>
        <w:rPr>
          <w:rFonts w:eastAsia="Arial" w:asciiTheme="majorHAnsi" w:hAnsiTheme="majorHAnsi" w:cstheme="majorHAnsi"/>
          <w:i/>
          <w:iCs/>
          <w:lang w:eastAsia="ru-RU"/>
        </w:rPr>
        <w:t>“– We are subject to extensive government regulation”</w:t>
      </w:r>
      <w:r>
        <w:rPr>
          <w:rFonts w:eastAsia="Times New Roman" w:asciiTheme="majorHAnsi" w:hAnsiTheme="majorHAnsi" w:cstheme="majorHAnsi"/>
          <w:lang w:eastAsia="ru-RU"/>
        </w:rPr>
        <w:t>), there can be no assurance that additional sanctions affecting our company will not be imposed. These sanctions have had and will continue to have the effect of damaging the Russian economy. In addition, the introduction of further economic, trade or other sanctions remains highly likely as the conflict in Ukraine develops.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We cannot predict the full impact of these matters on our business and results of operations, due to the fact that the related developments are highly unpredictable and occur swiftly, often with little notice. The following are some of our current observations regarding such impacts. You are urged to read these observations in conjunction with the information provided elsewhere in this annual report (see Item 3D </w:t>
      </w:r>
      <w:r>
        <w:rPr>
          <w:rFonts w:eastAsia="Times New Roman" w:asciiTheme="majorHAnsi" w:hAnsiTheme="majorHAnsi" w:cstheme="majorHAnsi"/>
          <w:i/>
          <w:iCs/>
          <w:lang w:eastAsia="ru-RU"/>
        </w:rPr>
        <w:t>“Risk Factors – The conflict between Russia and Ukraine, and particularly its 2022 escalation, the US, EU, UK and other countries’ sanctions that have been imposed in connection therewith, the resulting negative implications on the Russian economy, and the measures that are being adopted by Russia in response, could adversely impact our operations and financial condition”</w:t>
      </w:r>
      <w:r>
        <w:rPr>
          <w:rFonts w:eastAsia="Times New Roman" w:asciiTheme="majorHAnsi" w:hAnsiTheme="majorHAnsi" w:cstheme="majorHAnsi"/>
          <w:lang w:eastAsia="ru-RU"/>
        </w:rPr>
        <w:t xml:space="preserve"> and Note 31 “</w:t>
      </w:r>
      <w:r>
        <w:rPr>
          <w:rFonts w:eastAsia="Times New Roman" w:asciiTheme="majorHAnsi" w:hAnsiTheme="majorHAnsi" w:cstheme="majorHAnsi"/>
          <w:i/>
          <w:iCs/>
          <w:lang w:eastAsia="ru-RU"/>
        </w:rPr>
        <w:t>Events after the reporting date</w:t>
      </w:r>
      <w:r>
        <w:rPr>
          <w:rFonts w:eastAsia="Times New Roman" w:asciiTheme="majorHAnsi" w:hAnsiTheme="majorHAnsi" w:cstheme="majorHAnsi"/>
          <w:lang w:eastAsia="ru-RU"/>
        </w:rPr>
        <w:t>” of the audited consolidated financial statements included in this annual report).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Regarding our B2C operations, the economic sanctions against certain Russian banks have resulted in an increase in the volume of consumers that rely on alternative payment and financial services providers similar to our business. We plan to launch additional products and services to support this trend and improve customer loyalty. Despite the temporary limitations introduced in the first quarter 2022 on cross-border transactions, payments and fund transfers as further described below, we have not seen and do not expect any meaningful impact from such limitations introduced again, as 87% of our operations prior the introduced sanctions were denominated in rubles (and are not affected by sanctions in any way) and for the full year 2022 composed over 90%. Moreover, certain payment services providers have ceased their operations in Russia, resulting in a decrease in competition in the Russian market. At the same time sanctions regime and any local constraints with this regard on payment services have adverse reputational implications which limit on our ability to expand outside of Russia.</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As of the date of this annual report, only a few of our B2B and С2C operations have been negatively affected by sanctions, namely (i) digital commerce, due to limitations on cross-border transactions, (ii) CONTACT money remittances business, due to limitations introduced on international money transfers, however the negative effect was compensated due to lower competition since some of the companies decided to wind down operations in Russia and (iii) the Flocktory business experienced outflow of clients due to the exit of certain Western businesses offset during the year with organic growth of local client base on active promotion of its services. These changes have not had a material negative impact on our overall business, as the contribution of digital commerce and Flocktory to our net revenue is not significant.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Since March 2, 2022, certain Russian financial institutions were banned from the SWIFT payment system by the European Union. Under these circumstances, we rely on our wide network of free-from-sanctions partners and correspondent banks that play a vital role in our operations to adapt to a new reality. However, in the event that Russia is disconnected from the SWIFT payment system completely and/or other international banks would terminate relationships with Russian banks, cross-border trade with Russia would be disrupted, and as a result, we would not be able to service most of cross-border transactions.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Russian authorities have introduced capital-control measures that prevent currency outflows. However, as of the date of this report we have not experienced issues with transfer of funds from our Russian subsidiaries to our Cypriot parent company, QIWI plc. Although most of our assets are located in Russia and most of our contractual obligations are performed in Russia, QIWI plc has enough reserves in its accounts to fulfil its commitments. We are carefully monitoring capital-control measures and take it into account when considering distribution of dividends.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 xml:space="preserve">Due to the lingering stock market infrastructure issues resulting from the introduction of European sanctions against the Russian National Settlement Depositary, to date the company does not see the opportunity to arrange the distribution of dividends or repurchase shares with the equal treatment of all its shareholders. Therefore, the Board decided (i) to keep the distribution of dividends under review until changes of the sanction regime in respect of the Russian National Settlement Depositary or other developments that may enable the company to distribute dividends to all of its shareholders, and (ii) has not approved the commencement of the buyback program on Moscow stock exchange. The full impact of sanctions on the Russian economy and other markets where we operate remains unclear and requires caution for the benefit of all shareholders and the сompany. See Item 3D </w:t>
      </w:r>
      <w:r>
        <w:rPr>
          <w:rFonts w:eastAsia="Times New Roman" w:asciiTheme="majorHAnsi" w:hAnsiTheme="majorHAnsi" w:cstheme="majorHAnsi"/>
          <w:i/>
          <w:iCs/>
        </w:rPr>
        <w:t>“Risk Factors – We cannot guarantee that we will buy back any of our ordinary shares represented by ADSs pursuant to the buyback program approved by our shareholders or that our buyback program will enhance long-term shareholder value”</w:t>
      </w:r>
      <w:r>
        <w:rPr>
          <w:rFonts w:eastAsia="Times New Roman" w:asciiTheme="majorHAnsi" w:hAnsiTheme="majorHAnsi" w:cstheme="majorHAnsi"/>
        </w:rPr>
        <w: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 xml:space="preserve">Historically we paid dividends on a quarterly basis. However, due to the reasons described above the company has not been  distributing dividends since 4Q 2021. As part of our treasury operations we utilized accumulated cash investing in publicly traded debt securities (secure corporate and government bonds) and holding on deposits to receive additional interest income. It was underpinned by a hike in the key rate in February resulting in higher contribution of interest income to the company's earnings. On the other hand, in February 2022, the value of our debt portfolio was affected by the wide sell-off of Russian securities. However, for the year ended December 31, 2022, our bond portfolio demonstrated the revaluation profit in the amount of RUB 344 million. See Item 3D </w:t>
      </w:r>
      <w:r>
        <w:rPr>
          <w:rFonts w:eastAsia="Times New Roman" w:asciiTheme="majorHAnsi" w:hAnsiTheme="majorHAnsi" w:cstheme="majorHAnsi"/>
          <w:i/>
          <w:iCs/>
        </w:rPr>
        <w:t>“– Our bond portfolio could decline in value, which may result in financial losses and have a negative effect on our compliance with banking prudential ratios”</w:t>
      </w:r>
      <w:r>
        <w:rPr>
          <w:rFonts w:eastAsia="Times New Roman" w:asciiTheme="majorHAnsi" w:hAnsiTheme="majorHAnsi" w:cstheme="majorHAnsi"/>
        </w:rPr>
        <w:t xml:space="preserve"> for more detail. In addition, since we paid dividends in USD, part of the accumulated cash was converted in currency for the potential distribution of dividends and/or use of these funds for inorganic expansion purposes. The following fluctuations of ruble exchange rate had a negative impact of RUB 650 million for 2022. See Item 3D “– </w:t>
      </w:r>
      <w:r>
        <w:rPr>
          <w:rFonts w:eastAsia="Times New Roman" w:asciiTheme="majorHAnsi" w:hAnsiTheme="majorHAnsi" w:cstheme="majorHAnsi"/>
          <w:i/>
          <w:iCs/>
        </w:rPr>
        <w:t>We are subject to fluctuations in currency exchange rates”</w:t>
      </w:r>
      <w:r>
        <w:rPr>
          <w:rFonts w:eastAsia="Times New Roman" w:asciiTheme="majorHAnsi" w:hAnsiTheme="majorHAnsi" w:cstheme="majorHAnsi"/>
        </w:rPr>
        <w: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Certain businesses from the US, EU and other countries, wound down or substantially scaled back, or announced plans to wind down or scale back, their operations in Russia or with Russian counterparts, and other businesses are exhibiting an overall trend of avoiding any associations with Russia or Russian persons. In light of this, we risk having limited access to and supply of technologies and services. We believe our current technological solutions will allow us to continue operations; however, a prolonged suspension of access or supply of hardware, software or other technologies and services may adversely affect our operations materially over time. A switch to locally produced software and hardware may also negatively affect the performance and safety features of our systems, and consequently, the quality of our services may be affected.</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On March 5, 2022, Visa and Mastercard suspended membership of all their Russian members, rendering all Russians banks, as well as Qiwi Bank unable to issue Visa and Mastercard cards and conduct any cross-border payments with the use of such cards, which is expected to have a negative, albeit limited, effect on our payment volumes due the shutdown of cross-border transactions. All operations within Russia in rubles were adapted to a new reality with lower acquiring costs for payment service providers including ourselves. Consequently, with the majority of our operations conducted in rubles and the availability of QIWI Wallet services as a payment method, we do not believe that the impact on our operations and financial results will be significant from the exit by international payment systems, though it limits our ability to expand outside of Russia. Combined share of Visa and MasterCard operations affected by the suspension of their services for 2020, 2021 and 2022 constituted 1.1%, 1.3% and 0.4% of Payment Services payment volume, respectively.</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See also </w:t>
      </w:r>
      <w:r>
        <w:rPr>
          <w:rFonts w:eastAsia="Times New Roman" w:asciiTheme="majorHAnsi" w:hAnsiTheme="majorHAnsi" w:cstheme="majorHAnsi"/>
          <w:i/>
          <w:iCs/>
          <w:lang w:eastAsia="ru-RU"/>
        </w:rPr>
        <w:t>“– Holders of our ADSs currently have limited or no liquidity in our ADSs. Following the trading halt introduced on our ADSs by Nasdaq, Nasdaq informed us of its determination to delist our securities. Although we requested a hearing to appeal the delisting determination, there can be no assurance that Nasdaq will reverse its decision and when or if the trading will be resumed. Trading in our ADSs on the Moscow Exchange is subject to certain limitations”</w:t>
      </w:r>
      <w:r>
        <w:rPr>
          <w:rFonts w:eastAsia="Times New Roman" w:asciiTheme="majorHAnsi" w:hAnsiTheme="majorHAnsi" w:cstheme="majorHAnsi"/>
          <w:lang w:eastAsia="ru-RU"/>
        </w:rPr>
        <w: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Sanctions have had and will continue to have the effect of damaging the Russian economy. In addition, the introduction of further economic or trade sanctions, as well as counter sanctions measures remains highly likely as the conflict in Ukraine develops. We cannot predict the full impact of these matters on our business and results of operations, due to the fact that the related developments are highly unpredictable and occur swiftly, often with little notice. While the current scope of sanctions does not target QIWI directly, there can be no assurance that additional sanctions affecting our company will not be imposed. You are urged to read these observations in conjunction with the information provided elsewhere in this annual report (see Item 3D </w:t>
      </w:r>
      <w:r>
        <w:rPr>
          <w:rFonts w:eastAsia="Times New Roman" w:asciiTheme="majorHAnsi" w:hAnsiTheme="majorHAnsi" w:cstheme="majorHAnsi"/>
          <w:i/>
          <w:iCs/>
          <w:lang w:eastAsia="ru-RU"/>
        </w:rPr>
        <w:t xml:space="preserve">“Risk Factors – The conflict between Russia and Ukraine, and particularly its 2022 escalation, the US, EU, UK and other countries’ sanctions that have been imposed in connection therewith, the resulting negative implications on the Russian economy, and the measures that are being adopted by Russia in response, could adversely impact our operations and financial condition”, </w:t>
      </w:r>
      <w:r>
        <w:rPr>
          <w:rFonts w:eastAsia="Times New Roman" w:asciiTheme="majorHAnsi" w:hAnsiTheme="majorHAnsi" w:cstheme="majorHAnsi"/>
          <w:lang w:eastAsia="ru-RU"/>
        </w:rPr>
        <w:t>Item 5A</w:t>
      </w:r>
      <w:r>
        <w:rPr>
          <w:rFonts w:eastAsia="Times New Roman" w:asciiTheme="majorHAnsi" w:hAnsiTheme="majorHAnsi" w:cstheme="majorHAnsi"/>
          <w:i/>
          <w:iCs/>
          <w:lang w:eastAsia="ru-RU"/>
        </w:rPr>
        <w:t xml:space="preserve"> “– Impact of geopolitical developments in Russia and related sanctions”</w:t>
      </w:r>
      <w:r>
        <w:rPr>
          <w:rFonts w:eastAsia="Times New Roman" w:asciiTheme="majorHAnsi" w:hAnsiTheme="majorHAnsi" w:cstheme="majorHAnsi"/>
          <w:lang w:eastAsia="ru-RU"/>
        </w:rPr>
        <w:t xml:space="preserve">, and Note 31 </w:t>
      </w:r>
      <w:r>
        <w:rPr>
          <w:rFonts w:eastAsia="Times New Roman" w:asciiTheme="majorHAnsi" w:hAnsiTheme="majorHAnsi" w:cstheme="majorHAnsi"/>
          <w:i/>
          <w:iCs/>
          <w:lang w:eastAsia="ru-RU"/>
        </w:rPr>
        <w:t>“Events after the reporting date”</w:t>
      </w:r>
      <w:r>
        <w:rPr>
          <w:rFonts w:eastAsia="Times New Roman" w:asciiTheme="majorHAnsi" w:hAnsiTheme="majorHAnsi" w:cstheme="majorHAnsi"/>
          <w:lang w:eastAsia="ru-RU"/>
        </w:rPr>
        <w:t xml:space="preserve"> of the audited consolidated financial statements included in this annual report).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As a result of these factors, our growth potential will be significantly affected during 2023.</w:t>
      </w:r>
    </w:p>
    <w:p w:rsidR="009534E2" w:rsidRDefault="003369EB">
      <w:pPr>
        <w:keepNext/>
        <w:keepLines/>
        <w:spacing w:after="200"/>
        <w:rPr>
          <w:rFonts w:eastAsia="Times New Roman" w:asciiTheme="majorHAnsi" w:hAnsiTheme="majorHAnsi" w:cstheme="majorHAnsi"/>
          <w:bCs/>
        </w:rPr>
      </w:pPr>
      <w:r>
        <w:rPr>
          <w:rFonts w:eastAsia="Times New Roman" w:asciiTheme="majorHAnsi" w:hAnsiTheme="majorHAnsi" w:cstheme="majorHAnsi"/>
          <w:b/>
          <w:bCs/>
          <w:iCs/>
          <w:lang w:eastAsia="ru-RU"/>
        </w:rPr>
        <w:t>Impact of COVID-19</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 December 2019, a novel strain of coronavirus surfaced in Wuhan, China, which has resulted in the temporary closure of many corporate offices, retail stores, and manufacturing facilities and factories across China. The virus then quickly spread out across Europe and the Americas, resulting in various "shelter-in-place" regulations, lockdowns, curfews, bans on international travel, cancellations of public events, and supply chain disruptions. These measures continue to be in place in various forms in most countries in the world, including (to a rather minor extent as of the date of this report) Russia. These developments have negatively impacted consumer and business spending and payments activity generally, and have significantly contributed to deteriorating macroeconomic conditions, business closures, higher unemployment and decrease in consumer confidence throughout the world, including Russia and other countries in which we operate. While governments around the world have taken steps to attempt to mitigate some of the more severe anticipated economic effects of COVID-19, such steps have not always been effective. The negative effects of the coronavirus on our business were primarily reflected in 2020 and have included a decline in revenues from our betting merchants due to the cancellation of numerous major sporting events, a drop-in money remittance primarily due to a decline in payments to self-employed individuals due to an overall contraction of business activity, and a decline in the use of our kiosk network. On the other hand, in 2021 and 2022 we observed accelerating favorable trends such as digitalization of payments, development of e-commerce, growing number of peer-to-peer transactions and increasing number of self-employed individuals. The coronavirus pandemic is still ongoing and some quarantine restrictions continue to sporadically emerge globally. The full impact of the COVID-19 pandemic on the global economy is difficult to predict due to the lack of clarity on how long it could be expected to last. These factors may remain prevalent for a significant period of time and may continue to affect our business, results of operations and financial condition, even after the COVID-19 outbreak has subsided.</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COVID-19 outbreak has required and is likely to continue to require significant management attention, substantial investments of time and resources across our enterprise, and increased costs to effectively manage our operations. The spread of COVID-19 has caused us to make significant modifications to our business practices, including enabling most of our workforce to work from home, establishing strict health and safety protocols for our offices and imposing restrictions on employee travel. The significant number of our employees who are working remotely as a result of the outbreak, and an extended period of remote work arrangements and subsequent reintroduction into the workplace could introduce operational risk, increase cybersecurity risk, strain our business continuity plans, negatively impact productivity, give rise to claims by employees, and impair our ability to manage our business or otherwise adversely affect our business. Additionally, COVID-19 may have negative impact on our internal controls over financial reporting as a significant portion of our workforce is required to work from home and therefore new or modified processes, procedures, and controls could be required to respond to changes in our business environment. We may take further actions as may be required by government authorities or that we determine are in the best interests of our employees, customers, and business partners. There is no certainty that such measures will be sufficient to mitigate the risks posed by COVID-19 or will otherwise be satisfactory to government authorities.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rapidly changing global market and economic conditions as a result of COVID-19 have impacted, and may continue to impact, our operations and business. The broader implications of the COVID-19 pandemic on our business, financial condition, and results of operations remain uncertain. For additional information on how COVID-19 has impacted and could continue to negatively impact our business, see below for specific discussion in the respective areas, and also refer to “Part I, Item 3D, Risk Factors” in this report.</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Sources of Revenue</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Our primary source of revenue is payment processing fees. In addition, we receive interest revenue, fees for inactive accounts and unclaimed payments, cash and settlement service fees as well as fees for issuing bank guarantees and advertising.</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i/>
          <w:iCs/>
          <w:lang w:eastAsia="ru-RU"/>
        </w:rPr>
        <w:t xml:space="preserve">Payment processing fees. </w:t>
      </w:r>
      <w:r>
        <w:rPr>
          <w:rFonts w:eastAsia="Times New Roman" w:asciiTheme="majorHAnsi" w:hAnsiTheme="majorHAnsi" w:cstheme="majorHAnsi"/>
          <w:lang w:eastAsia="ru-RU"/>
        </w:rPr>
        <w:t>Payment processing fees constitute the substantial majority of our revenue and comprise of fees charged for processing payments typically based on a percentage of the total volume of each payment. A majority of our payment processing fees are merchant fees and consumer fees. If the payment is made through our physical distribution network, we typically pass on a portion of the merchants fees to our agents. In certain situations, we may not receive any merchant fees, for example, when a merchant is a government body. We generally recognize merchant fees gross at the point when merchants accept or sends payments from or to the consumer. Consumer fees fall into two categories – those collected by us directly and those collected by our agents. We recognize revenue from consumer fees charged through QIWI Wallet as well as most revenue from consumer fees charged through our kiosks and terminals gross at the point when the consumer makes a payment. Additionally, we generate foreign currency conversion revenue when the transactions are made in currencies that different from the currency of the balance used, mainly Russian rubles. We recognize related revenues at the time of the conversion in the amount of conversion commission representing the difference between the current Russian or relevant country Central Bank foreign currency exchange rate and the foreign currency exchange rate charged by our processing system.</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i/>
          <w:iCs/>
          <w:lang w:eastAsia="ru-RU"/>
        </w:rPr>
        <w:t xml:space="preserve">Interest revenue calculated using the effective interest rate. </w:t>
      </w:r>
      <w:r>
        <w:rPr>
          <w:rFonts w:eastAsia="Times New Roman" w:asciiTheme="majorHAnsi" w:hAnsiTheme="majorHAnsi" w:cstheme="majorHAnsi"/>
          <w:lang w:eastAsia="ru-RU"/>
        </w:rPr>
        <w:t>In addition to payment processing fees, we generate revenue from various sources that classified as interest revenue calculated using the effective interest rate, including income from factoring financing to legal entities provided as part of the ROWI project, depositing cash on bank deposits and investments in securities.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i/>
          <w:iCs/>
          <w:lang w:eastAsia="ru-RU"/>
        </w:rPr>
        <w:t xml:space="preserve">Fees from inactive accounts and unclaimed payments. </w:t>
      </w:r>
      <w:r>
        <w:rPr>
          <w:rFonts w:eastAsia="Times New Roman" w:asciiTheme="majorHAnsi" w:hAnsiTheme="majorHAnsi" w:cstheme="majorHAnsi"/>
          <w:iCs/>
          <w:lang w:eastAsia="ru-RU"/>
        </w:rPr>
        <w:t xml:space="preserve">We also earn </w:t>
      </w:r>
      <w:r>
        <w:rPr>
          <w:rFonts w:eastAsia="Times New Roman" w:asciiTheme="majorHAnsi" w:hAnsiTheme="majorHAnsi" w:cstheme="majorHAnsi"/>
          <w:lang w:eastAsia="ru-RU"/>
        </w:rPr>
        <w:t>revenues from inactive accounts and unclaimed payments, writing down leftover balances or unclaimed payments when our customers do not use their wallets or do not claim their payments respectively for prolonged periods of time so that their wallets are deemed to be inactive.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i/>
          <w:iCs/>
          <w:lang w:eastAsia="ru-RU"/>
        </w:rPr>
        <w:t>Other sources of revenue</w:t>
      </w:r>
      <w:r>
        <w:rPr>
          <w:rFonts w:eastAsia="Times New Roman" w:asciiTheme="majorHAnsi" w:hAnsiTheme="majorHAnsi" w:cstheme="majorHAnsi"/>
          <w:lang w:eastAsia="ru-RU"/>
        </w:rPr>
        <w:t>. Additionally, we charge a fee for managing of current accounts that we provide to individuals and legal entities including our agents and SME clients (cash and settlement services fee), related revenue is recorded as services are rendered or as transactions are processed; and other revenue (such as fees from customers for services provided by Flocktory and RealWeb and fees from non-related parties for bank guarantees issued by ROWI project).</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Operating Costs and Expenses</w:t>
      </w:r>
    </w:p>
    <w:p w:rsidR="009534E2" w:rsidRDefault="003369EB">
      <w:pPr>
        <w:keepNext/>
        <w:keepLines/>
        <w:spacing w:after="200"/>
        <w:rPr>
          <w:rFonts w:eastAsia="Times New Roman" w:asciiTheme="majorHAnsi" w:hAnsiTheme="majorHAnsi" w:cstheme="majorHAnsi"/>
          <w:b/>
          <w:bCs/>
          <w:i/>
          <w:iCs/>
          <w:lang w:eastAsia="ru-RU"/>
        </w:rPr>
      </w:pPr>
      <w:r>
        <w:rPr>
          <w:rFonts w:eastAsia="Times New Roman" w:asciiTheme="majorHAnsi" w:hAnsiTheme="majorHAnsi" w:cstheme="majorHAnsi"/>
          <w:b/>
          <w:bCs/>
          <w:i/>
          <w:iCs/>
          <w:lang w:eastAsia="ru-RU"/>
        </w:rPr>
        <w:t>Costs of revenue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i/>
          <w:iCs/>
          <w:lang w:eastAsia="ru-RU"/>
        </w:rPr>
        <w:t>Transaction costs</w:t>
      </w:r>
      <w:r>
        <w:rPr>
          <w:rFonts w:eastAsia="Times New Roman" w:asciiTheme="majorHAnsi" w:hAnsiTheme="majorHAnsi" w:cstheme="majorHAnsi"/>
          <w:lang w:eastAsia="ru-RU"/>
        </w:rPr>
        <w:t>. When payments are made through our physical distribution network, we incur transaction costs to our agents, which represent the amount of fees we pass through to agents for use of their kiosks and terminals. Additionally, we incur reload and transaction costs when QIWI Wallet consumers reload their wallets or make certain types of payments through their wallets for goods and services offered by our merchants including acquiring costs payable to international payment systems, agents, bank-participants, mobile operators and other parties.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i/>
          <w:iCs/>
          <w:sz w:val="24"/>
          <w:szCs w:val="24"/>
        </w:rPr>
        <w:t>P</w:t>
      </w:r>
      <w:r>
        <w:rPr>
          <w:rFonts w:eastAsia="Times New Roman" w:asciiTheme="majorHAnsi" w:hAnsiTheme="majorHAnsi" w:cstheme="majorHAnsi"/>
          <w:i/>
          <w:iCs/>
          <w:lang w:eastAsia="ru-RU"/>
        </w:rPr>
        <w:t>latform and marketing services related expenses.</w:t>
      </w:r>
      <w:r>
        <w:rPr>
          <w:rFonts w:eastAsia="Times New Roman" w:asciiTheme="majorHAnsi" w:hAnsiTheme="majorHAnsi" w:cstheme="majorHAnsi"/>
          <w:lang w:eastAsia="ru-RU"/>
        </w:rPr>
        <w:t xml:space="preserve"> Platform and marketing services related expenses include direct expenses of RealWeb and Flocktory businesses.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i/>
          <w:iCs/>
          <w:lang w:eastAsia="ru-RU"/>
        </w:rPr>
        <w:t>Guarantees issued related expenses</w:t>
      </w:r>
      <w:r>
        <w:rPr>
          <w:rFonts w:eastAsia="Times New Roman" w:asciiTheme="majorHAnsi" w:hAnsiTheme="majorHAnsi" w:cstheme="majorHAnsi"/>
          <w:lang w:eastAsia="ru-RU"/>
        </w:rPr>
        <w:t>. Guarantees issued related expenses include expenses on issuing the bank guarantees.</w:t>
      </w:r>
    </w:p>
    <w:p w:rsidR="009534E2" w:rsidRDefault="003369EB">
      <w:pPr>
        <w:spacing w:after="200"/>
        <w:ind w:firstLine="461"/>
        <w:rPr>
          <w:rFonts w:eastAsia="Times New Roman" w:asciiTheme="majorHAnsi" w:hAnsiTheme="majorHAnsi" w:cstheme="majorHAnsi"/>
          <w:iCs/>
        </w:rPr>
      </w:pPr>
      <w:r>
        <w:rPr>
          <w:rFonts w:eastAsia="Times New Roman" w:asciiTheme="majorHAnsi" w:hAnsiTheme="majorHAnsi" w:cstheme="majorHAnsi"/>
          <w:i/>
          <w:iCs/>
          <w:lang w:eastAsia="ru-RU"/>
        </w:rPr>
        <w:t xml:space="preserve">Interest expense. </w:t>
      </w:r>
      <w:r>
        <w:rPr>
          <w:rFonts w:eastAsia="Times New Roman" w:asciiTheme="majorHAnsi" w:hAnsiTheme="majorHAnsi" w:cstheme="majorHAnsi"/>
          <w:iCs/>
          <w:lang w:eastAsia="ru-RU"/>
        </w:rPr>
        <w:t>Interest expense represents cost related to obtaining financing from banks or debt capital markets or accepting deposits from SMEs, individuals and agents.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i/>
          <w:iCs/>
          <w:lang w:eastAsia="ru-RU"/>
        </w:rPr>
        <w:t>Other expenses</w:t>
      </w:r>
      <w:r>
        <w:rPr>
          <w:rFonts w:eastAsia="Times New Roman" w:asciiTheme="majorHAnsi" w:hAnsiTheme="majorHAnsi" w:cstheme="majorHAnsi"/>
          <w:lang w:eastAsia="ru-RU"/>
        </w:rPr>
        <w:t>. We incur other expenses in addition to transaction costs, including customer support expenses, licensing operations.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i/>
          <w:iCs/>
          <w:lang w:eastAsia="ru-RU"/>
        </w:rPr>
        <w:t>Selling, general and administrative expenses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Selling, general and administrative expenses consists primarily of advertising, client acquisition and related expenses, tax expenses (except of income and payroll relates taxes), advisory and audit services, rent of premises, expenses related to Tochka platform services, IT related services, offering expenses and other operating expenses.</w:t>
      </w:r>
    </w:p>
    <w:p w:rsidR="009534E2" w:rsidRDefault="003369EB">
      <w:pPr>
        <w:keepNext/>
        <w:keepLines/>
        <w:spacing w:after="200"/>
        <w:rPr>
          <w:rFonts w:eastAsia="Times New Roman" w:asciiTheme="majorHAnsi" w:hAnsiTheme="majorHAnsi" w:cstheme="majorHAnsi"/>
          <w:bCs/>
          <w:iCs/>
        </w:rPr>
      </w:pPr>
      <w:r>
        <w:rPr>
          <w:rFonts w:eastAsia="Times New Roman" w:asciiTheme="majorHAnsi" w:hAnsiTheme="majorHAnsi" w:cstheme="majorHAnsi"/>
          <w:b/>
          <w:bCs/>
          <w:i/>
          <w:iCs/>
          <w:lang w:eastAsia="ru-RU"/>
        </w:rPr>
        <w:t>Personnel expenses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Personnel expenses represents salaries and benefits paid to our IT, operating services employees, senior management, finance, legal and other administrative staff as well as related taxes and other personnel expenses. Historically, personnel expenses directly associated with revenue recognized were disclosed within cost of revenue and personnel expenses associated with all other activities were disclosed within selling, general, and administrative expenses.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i/>
          <w:iCs/>
          <w:lang w:eastAsia="ru-RU"/>
        </w:rPr>
        <w:t>Depreciation and amortization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Depreciation is calculated on property and equipment on a straight-line basis from the time the assets are available for use, over their estimated useful lives. Intangible assets are amortized on a straight-line basis over their useful economic lives, unless the useful life is indefinite. We do not amortize intangible assets with indefinite useful lives, but we test these assets for impairment annually, either individually or at the cash-generating unit level.</w:t>
      </w:r>
    </w:p>
    <w:p w:rsidR="009534E2" w:rsidRDefault="003369EB">
      <w:pPr>
        <w:keepNext/>
        <w:keepLines/>
        <w:spacing w:after="200"/>
        <w:rPr>
          <w:rFonts w:eastAsia="Times New Roman" w:asciiTheme="majorHAnsi" w:hAnsiTheme="majorHAnsi" w:cstheme="majorHAnsi"/>
          <w:bCs/>
          <w:iCs/>
        </w:rPr>
      </w:pPr>
      <w:r>
        <w:rPr>
          <w:rFonts w:eastAsia="Times New Roman" w:asciiTheme="majorHAnsi" w:hAnsiTheme="majorHAnsi" w:cstheme="majorHAnsi"/>
          <w:b/>
          <w:bCs/>
          <w:i/>
          <w:iCs/>
          <w:lang w:eastAsia="ru-RU"/>
        </w:rPr>
        <w:t>Credit loss expense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Credit loss expense represent impairment losses for financial assets accounted for using a forward-looking expected credit loss (ECL) approach in accordance with requirements of the IFRS 9. ECLs are calculated as a difference between the contractual cash flows due in accordance with the contract and all the cash flows that the Group expects to receive.</w:t>
      </w:r>
    </w:p>
    <w:p w:rsidR="009534E2" w:rsidRDefault="003369EB">
      <w:pPr>
        <w:keepNext/>
        <w:keepLines/>
        <w:spacing w:after="200"/>
        <w:rPr>
          <w:rFonts w:eastAsia="Times New Roman" w:asciiTheme="majorHAnsi" w:hAnsiTheme="majorHAnsi" w:cstheme="majorHAnsi"/>
          <w:bCs/>
          <w:iCs/>
        </w:rPr>
      </w:pPr>
      <w:r>
        <w:rPr>
          <w:rFonts w:eastAsia="Times New Roman" w:asciiTheme="majorHAnsi" w:hAnsiTheme="majorHAnsi" w:cstheme="majorHAnsi"/>
          <w:b/>
          <w:bCs/>
          <w:i/>
          <w:iCs/>
          <w:lang w:eastAsia="ru-RU"/>
        </w:rPr>
        <w:t>Impairment of non-current assets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We assess at each reporting date whether there is an indication that an asset, other than goodwill, should be impaired. If any such indication exists, or when annual impairment testing of an asset is required, we estimate the asset’s recoverable amount. Where the carrying amount of an asset exceeds its recoverable amount, the asset is considered impaired and is written down to its recoverable amount.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Goodwill is tested for impairment annually and when circumstances indicate that the carrying value may be impaired. Impairment is determined for goodwill by assessing the recoverable amount of the cash-generating units, to which the goodwill relates. Where the recoverable amount of the cash-generating units is less than their carrying amount an impairment loss is recognized.</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For the purpose of the impairment testing of other non-current assets we estimate the recoverable amounts as the higher of the value in use or the fair value less costs to sell of an individual asset or Cash Generating Unit (CGU) such asset relates to. For the year ended December 31, 2022 and December, 31 2021 impairment of intangible and fixed assets was RUB 47 million and RUB 24 million, respectively. For the years ended December 31, 2021 and 2020 impairment of intangible assets was RUB 24 million and RUB 32 million, respectively.</w:t>
      </w:r>
    </w:p>
    <w:p w:rsidR="009534E2" w:rsidRDefault="003369EB">
      <w:pPr>
        <w:keepNext/>
        <w:keepLines/>
        <w:spacing w:after="200"/>
        <w:ind w:left="461"/>
        <w:rPr>
          <w:rFonts w:eastAsia="Times New Roman" w:asciiTheme="majorHAnsi" w:hAnsiTheme="majorHAnsi" w:cstheme="majorHAnsi"/>
          <w:bCs/>
        </w:rPr>
      </w:pPr>
      <w:r>
        <w:rPr>
          <w:rFonts w:eastAsia="Times New Roman" w:asciiTheme="majorHAnsi" w:hAnsiTheme="majorHAnsi" w:cstheme="majorHAnsi"/>
          <w:b/>
          <w:bCs/>
          <w:lang w:eastAsia="ru-RU"/>
        </w:rPr>
        <w:t>Other Income and Expense Items</w:t>
      </w:r>
    </w:p>
    <w:p w:rsidR="009534E2" w:rsidRDefault="003369EB">
      <w:pPr>
        <w:spacing w:after="200"/>
        <w:rPr>
          <w:rFonts w:eastAsia="Times New Roman" w:asciiTheme="majorHAnsi" w:hAnsiTheme="majorHAnsi" w:cstheme="majorHAnsi"/>
          <w:bCs/>
          <w:iCs/>
        </w:rPr>
      </w:pPr>
      <w:r>
        <w:rPr>
          <w:rFonts w:eastAsia="Times New Roman" w:asciiTheme="majorHAnsi" w:hAnsiTheme="majorHAnsi" w:cstheme="majorHAnsi"/>
          <w:b/>
          <w:bCs/>
          <w:i/>
          <w:iCs/>
          <w:lang w:eastAsia="ru-RU"/>
        </w:rPr>
        <w:t>Gain on disposal of an associate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Gain on disposal of an associate include the result of the transaction where we have completed the sale of our stake in our Tochka equity associate during 2021.</w:t>
      </w:r>
    </w:p>
    <w:p w:rsidR="009534E2" w:rsidRDefault="003369EB">
      <w:pPr>
        <w:keepNext/>
        <w:spacing w:after="200"/>
        <w:rPr>
          <w:rFonts w:eastAsia="Times New Roman" w:asciiTheme="majorHAnsi" w:hAnsiTheme="majorHAnsi" w:cstheme="majorHAnsi"/>
          <w:bCs/>
          <w:iCs/>
        </w:rPr>
      </w:pPr>
      <w:r>
        <w:rPr>
          <w:rFonts w:eastAsia="Times New Roman" w:asciiTheme="majorHAnsi" w:hAnsiTheme="majorHAnsi" w:cstheme="majorHAnsi"/>
          <w:b/>
          <w:bCs/>
          <w:i/>
          <w:iCs/>
          <w:lang w:eastAsia="ru-RU"/>
        </w:rPr>
        <w:t>Share of gain/(loss) of an associate and a joint venture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We recognize our share of gain/loss of an associate/joint venture which is shown on the face of the statement of comprehensive income or in the notes. This is the profit/loss attributable to equity holders of the associate/joint venture and, therefore, is profit after tax and non-controlling interests in the subsidiaries of the associate/joint venture.</w:t>
      </w:r>
    </w:p>
    <w:p w:rsidR="009534E2" w:rsidRDefault="003369EB">
      <w:pPr>
        <w:keepNext/>
        <w:keepLines/>
        <w:spacing w:after="200"/>
        <w:rPr>
          <w:rFonts w:eastAsia="Times New Roman" w:asciiTheme="majorHAnsi" w:hAnsiTheme="majorHAnsi" w:cstheme="majorHAnsi"/>
          <w:b/>
          <w:bCs/>
          <w:i/>
          <w:iCs/>
          <w:lang w:eastAsia="ru-RU"/>
        </w:rPr>
      </w:pPr>
      <w:r>
        <w:rPr>
          <w:rFonts w:eastAsia="Times New Roman" w:asciiTheme="majorHAnsi" w:hAnsiTheme="majorHAnsi" w:cstheme="majorHAnsi"/>
          <w:b/>
          <w:bCs/>
          <w:i/>
          <w:iCs/>
          <w:lang w:eastAsia="ru-RU"/>
        </w:rPr>
        <w:t>Foreign exchange gain / loss net</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Foreign exchange gain and loss arise as a result of re-measurement of monetary assets and liabilities denominated in foreign currencies at the functional currency rate of exchange at the reporting date. The amount of foreign exchange gain and loss for the reporting period is directly related to currency rates fluctuations.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i/>
          <w:iCs/>
          <w:lang w:eastAsia="ru-RU"/>
        </w:rPr>
        <w:t>Interest income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Interest income represents primarily interest on non-banking loans issued. </w:t>
      </w:r>
    </w:p>
    <w:p w:rsidR="009534E2" w:rsidRDefault="003369EB">
      <w:pPr>
        <w:keepNext/>
        <w:keepLines/>
        <w:spacing w:after="200"/>
        <w:rPr>
          <w:rFonts w:eastAsia="Times New Roman" w:asciiTheme="majorHAnsi" w:hAnsiTheme="majorHAnsi" w:cstheme="majorHAnsi"/>
          <w:b/>
          <w:bCs/>
          <w:i/>
          <w:iCs/>
          <w:lang w:eastAsia="ru-RU"/>
        </w:rPr>
      </w:pPr>
      <w:r>
        <w:rPr>
          <w:rFonts w:eastAsia="Times New Roman" w:asciiTheme="majorHAnsi" w:hAnsiTheme="majorHAnsi" w:cstheme="majorHAnsi"/>
          <w:b/>
          <w:bCs/>
          <w:i/>
          <w:iCs/>
          <w:lang w:eastAsia="ru-RU"/>
        </w:rPr>
        <w:t>Interest expenses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Interest expense primarily represents interest expense accrued on lease liabilities held by the Company.</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i/>
          <w:iCs/>
          <w:lang w:eastAsia="ru-RU"/>
        </w:rPr>
        <w:t>Other income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Other income primarily includes non-recurring gains that are immaterial by their nature and don’t relate to our operating activity.</w:t>
      </w:r>
    </w:p>
    <w:p w:rsidR="009534E2" w:rsidRDefault="003369EB">
      <w:pPr>
        <w:keepNext/>
        <w:keepLines/>
        <w:spacing w:after="200"/>
        <w:rPr>
          <w:rFonts w:eastAsia="Times New Roman" w:asciiTheme="majorHAnsi" w:hAnsiTheme="majorHAnsi" w:cstheme="majorHAnsi"/>
          <w:b/>
          <w:bCs/>
          <w:i/>
          <w:iCs/>
        </w:rPr>
      </w:pPr>
      <w:r>
        <w:rPr>
          <w:rFonts w:eastAsia="Times New Roman" w:asciiTheme="majorHAnsi" w:hAnsiTheme="majorHAnsi" w:cstheme="majorHAnsi"/>
          <w:b/>
          <w:bCs/>
          <w:i/>
          <w:iCs/>
        </w:rPr>
        <w:t>Other expenses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Other expenses primarily include non-recurring losses that are immaterial by their nature and don’t relate to our operating activity.</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Results of Operations</w:t>
      </w:r>
    </w:p>
    <w:p w:rsidR="009534E2" w:rsidRDefault="003369EB">
      <w:pPr>
        <w:keepNext/>
        <w:keepLines/>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Set out below are our consolidated statements of operations data for the years ended December 31, 2020, 2021, and 2022:</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634"/>
        <w:gridCol w:w="242"/>
        <w:gridCol w:w="814"/>
        <w:gridCol w:w="242"/>
        <w:gridCol w:w="814"/>
        <w:gridCol w:w="242"/>
        <w:gridCol w:w="812"/>
      </w:tblGrid>
      <w:tr w:rsidR="009534E2">
        <w:trPr>
          <w:trHeight w:val="20" w:hRule="exact"/>
          <w:jc w:val="center"/>
        </w:trPr>
        <w:tc>
          <w:tcPr>
            <w:tcW w:w="3534" w:type="pct"/>
            <w:tcBorders>
              <w:top w:val="nil"/>
              <w:left w:val="nil"/>
              <w:bottom w:val="nil"/>
              <w:right w:val="nil"/>
            </w:tcBorders>
            <w:vAlign w:val="bottom"/>
          </w:tcPr>
          <w:p w:rsidR="009534E2" w:rsidRDefault="009534E2">
            <w:pPr>
              <w:keepNext/>
              <w:rPr>
                <w:sz w:val="2"/>
              </w:rPr>
            </w:pPr>
            <w:bookmarkStart w:name="_8a73f320_d553_4165_ba74_3d92c94aad51" w:id="214"/>
            <w:bookmarkStart w:name="_50a7ba9f_5eab_4e04_8e55_0371434e7d82" w:colFirst="0" w:colLast="0" w:id="215"/>
            <w:bookmarkStart w:name="_9db9a3a7_1c8b_4bfd_9e27_4ced074e5a77" w:colFirst="1" w:colLast="1" w:id="216"/>
            <w:bookmarkStart w:name="_9eb388f9_f657_4c8f_96de_44f6ff4a5581" w:colFirst="2" w:colLast="2" w:id="217"/>
            <w:bookmarkStart w:name="_3aa71b97_41c9_4fac_bbec_4cb500bf7bb3" w:colFirst="3" w:colLast="3" w:id="218"/>
            <w:bookmarkStart w:name="_18adb971_384d_4242_8a47_dd7afe96cc13" w:colFirst="4" w:colLast="4" w:id="219"/>
            <w:bookmarkStart w:name="_790cb778_86ef_4637_ae92_d174140f9026" w:colFirst="5" w:colLast="5" w:id="220"/>
            <w:bookmarkStart w:name="_4f52182b_9e13_4f37_af96_1f2edd8f9623" w:colFirst="6" w:colLast="6" w:id="221"/>
            <w:bookmarkStart w:name="_f897bb7e_4730_4b6a_80e3_870144668517" w:id="222"/>
            <w:bookmarkEnd w:id="214"/>
          </w:p>
        </w:tc>
        <w:tc>
          <w:tcPr>
            <w:tcW w:w="112" w:type="pct"/>
            <w:tcBorders>
              <w:top w:val="nil"/>
              <w:left w:val="nil"/>
              <w:bottom w:val="nil"/>
              <w:right w:val="nil"/>
            </w:tcBorders>
            <w:noWrap/>
            <w:vAlign w:val="bottom"/>
          </w:tcPr>
          <w:p w:rsidR="009534E2" w:rsidRDefault="009534E2">
            <w:pPr>
              <w:keepNext/>
              <w:rPr>
                <w:sz w:val="2"/>
              </w:rPr>
            </w:pPr>
          </w:p>
        </w:tc>
        <w:tc>
          <w:tcPr>
            <w:tcW w:w="377" w:type="pct"/>
            <w:tcBorders>
              <w:top w:val="nil"/>
              <w:left w:val="nil"/>
              <w:bottom w:val="nil"/>
              <w:right w:val="nil"/>
            </w:tcBorders>
            <w:noWrap/>
            <w:vAlign w:val="bottom"/>
          </w:tcPr>
          <w:p w:rsidR="009534E2" w:rsidRDefault="009534E2">
            <w:pPr>
              <w:keepNext/>
              <w:rPr>
                <w:sz w:val="2"/>
              </w:rPr>
            </w:pPr>
          </w:p>
        </w:tc>
        <w:tc>
          <w:tcPr>
            <w:tcW w:w="112" w:type="pct"/>
            <w:tcBorders>
              <w:top w:val="nil"/>
              <w:left w:val="nil"/>
              <w:bottom w:val="nil"/>
              <w:right w:val="nil"/>
            </w:tcBorders>
            <w:noWrap/>
            <w:vAlign w:val="bottom"/>
          </w:tcPr>
          <w:p w:rsidR="009534E2" w:rsidRDefault="009534E2">
            <w:pPr>
              <w:keepNext/>
              <w:rPr>
                <w:sz w:val="2"/>
              </w:rPr>
            </w:pPr>
          </w:p>
        </w:tc>
        <w:tc>
          <w:tcPr>
            <w:tcW w:w="377" w:type="pct"/>
            <w:tcBorders>
              <w:top w:val="nil"/>
              <w:left w:val="nil"/>
              <w:bottom w:val="nil"/>
              <w:right w:val="nil"/>
            </w:tcBorders>
            <w:noWrap/>
            <w:vAlign w:val="bottom"/>
          </w:tcPr>
          <w:p w:rsidR="009534E2" w:rsidRDefault="009534E2">
            <w:pPr>
              <w:keepNext/>
              <w:rPr>
                <w:sz w:val="2"/>
              </w:rPr>
            </w:pPr>
          </w:p>
        </w:tc>
        <w:tc>
          <w:tcPr>
            <w:tcW w:w="112" w:type="pct"/>
            <w:tcBorders>
              <w:top w:val="nil"/>
              <w:left w:val="nil"/>
              <w:bottom w:val="nil"/>
              <w:right w:val="nil"/>
            </w:tcBorders>
            <w:noWrap/>
            <w:vAlign w:val="bottom"/>
          </w:tcPr>
          <w:p w:rsidR="009534E2" w:rsidRDefault="009534E2">
            <w:pPr>
              <w:keepNext/>
              <w:rPr>
                <w:sz w:val="2"/>
              </w:rPr>
            </w:pPr>
          </w:p>
        </w:tc>
        <w:tc>
          <w:tcPr>
            <w:tcW w:w="377" w:type="pct"/>
            <w:tcBorders>
              <w:top w:val="nil"/>
              <w:left w:val="nil"/>
              <w:bottom w:val="nil"/>
              <w:right w:val="nil"/>
            </w:tcBorders>
            <w:noWrap/>
            <w:vAlign w:val="bottom"/>
          </w:tcPr>
          <w:p w:rsidR="009534E2" w:rsidRDefault="009534E2">
            <w:pPr>
              <w:keepNext/>
              <w:rPr>
                <w:sz w:val="2"/>
              </w:rPr>
            </w:pPr>
          </w:p>
        </w:tc>
      </w:tr>
      <w:tr w:rsidR="009534E2">
        <w:trPr>
          <w:jc w:val="center"/>
        </w:trPr>
        <w:tc>
          <w:tcPr>
            <w:tcW w:w="3534" w:type="pct"/>
            <w:tcBorders>
              <w:top w:val="nil"/>
              <w:left w:val="nil"/>
              <w:bottom w:val="nil"/>
              <w:right w:val="nil"/>
              <w:tl2br w:val="nil"/>
              <w:tr2bl w:val="nil"/>
            </w:tcBorders>
            <w:shd w:val="clear" w:color="auto" w:fill="auto"/>
            <w:vAlign w:val="bottom"/>
          </w:tcPr>
          <w:p w:rsidR="009534E2" w:rsidRDefault="009534E2">
            <w:pPr>
              <w:keepNext/>
              <w:rPr>
                <w:b/>
                <w:i/>
                <w:color w:val="000000"/>
                <w:sz w:val="16"/>
              </w:rPr>
            </w:pPr>
            <w:bookmarkStart w:name="_16622b8f_b5fe_46c1_9434_0e054874b4d2" w:id="223"/>
            <w:bookmarkEnd w:id="215"/>
            <w:bookmarkEnd w:id="216"/>
            <w:bookmarkEnd w:id="217"/>
            <w:bookmarkEnd w:id="218"/>
            <w:bookmarkEnd w:id="219"/>
            <w:bookmarkEnd w:id="220"/>
            <w:bookmarkEnd w:id="221"/>
          </w:p>
        </w:tc>
        <w:tc>
          <w:tcPr>
            <w:tcW w:w="112" w:type="pct"/>
            <w:tcBorders>
              <w:top w:val="nil"/>
              <w:left w:val="nil"/>
              <w:bottom w:val="nil"/>
              <w:right w:val="nil"/>
              <w:tl2br w:val="nil"/>
              <w:tr2bl w:val="nil"/>
            </w:tcBorders>
            <w:shd w:val="clear" w:color="auto" w:fill="auto"/>
            <w:noWrap/>
            <w:vAlign w:val="bottom"/>
          </w:tcPr>
          <w:p w:rsidR="009534E2" w:rsidRDefault="009534E2">
            <w:pPr>
              <w:keepNext/>
              <w:rPr>
                <w:color w:val="000000"/>
                <w:sz w:val="16"/>
              </w:rPr>
            </w:pPr>
          </w:p>
        </w:tc>
        <w:tc>
          <w:tcPr>
            <w:tcW w:w="1355" w:type="pct"/>
            <w:gridSpan w:val="5"/>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Years ended December 31,</w:t>
            </w:r>
          </w:p>
        </w:tc>
      </w:tr>
      <w:tr w:rsidR="009534E2">
        <w:trPr>
          <w:jc w:val="center"/>
        </w:trPr>
        <w:tc>
          <w:tcPr>
            <w:tcW w:w="3534" w:type="pct"/>
            <w:tcBorders>
              <w:top w:val="nil"/>
              <w:left w:val="nil"/>
              <w:bottom w:val="nil"/>
              <w:right w:val="nil"/>
              <w:tl2br w:val="nil"/>
              <w:tr2bl w:val="nil"/>
            </w:tcBorders>
            <w:shd w:val="clear" w:color="auto" w:fill="auto"/>
            <w:vAlign w:val="bottom"/>
          </w:tcPr>
          <w:p w:rsidR="009534E2" w:rsidRDefault="009534E2">
            <w:pPr>
              <w:keepNext/>
              <w:rPr>
                <w:b/>
                <w:i/>
                <w:color w:val="000000"/>
                <w:sz w:val="16"/>
              </w:rPr>
            </w:pPr>
            <w:bookmarkStart w:name="_c601f95b_0c24_47b6_94f4_f839e0269328" w:id="224"/>
            <w:bookmarkEnd w:id="223"/>
          </w:p>
        </w:tc>
        <w:tc>
          <w:tcPr>
            <w:tcW w:w="112" w:type="pct"/>
            <w:tcBorders>
              <w:top w:val="nil"/>
              <w:left w:val="nil"/>
              <w:bottom w:val="nil"/>
              <w:right w:val="nil"/>
              <w:tl2br w:val="nil"/>
              <w:tr2bl w:val="nil"/>
            </w:tcBorders>
            <w:shd w:val="clear" w:color="auto" w:fill="auto"/>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377"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2020 (1)</w:t>
            </w:r>
          </w:p>
        </w:tc>
        <w:tc>
          <w:tcPr>
            <w:tcW w:w="112" w:type="pct"/>
            <w:tcBorders>
              <w:top w:val="nil"/>
              <w:left w:val="nil"/>
              <w:bottom w:val="nil"/>
              <w:right w:val="nil"/>
              <w:tl2br w:val="nil"/>
              <w:tr2bl w:val="nil"/>
            </w:tcBorders>
            <w:shd w:val="clear" w:color="auto" w:fill="auto"/>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377"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2021</w:t>
            </w:r>
          </w:p>
        </w:tc>
        <w:tc>
          <w:tcPr>
            <w:tcW w:w="112" w:type="pct"/>
            <w:tcBorders>
              <w:top w:val="nil"/>
              <w:left w:val="nil"/>
              <w:bottom w:val="nil"/>
              <w:right w:val="nil"/>
              <w:tl2br w:val="nil"/>
              <w:tr2bl w:val="nil"/>
            </w:tcBorders>
            <w:shd w:val="clear" w:color="auto" w:fill="auto"/>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377"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2022</w:t>
            </w:r>
          </w:p>
        </w:tc>
      </w:tr>
      <w:tr w:rsidR="009534E2">
        <w:trPr>
          <w:jc w:val="center"/>
        </w:trPr>
        <w:tc>
          <w:tcPr>
            <w:tcW w:w="3534" w:type="pct"/>
            <w:tcBorders>
              <w:top w:val="nil"/>
              <w:left w:val="nil"/>
              <w:bottom w:val="nil"/>
              <w:right w:val="nil"/>
              <w:tl2br w:val="nil"/>
              <w:tr2bl w:val="nil"/>
            </w:tcBorders>
            <w:shd w:val="clear" w:color="auto" w:fill="auto"/>
            <w:vAlign w:val="bottom"/>
          </w:tcPr>
          <w:p w:rsidR="009534E2" w:rsidRDefault="009534E2">
            <w:pPr>
              <w:keepNext/>
              <w:rPr>
                <w:b/>
                <w:i/>
                <w:color w:val="000000"/>
                <w:sz w:val="16"/>
              </w:rPr>
            </w:pPr>
            <w:bookmarkStart w:name="_954fb5b1_39d5_484c_b887_0f76e7f27163" w:id="225"/>
            <w:bookmarkEnd w:id="224"/>
          </w:p>
        </w:tc>
        <w:tc>
          <w:tcPr>
            <w:tcW w:w="112" w:type="pct"/>
            <w:tcBorders>
              <w:top w:val="nil"/>
              <w:left w:val="nil"/>
              <w:bottom w:val="nil"/>
              <w:right w:val="nil"/>
              <w:tl2br w:val="nil"/>
              <w:tr2bl w:val="nil"/>
            </w:tcBorders>
            <w:shd w:val="clear" w:color="auto" w:fill="auto"/>
            <w:noWrap/>
            <w:vAlign w:val="bottom"/>
          </w:tcPr>
          <w:p w:rsidR="009534E2" w:rsidRDefault="009534E2">
            <w:pPr>
              <w:keepNext/>
              <w:rPr>
                <w:color w:val="000000"/>
                <w:sz w:val="16"/>
              </w:rPr>
            </w:pPr>
          </w:p>
        </w:tc>
        <w:tc>
          <w:tcPr>
            <w:tcW w:w="1355" w:type="pct"/>
            <w:gridSpan w:val="5"/>
            <w:tcBorders>
              <w:top w:val="nil"/>
              <w:left w:val="nil"/>
              <w:bottom w:val="nil"/>
              <w:right w:val="nil"/>
              <w:tl2br w:val="nil"/>
              <w:tr2bl w:val="nil"/>
            </w:tcBorders>
            <w:shd w:val="clear" w:color="auto" w:fill="auto"/>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(in RUB millions)</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b/>
                <w:i/>
                <w:color w:val="000000"/>
              </w:rPr>
            </w:pPr>
            <w:bookmarkStart w:name="_b911a8ed_6348_4f58_9fa6_38b321c808b3" w:id="226"/>
            <w:bookmarkEnd w:id="225"/>
            <w:r>
              <w:rPr>
                <w:rFonts w:ascii="Times New Roman" w:hAnsi="Times New Roman" w:eastAsia="Times New Roman" w:cs="Times New Roman"/>
                <w:b/>
                <w:i/>
                <w:color w:val="000000"/>
              </w:rPr>
              <w:t>Continuing operations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b/>
                <w:color w:val="000000"/>
              </w:rPr>
            </w:pPr>
            <w:bookmarkStart w:name="_e37cad17_d0e2_49eb_a9e2_1d5fcbf88ab7" w:id="227"/>
            <w:bookmarkEnd w:id="226"/>
            <w:r>
              <w:rPr>
                <w:rFonts w:ascii="Times New Roman" w:hAnsi="Times New Roman" w:eastAsia="Times New Roman" w:cs="Times New Roman"/>
                <w:b/>
                <w:color w:val="000000"/>
              </w:rPr>
              <w:t>Revenue, including</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40,622</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41,135</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51,502</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fbcd1270_b218_4783_bedf_548a9f870bce" w:id="228"/>
            <w:bookmarkEnd w:id="227"/>
            <w:r>
              <w:rPr>
                <w:rFonts w:ascii="Times New Roman" w:hAnsi="Times New Roman" w:eastAsia="Times New Roman" w:cs="Times New Roman"/>
                <w:color w:val="000000"/>
              </w:rPr>
              <w:t>Payment processing fees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34,326</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33,397</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37,689</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04353cbb_3d60_46a2_bc69_be38b4ce35d7" w:id="229"/>
            <w:bookmarkEnd w:id="228"/>
            <w:r>
              <w:rPr>
                <w:rFonts w:ascii="Times New Roman" w:hAnsi="Times New Roman" w:eastAsia="Times New Roman" w:cs="Times New Roman"/>
                <w:color w:val="000000"/>
              </w:rPr>
              <w:t>Interest revenue calculated using the effective interest rate</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2,390</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3,453</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6,764</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ee1bd1ef_5901_4ec8_8c5f_cf0000ace7ac" w:id="230"/>
            <w:bookmarkEnd w:id="229"/>
            <w:r>
              <w:rPr>
                <w:rFonts w:ascii="Times New Roman" w:hAnsi="Times New Roman" w:eastAsia="Times New Roman" w:cs="Times New Roman"/>
                <w:color w:val="000000"/>
              </w:rPr>
              <w:t>Fees from inactive accounts and unclaimed payments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1,952</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1,771</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1,686</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d1fe9a9f_acc6_4be1_9b77_0b508c209d7b" w:id="231"/>
            <w:bookmarkEnd w:id="230"/>
            <w:r>
              <w:rPr>
                <w:rFonts w:ascii="Times New Roman" w:hAnsi="Times New Roman" w:eastAsia="Times New Roman" w:cs="Times New Roman"/>
                <w:color w:val="000000"/>
              </w:rPr>
              <w:t>Other revenue</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1,954</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2,514</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5,363</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b/>
                <w:color w:val="000000"/>
              </w:rPr>
            </w:pPr>
            <w:bookmarkStart w:name="_24457587_4714_4162_9529_38ad2d5af99e" w:id="232"/>
            <w:bookmarkEnd w:id="231"/>
            <w:r>
              <w:rPr>
                <w:rFonts w:ascii="Times New Roman" w:hAnsi="Times New Roman" w:eastAsia="Times New Roman" w:cs="Times New Roman"/>
                <w:b/>
                <w:color w:val="000000"/>
              </w:rPr>
              <w:t>Operating costs and expenses, including</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b/>
                <w:color w:val="000000"/>
              </w:rPr>
            </w:pPr>
            <w:r>
              <w:rPr>
                <w:rFonts w:ascii="Times New Roman" w:hAnsi="Times New Roman" w:eastAsia="Times New Roman" w:cs="Times New Roman"/>
                <w:b/>
                <w:color w:val="000000"/>
              </w:rPr>
              <w:t xml:space="preserve"> (26,558)</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b/>
                <w:color w:val="000000"/>
              </w:rPr>
            </w:pPr>
            <w:r>
              <w:rPr>
                <w:rFonts w:ascii="Times New Roman" w:hAnsi="Times New Roman" w:eastAsia="Times New Roman" w:cs="Times New Roman"/>
                <w:b/>
                <w:color w:val="000000"/>
              </w:rPr>
              <w:t xml:space="preserve"> (29,130)</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b/>
                <w:color w:val="000000"/>
              </w:rPr>
            </w:pPr>
            <w:r>
              <w:rPr>
                <w:rFonts w:ascii="Times New Roman" w:hAnsi="Times New Roman" w:eastAsia="Times New Roman" w:cs="Times New Roman"/>
                <w:b/>
                <w:color w:val="000000"/>
              </w:rPr>
              <w:t xml:space="preserve"> (32,914)</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3dc3f80a_7230_41cc_bbeb_5f6e1cf82f5d" w:id="233"/>
            <w:bookmarkEnd w:id="232"/>
            <w:r>
              <w:rPr>
                <w:rFonts w:ascii="Times New Roman" w:hAnsi="Times New Roman" w:eastAsia="Times New Roman" w:cs="Times New Roman"/>
                <w:color w:val="000000"/>
              </w:rPr>
              <w:t>Cost of revenue (exclusive of items shown separately below)</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(16,494)</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(18,022)</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(17,365)</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133a442b_908c_4530_9a9a_7075067afef4" w:id="234"/>
            <w:bookmarkEnd w:id="233"/>
            <w:r>
              <w:rPr>
                <w:rFonts w:ascii="Times New Roman" w:hAnsi="Times New Roman" w:eastAsia="Times New Roman" w:cs="Times New Roman"/>
                <w:color w:val="000000"/>
              </w:rPr>
              <w:t>Selling, general and administrative expenses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(2,733)</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(3,228)</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(3,767)</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8eed67e2_3831_4b1f_b7ec_6c4932e460a5" w:id="235"/>
            <w:bookmarkEnd w:id="234"/>
            <w:r>
              <w:rPr>
                <w:rFonts w:ascii="Times New Roman" w:hAnsi="Times New Roman" w:eastAsia="Times New Roman" w:cs="Times New Roman"/>
                <w:color w:val="000000"/>
              </w:rPr>
              <w:t>Personnel expenses</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(6,108)</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(6,390)</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(8,269)</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d8cfbb46_5411_4930_a397_7694a4993e64" w:id="236"/>
            <w:bookmarkEnd w:id="235"/>
            <w:r>
              <w:rPr>
                <w:rFonts w:ascii="Times New Roman" w:hAnsi="Times New Roman" w:eastAsia="Times New Roman" w:cs="Times New Roman"/>
                <w:color w:val="000000"/>
              </w:rPr>
              <w:t>Depreciation and amortization</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(1,101)</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(1,130)</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(1,085)</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fee57f24_f578_49fa_ab4b_0719cdc06fbd" w:id="237"/>
            <w:bookmarkEnd w:id="236"/>
            <w:r>
              <w:rPr>
                <w:rFonts w:ascii="Times New Roman" w:hAnsi="Times New Roman" w:eastAsia="Times New Roman" w:cs="Times New Roman"/>
                <w:color w:val="000000"/>
              </w:rPr>
              <w:t>Credit loss expense</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(90)</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(336)</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(2,381)</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d41f5c57_f66c_434c_b251_01e5d67a5ec5" w:id="238"/>
            <w:bookmarkEnd w:id="237"/>
            <w:r>
              <w:rPr>
                <w:rFonts w:ascii="Times New Roman" w:hAnsi="Times New Roman" w:eastAsia="Times New Roman" w:cs="Times New Roman"/>
                <w:color w:val="000000"/>
              </w:rPr>
              <w:t>Impairment of non-current assets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(32)</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(24)</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(47)</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b/>
                <w:color w:val="000000"/>
              </w:rPr>
            </w:pPr>
            <w:bookmarkStart w:name="_c4376f04_63d1_4797_bb4a_5bff34cd5cd5" w:id="239"/>
            <w:bookmarkEnd w:id="238"/>
            <w:r>
              <w:rPr>
                <w:rFonts w:ascii="Times New Roman" w:hAnsi="Times New Roman" w:eastAsia="Times New Roman" w:cs="Times New Roman"/>
                <w:b/>
                <w:color w:val="000000"/>
              </w:rPr>
              <w:t>Profit from operations</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14,064</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12,005</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18,588</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73638a0e_5bf2_4ded_9fac_53360eec8c51" w:id="240"/>
            <w:bookmarkEnd w:id="239"/>
            <w:r>
              <w:rPr>
                <w:rFonts w:ascii="Times New Roman" w:hAnsi="Times New Roman" w:eastAsia="Times New Roman" w:cs="Times New Roman"/>
                <w:color w:val="000000"/>
              </w:rPr>
              <w:t>Gain on disposal of an associate</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8,177</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9d234189_d188_4cf4_994c_23abd1ba3d99" w:id="241"/>
            <w:bookmarkEnd w:id="240"/>
            <w:r>
              <w:rPr>
                <w:rFonts w:ascii="Times New Roman" w:hAnsi="Times New Roman" w:eastAsia="Times New Roman" w:cs="Times New Roman"/>
                <w:color w:val="000000"/>
              </w:rPr>
              <w:t>Share of gain/(loss) of an associate and a joint venture</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663</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306</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(39)</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f1270f1d_3070_4395_84d2_74feb3b90adc" w:id="242"/>
            <w:bookmarkEnd w:id="241"/>
            <w:r>
              <w:rPr>
                <w:rFonts w:ascii="Times New Roman" w:hAnsi="Times New Roman" w:eastAsia="Times New Roman" w:cs="Times New Roman"/>
                <w:color w:val="000000"/>
              </w:rPr>
              <w:t>Foreign exchange gain/(loss), net (2)</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(199)</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(29)</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(650)</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a60fd9d3_22f0_4cd7_9cdd_cc1ee3bf2f5a" w:id="243"/>
            <w:bookmarkEnd w:id="242"/>
            <w:r>
              <w:rPr>
                <w:rFonts w:ascii="Times New Roman" w:hAnsi="Times New Roman" w:eastAsia="Times New Roman" w:cs="Times New Roman"/>
                <w:color w:val="000000"/>
              </w:rPr>
              <w:t>Interest income</w:t>
            </w:r>
          </w:p>
        </w:tc>
        <w:tc>
          <w:tcPr>
            <w:tcW w:w="112" w:type="pct"/>
            <w:tcBorders>
              <w:top w:val="nil"/>
              <w:left w:val="nil"/>
              <w:bottom w:val="nil"/>
              <w:right w:val="nil"/>
              <w:tl2br w:val="nil"/>
              <w:tr2bl w:val="nil"/>
            </w:tcBorders>
            <w:noWrap/>
            <w:vAlign w:val="bottom"/>
          </w:tcPr>
          <w:p w:rsidR="009534E2" w:rsidRDefault="009534E2">
            <w:pPr>
              <w:keepNext/>
              <w:rPr>
                <w:color w:val="000000"/>
              </w:rPr>
            </w:pP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40</w:t>
            </w:r>
          </w:p>
        </w:tc>
        <w:tc>
          <w:tcPr>
            <w:tcW w:w="112" w:type="pct"/>
            <w:tcBorders>
              <w:top w:val="nil"/>
              <w:left w:val="nil"/>
              <w:bottom w:val="nil"/>
              <w:right w:val="nil"/>
              <w:tl2br w:val="nil"/>
              <w:tr2bl w:val="nil"/>
            </w:tcBorders>
            <w:noWrap/>
            <w:vAlign w:val="bottom"/>
          </w:tcPr>
          <w:p w:rsidR="009534E2" w:rsidRDefault="009534E2">
            <w:pPr>
              <w:keepNext/>
              <w:rPr>
                <w:color w:val="000000"/>
              </w:rPr>
            </w:pP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168</w:t>
            </w:r>
          </w:p>
        </w:tc>
        <w:tc>
          <w:tcPr>
            <w:tcW w:w="112" w:type="pct"/>
            <w:tcBorders>
              <w:top w:val="nil"/>
              <w:left w:val="nil"/>
              <w:bottom w:val="nil"/>
              <w:right w:val="nil"/>
              <w:tl2br w:val="nil"/>
              <w:tr2bl w:val="nil"/>
            </w:tcBorders>
            <w:noWrap/>
            <w:vAlign w:val="bottom"/>
          </w:tcPr>
          <w:p w:rsidR="009534E2" w:rsidRDefault="009534E2">
            <w:pPr>
              <w:keepNext/>
              <w:rPr>
                <w:color w:val="000000"/>
              </w:rPr>
            </w:pP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109</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b590af0f_00b6_428d_bf15_2dec4aae8e1c" w:id="244"/>
            <w:bookmarkEnd w:id="243"/>
            <w:r>
              <w:rPr>
                <w:rFonts w:ascii="Times New Roman" w:hAnsi="Times New Roman" w:eastAsia="Times New Roman" w:cs="Times New Roman"/>
                <w:color w:val="000000"/>
              </w:rPr>
              <w:t>Interest expenses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(108)</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(76)</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(51)</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302437ba_5c96_4cc3_b9d3_64160b38e175" w:id="245"/>
            <w:bookmarkEnd w:id="244"/>
            <w:r>
              <w:rPr>
                <w:rFonts w:ascii="Times New Roman" w:hAnsi="Times New Roman" w:eastAsia="Times New Roman" w:cs="Times New Roman"/>
                <w:color w:val="000000"/>
              </w:rPr>
              <w:t>Other income</w:t>
            </w:r>
          </w:p>
        </w:tc>
        <w:tc>
          <w:tcPr>
            <w:tcW w:w="112" w:type="pct"/>
            <w:tcBorders>
              <w:top w:val="nil"/>
              <w:left w:val="nil"/>
              <w:bottom w:val="nil"/>
              <w:right w:val="nil"/>
              <w:tl2br w:val="nil"/>
              <w:tr2bl w:val="nil"/>
            </w:tcBorders>
            <w:noWrap/>
            <w:vAlign w:val="bottom"/>
          </w:tcPr>
          <w:p w:rsidR="009534E2" w:rsidRDefault="009534E2">
            <w:pPr>
              <w:keepNext/>
              <w:rPr>
                <w:color w:val="000000"/>
              </w:rPr>
            </w:pP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3</w:t>
            </w:r>
          </w:p>
        </w:tc>
        <w:tc>
          <w:tcPr>
            <w:tcW w:w="112" w:type="pct"/>
            <w:tcBorders>
              <w:top w:val="nil"/>
              <w:left w:val="nil"/>
              <w:bottom w:val="nil"/>
              <w:right w:val="nil"/>
              <w:tl2br w:val="nil"/>
              <w:tr2bl w:val="nil"/>
            </w:tcBorders>
            <w:noWrap/>
            <w:vAlign w:val="bottom"/>
          </w:tcPr>
          <w:p w:rsidR="009534E2" w:rsidRDefault="009534E2">
            <w:pPr>
              <w:keepNext/>
              <w:rPr>
                <w:color w:val="000000"/>
              </w:rPr>
            </w:pP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159</w:t>
            </w:r>
          </w:p>
        </w:tc>
        <w:tc>
          <w:tcPr>
            <w:tcW w:w="112" w:type="pct"/>
            <w:tcBorders>
              <w:top w:val="nil"/>
              <w:left w:val="nil"/>
              <w:bottom w:val="nil"/>
              <w:right w:val="nil"/>
              <w:tl2br w:val="nil"/>
              <w:tr2bl w:val="nil"/>
            </w:tcBorders>
            <w:noWrap/>
            <w:vAlign w:val="bottom"/>
          </w:tcPr>
          <w:p w:rsidR="009534E2" w:rsidRDefault="009534E2">
            <w:pPr>
              <w:keepNext/>
              <w:rPr>
                <w:color w:val="000000"/>
              </w:rPr>
            </w:pP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276</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f3fa8569_0cd9_4a4b_8215_3d1ac5322a6e" w:id="246"/>
            <w:bookmarkEnd w:id="245"/>
            <w:r>
              <w:rPr>
                <w:rFonts w:ascii="Times New Roman" w:hAnsi="Times New Roman" w:eastAsia="Times New Roman" w:cs="Times New Roman"/>
                <w:color w:val="000000"/>
              </w:rPr>
              <w:t>Other expenses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(98)</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(94)</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(49)</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b/>
                <w:color w:val="000000"/>
              </w:rPr>
            </w:pPr>
            <w:bookmarkStart w:name="_ed814318_e092_4e79_8354_d790444a8a1b" w:id="247"/>
            <w:bookmarkEnd w:id="246"/>
            <w:r>
              <w:rPr>
                <w:rFonts w:ascii="Times New Roman" w:hAnsi="Times New Roman" w:eastAsia="Times New Roman" w:cs="Times New Roman"/>
                <w:b/>
                <w:color w:val="000000"/>
              </w:rPr>
              <w:t>Profit before tax from continuing operations</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14,365</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20,616</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18,184</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0d383499_2e7b_4e11_9cf3_96d155a041d9" w:id="248"/>
            <w:bookmarkEnd w:id="247"/>
            <w:r>
              <w:rPr>
                <w:rFonts w:ascii="Times New Roman" w:hAnsi="Times New Roman" w:eastAsia="Times New Roman" w:cs="Times New Roman"/>
                <w:color w:val="000000"/>
              </w:rPr>
              <w:t>Income tax expense</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(3,119)</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(3,080)</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(4,429)</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b/>
                <w:color w:val="000000"/>
              </w:rPr>
            </w:pPr>
            <w:bookmarkStart w:name="_2e0cbd68_e56a_4e55_9373_b88a27806950" w:id="249"/>
            <w:bookmarkEnd w:id="248"/>
            <w:r>
              <w:rPr>
                <w:rFonts w:ascii="Times New Roman" w:hAnsi="Times New Roman" w:eastAsia="Times New Roman" w:cs="Times New Roman"/>
                <w:b/>
                <w:color w:val="000000"/>
              </w:rPr>
              <w:t>Net profit from continuing operations</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11,246</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17,536</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13,755</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9534E2">
            <w:pPr>
              <w:keepNext/>
              <w:rPr>
                <w:b/>
                <w:color w:val="000000"/>
              </w:rPr>
            </w:pPr>
            <w:bookmarkStart w:name="_ddf3807f_c4cc_424d_8ed1_ea45fd821001" w:id="250"/>
            <w:bookmarkEnd w:id="249"/>
          </w:p>
        </w:tc>
        <w:tc>
          <w:tcPr>
            <w:tcW w:w="112"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377"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112"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377"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112"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377"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b/>
                <w:i/>
                <w:color w:val="000000"/>
              </w:rPr>
            </w:pPr>
            <w:bookmarkStart w:name="_069b7bc4_609d_4b9c_810b_47eeedb1a7ec" w:id="251"/>
            <w:bookmarkEnd w:id="250"/>
            <w:r>
              <w:rPr>
                <w:rFonts w:ascii="Times New Roman" w:hAnsi="Times New Roman" w:eastAsia="Times New Roman" w:cs="Times New Roman"/>
                <w:b/>
                <w:i/>
                <w:color w:val="000000"/>
              </w:rPr>
              <w:t>Discontinued operations</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1a137c02_e506_4a0b_a8bd_69e84b8b36a6" w:id="252"/>
            <w:bookmarkEnd w:id="251"/>
            <w:r>
              <w:rPr>
                <w:rFonts w:ascii="Times New Roman" w:hAnsi="Times New Roman" w:eastAsia="Times New Roman" w:cs="Times New Roman"/>
                <w:color w:val="000000"/>
              </w:rPr>
              <w:t>Loss after tax from discontinued operations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(2,308)</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b/>
                <w:color w:val="000000"/>
              </w:rPr>
            </w:pPr>
            <w:bookmarkStart w:name="_a10e0465_6450_45fc_845d_6d1eb3cc360c" w:id="253"/>
            <w:bookmarkEnd w:id="252"/>
            <w:r>
              <w:rPr>
                <w:rFonts w:ascii="Times New Roman" w:hAnsi="Times New Roman" w:eastAsia="Times New Roman" w:cs="Times New Roman"/>
                <w:b/>
                <w:color w:val="000000"/>
              </w:rPr>
              <w:t>Net profit</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8,938</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17,536</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13,755</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9534E2">
            <w:pPr>
              <w:keepNext/>
              <w:rPr>
                <w:color w:val="000000"/>
              </w:rPr>
            </w:pPr>
            <w:bookmarkStart w:name="_803ef1a0_fc32_43f4_91c2_310d1ccf3963" w:id="254"/>
            <w:bookmarkEnd w:id="253"/>
          </w:p>
        </w:tc>
        <w:tc>
          <w:tcPr>
            <w:tcW w:w="112"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377"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112"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377"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112"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377"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a7701a17_4a1b_4620_bb50_e63b0ffbe754" w:id="255"/>
            <w:bookmarkEnd w:id="254"/>
            <w:r>
              <w:rPr>
                <w:rFonts w:ascii="Times New Roman" w:hAnsi="Times New Roman" w:eastAsia="Times New Roman" w:cs="Times New Roman"/>
                <w:color w:val="000000"/>
              </w:rPr>
              <w:t>Attributable to:</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ind w:left="120"/>
              <w:rPr>
                <w:color w:val="000000"/>
              </w:rPr>
            </w:pPr>
            <w:bookmarkStart w:name="_7bcc6aab_f31b_4775_bd96_6aacaac3b1f6" w:id="256"/>
            <w:bookmarkEnd w:id="255"/>
            <w:r>
              <w:rPr>
                <w:rFonts w:ascii="Times New Roman" w:hAnsi="Times New Roman" w:eastAsia="Times New Roman" w:cs="Times New Roman"/>
                <w:color w:val="000000"/>
              </w:rPr>
              <w:t>Equity holders of the parent</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8,842</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17,399</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13,119</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ind w:left="120"/>
              <w:rPr>
                <w:color w:val="000000"/>
              </w:rPr>
            </w:pPr>
            <w:bookmarkStart w:name="_41025122_2a20_4ee8_8650_8eb569e7b25b" w:id="257"/>
            <w:bookmarkEnd w:id="256"/>
            <w:r>
              <w:rPr>
                <w:rFonts w:ascii="Times New Roman" w:hAnsi="Times New Roman" w:eastAsia="Times New Roman" w:cs="Times New Roman"/>
                <w:color w:val="000000"/>
              </w:rPr>
              <w:t>Non-controlling interests</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96</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137</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636</w:t>
            </w:r>
          </w:p>
        </w:tc>
      </w:tr>
    </w:tbl>
    <w:bookmarkEnd w:id="222"/>
    <w:bookmarkEnd w:id="257"/>
    <w:p w:rsidR="009534E2" w:rsidRDefault="00EC0AE1">
      <w:pPr>
        <w:tabs>
          <w:tab w:val="left" w:pos="481"/>
        </w:tabs>
        <w:ind w:left="461" w:hanging="461"/>
        <w:rPr>
          <w:rFonts w:eastAsia="Times New Roman" w:asciiTheme="majorHAnsi" w:hAnsiTheme="majorHAnsi" w:cstheme="majorHAnsi"/>
          <w:u w:val="single"/>
        </w:rPr>
      </w:pPr>
      <w:r>
        <w:rPr>
          <w:rFonts w:eastAsia="Times New Roman" w:asciiTheme="majorHAnsi" w:hAnsiTheme="majorHAnsi" w:cstheme="majorHAnsi"/>
          <w:sz w:val="8"/>
          <w:szCs w:val="8"/>
          <w:lang w:eastAsia="ru-RU"/>
        </w:rPr>
        <w:pict w14:anchorId="3A301343">
          <v:rect id="_x0000_i1036" style="width:129.25pt;height:1pt;mso-position-vertical:absolute" o:hr="t" o:hrstd="t" o:hrnoshade="t" o:hrpct="250" fillcolor="black" stroked="f"/>
        </w:pict>
      </w:r>
    </w:p>
    <w:p w:rsidR="009534E2" w:rsidRDefault="003369EB">
      <w:pPr>
        <w:tabs>
          <w:tab w:val="left" w:pos="481"/>
        </w:tabs>
        <w:ind w:left="461" w:hanging="461"/>
        <w:rPr>
          <w:rFonts w:eastAsia="Times New Roman" w:asciiTheme="majorHAnsi" w:hAnsiTheme="majorHAnsi" w:cstheme="majorHAnsi"/>
        </w:rPr>
      </w:pPr>
      <w:r>
        <w:rPr>
          <w:rFonts w:eastAsia="Times New Roman" w:asciiTheme="majorHAnsi" w:hAnsiTheme="majorHAnsi" w:cstheme="majorHAnsi"/>
          <w:lang w:eastAsia="ru-RU"/>
        </w:rPr>
        <w:t>(1)</w:t>
      </w:r>
      <w:r>
        <w:rPr>
          <w:rFonts w:eastAsia="Times New Roman" w:asciiTheme="majorHAnsi" w:hAnsiTheme="majorHAnsi" w:cstheme="majorHAnsi"/>
          <w:lang w:eastAsia="ru-RU"/>
        </w:rPr>
        <w:tab/>
        <w:t xml:space="preserve">Following the divestiture of SOVEST and the wind-down of Rocketbank, certain amounts have been reclassified to Discontinued operations in order to conform to the current period’s presentation. </w:t>
      </w:r>
    </w:p>
    <w:p w:rsidR="009534E2" w:rsidRDefault="003369EB">
      <w:pPr>
        <w:tabs>
          <w:tab w:val="left" w:pos="481"/>
        </w:tabs>
        <w:spacing w:after="200"/>
        <w:ind w:left="461" w:hanging="461"/>
        <w:rPr>
          <w:rFonts w:eastAsia="Times New Roman" w:asciiTheme="majorHAnsi" w:hAnsiTheme="majorHAnsi" w:cstheme="majorHAnsi"/>
        </w:rPr>
      </w:pPr>
      <w:r>
        <w:rPr>
          <w:rFonts w:eastAsia="Times New Roman" w:asciiTheme="majorHAnsi" w:hAnsiTheme="majorHAnsi" w:cstheme="majorHAnsi"/>
          <w:lang w:val="ru-RU" w:eastAsia="ru-RU"/>
        </w:rPr>
        <w:t>(</w:t>
      </w:r>
      <w:r>
        <w:rPr>
          <w:rFonts w:eastAsia="Times New Roman" w:asciiTheme="majorHAnsi" w:hAnsiTheme="majorHAnsi" w:cstheme="majorHAnsi"/>
          <w:lang w:eastAsia="ru-RU"/>
        </w:rPr>
        <w:t>2</w:t>
      </w:r>
      <w:r>
        <w:rPr>
          <w:rFonts w:eastAsia="Times New Roman" w:asciiTheme="majorHAnsi" w:hAnsiTheme="majorHAnsi" w:cstheme="majorHAnsi"/>
          <w:lang w:val="ru-RU" w:eastAsia="ru-RU"/>
        </w:rPr>
        <w:t>)</w:t>
      </w:r>
      <w:r>
        <w:rPr>
          <w:rFonts w:eastAsia="Times New Roman" w:asciiTheme="majorHAnsi" w:hAnsiTheme="majorHAnsi" w:cstheme="majorHAnsi"/>
          <w:lang w:val="ru-RU" w:eastAsia="ru-RU"/>
        </w:rPr>
        <w:tab/>
      </w:r>
      <w:r>
        <w:rPr>
          <w:rFonts w:eastAsia="Times New Roman" w:asciiTheme="majorHAnsi" w:hAnsiTheme="majorHAnsi" w:cstheme="majorHAnsi"/>
          <w:lang w:eastAsia="ru-RU"/>
        </w:rPr>
        <w:t>Starting December 31, 2020, we present foreign exchange gain and foreign exchange loss on a netted basis. This change in presentation was implemented to make our financial statements comparable with industry peers.</w:t>
      </w:r>
    </w:p>
    <w:p w:rsidR="009534E2" w:rsidRDefault="003369EB">
      <w:pPr>
        <w:keepNext/>
        <w:keepLines/>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Set out below are our consolidated statements of operations data for the years ended December 31, 2020, 2021 and 2022 as a percentage of total revenue: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634"/>
        <w:gridCol w:w="242"/>
        <w:gridCol w:w="814"/>
        <w:gridCol w:w="242"/>
        <w:gridCol w:w="814"/>
        <w:gridCol w:w="242"/>
        <w:gridCol w:w="812"/>
      </w:tblGrid>
      <w:tr w:rsidR="009534E2">
        <w:trPr>
          <w:trHeight w:val="20" w:hRule="exact"/>
          <w:jc w:val="center"/>
        </w:trPr>
        <w:tc>
          <w:tcPr>
            <w:tcW w:w="3534" w:type="pct"/>
            <w:tcBorders>
              <w:top w:val="nil"/>
              <w:left w:val="nil"/>
              <w:bottom w:val="nil"/>
              <w:right w:val="nil"/>
            </w:tcBorders>
            <w:vAlign w:val="bottom"/>
          </w:tcPr>
          <w:p w:rsidR="009534E2" w:rsidRDefault="009534E2">
            <w:pPr>
              <w:keepNext/>
              <w:rPr>
                <w:sz w:val="2"/>
              </w:rPr>
            </w:pPr>
            <w:bookmarkStart w:name="_89d2e21b_ae81_41c4_b125_b1e870ccf87b" w:id="258"/>
            <w:bookmarkStart w:name="_c4ee25a0_f15b_477d_94b1_5e9d944849eb" w:colFirst="0" w:colLast="0" w:id="259"/>
            <w:bookmarkStart w:name="_f022ec2b_1cc6_4e5c_848d_769728f06125" w:colFirst="1" w:colLast="1" w:id="260"/>
            <w:bookmarkStart w:name="_9db41d39_ab51_4a62_ba57_e3f2c0a89287" w:colFirst="2" w:colLast="2" w:id="261"/>
            <w:bookmarkStart w:name="_3c6d8d63_c898_4063_898c_d33eedda010c" w:colFirst="3" w:colLast="3" w:id="262"/>
            <w:bookmarkStart w:name="_536da06c_148c_4102_8586_bb340defdf21" w:colFirst="4" w:colLast="4" w:id="263"/>
            <w:bookmarkStart w:name="_ff24609f_0677_4bb1_897a_8734fb431ab3" w:colFirst="5" w:colLast="5" w:id="264"/>
            <w:bookmarkStart w:name="_b2be7526_1bae_437f_9a5c_1e9940289a13" w:colFirst="6" w:colLast="6" w:id="265"/>
            <w:bookmarkStart w:name="_8eace311_d386_4902_ae0a_19bf98c9ddce" w:id="266"/>
            <w:bookmarkEnd w:id="258"/>
          </w:p>
        </w:tc>
        <w:tc>
          <w:tcPr>
            <w:tcW w:w="112" w:type="pct"/>
            <w:tcBorders>
              <w:top w:val="nil"/>
              <w:left w:val="nil"/>
              <w:bottom w:val="nil"/>
              <w:right w:val="nil"/>
            </w:tcBorders>
            <w:noWrap/>
            <w:vAlign w:val="bottom"/>
          </w:tcPr>
          <w:p w:rsidR="009534E2" w:rsidRDefault="009534E2">
            <w:pPr>
              <w:keepNext/>
              <w:rPr>
                <w:sz w:val="2"/>
              </w:rPr>
            </w:pPr>
          </w:p>
        </w:tc>
        <w:tc>
          <w:tcPr>
            <w:tcW w:w="377" w:type="pct"/>
            <w:tcBorders>
              <w:top w:val="nil"/>
              <w:left w:val="nil"/>
              <w:bottom w:val="nil"/>
              <w:right w:val="nil"/>
            </w:tcBorders>
            <w:noWrap/>
            <w:vAlign w:val="bottom"/>
          </w:tcPr>
          <w:p w:rsidR="009534E2" w:rsidRDefault="009534E2">
            <w:pPr>
              <w:keepNext/>
              <w:rPr>
                <w:sz w:val="2"/>
              </w:rPr>
            </w:pPr>
          </w:p>
        </w:tc>
        <w:tc>
          <w:tcPr>
            <w:tcW w:w="112" w:type="pct"/>
            <w:tcBorders>
              <w:top w:val="nil"/>
              <w:left w:val="nil"/>
              <w:bottom w:val="nil"/>
              <w:right w:val="nil"/>
            </w:tcBorders>
            <w:noWrap/>
            <w:vAlign w:val="bottom"/>
          </w:tcPr>
          <w:p w:rsidR="009534E2" w:rsidRDefault="009534E2">
            <w:pPr>
              <w:keepNext/>
              <w:rPr>
                <w:sz w:val="2"/>
              </w:rPr>
            </w:pPr>
          </w:p>
        </w:tc>
        <w:tc>
          <w:tcPr>
            <w:tcW w:w="377" w:type="pct"/>
            <w:tcBorders>
              <w:top w:val="nil"/>
              <w:left w:val="nil"/>
              <w:bottom w:val="nil"/>
              <w:right w:val="nil"/>
            </w:tcBorders>
            <w:noWrap/>
            <w:vAlign w:val="bottom"/>
          </w:tcPr>
          <w:p w:rsidR="009534E2" w:rsidRDefault="009534E2">
            <w:pPr>
              <w:keepNext/>
              <w:rPr>
                <w:sz w:val="2"/>
              </w:rPr>
            </w:pPr>
          </w:p>
        </w:tc>
        <w:tc>
          <w:tcPr>
            <w:tcW w:w="112" w:type="pct"/>
            <w:tcBorders>
              <w:top w:val="nil"/>
              <w:left w:val="nil"/>
              <w:bottom w:val="nil"/>
              <w:right w:val="nil"/>
            </w:tcBorders>
            <w:noWrap/>
            <w:vAlign w:val="bottom"/>
          </w:tcPr>
          <w:p w:rsidR="009534E2" w:rsidRDefault="009534E2">
            <w:pPr>
              <w:keepNext/>
              <w:rPr>
                <w:sz w:val="2"/>
              </w:rPr>
            </w:pPr>
          </w:p>
        </w:tc>
        <w:tc>
          <w:tcPr>
            <w:tcW w:w="377" w:type="pct"/>
            <w:tcBorders>
              <w:top w:val="nil"/>
              <w:left w:val="nil"/>
              <w:bottom w:val="nil"/>
              <w:right w:val="nil"/>
            </w:tcBorders>
            <w:noWrap/>
            <w:vAlign w:val="bottom"/>
          </w:tcPr>
          <w:p w:rsidR="009534E2" w:rsidRDefault="009534E2">
            <w:pPr>
              <w:keepNext/>
              <w:rPr>
                <w:sz w:val="2"/>
              </w:rPr>
            </w:pPr>
          </w:p>
        </w:tc>
      </w:tr>
      <w:tr w:rsidR="009534E2">
        <w:trPr>
          <w:jc w:val="center"/>
        </w:trPr>
        <w:tc>
          <w:tcPr>
            <w:tcW w:w="3534" w:type="pct"/>
            <w:tcBorders>
              <w:top w:val="nil"/>
              <w:left w:val="nil"/>
              <w:bottom w:val="nil"/>
              <w:right w:val="nil"/>
              <w:tl2br w:val="nil"/>
              <w:tr2bl w:val="nil"/>
            </w:tcBorders>
            <w:shd w:val="clear" w:color="auto" w:fill="auto"/>
            <w:vAlign w:val="bottom"/>
          </w:tcPr>
          <w:p w:rsidR="009534E2" w:rsidRDefault="009534E2">
            <w:pPr>
              <w:keepNext/>
              <w:rPr>
                <w:b/>
                <w:i/>
                <w:color w:val="000000"/>
                <w:sz w:val="16"/>
              </w:rPr>
            </w:pPr>
            <w:bookmarkStart w:name="_f7ce65f1_1914_4099_92fc_13ae8585916d" w:id="267"/>
            <w:bookmarkEnd w:id="259"/>
            <w:bookmarkEnd w:id="260"/>
            <w:bookmarkEnd w:id="261"/>
            <w:bookmarkEnd w:id="262"/>
            <w:bookmarkEnd w:id="263"/>
            <w:bookmarkEnd w:id="264"/>
            <w:bookmarkEnd w:id="265"/>
          </w:p>
        </w:tc>
        <w:tc>
          <w:tcPr>
            <w:tcW w:w="112" w:type="pct"/>
            <w:tcBorders>
              <w:top w:val="nil"/>
              <w:left w:val="nil"/>
              <w:bottom w:val="nil"/>
              <w:right w:val="nil"/>
              <w:tl2br w:val="nil"/>
              <w:tr2bl w:val="nil"/>
            </w:tcBorders>
            <w:shd w:val="clear" w:color="auto" w:fill="auto"/>
            <w:noWrap/>
            <w:vAlign w:val="bottom"/>
          </w:tcPr>
          <w:p w:rsidR="009534E2" w:rsidRDefault="009534E2">
            <w:pPr>
              <w:keepNext/>
              <w:rPr>
                <w:color w:val="000000"/>
                <w:sz w:val="16"/>
              </w:rPr>
            </w:pPr>
          </w:p>
        </w:tc>
        <w:tc>
          <w:tcPr>
            <w:tcW w:w="1355" w:type="pct"/>
            <w:gridSpan w:val="5"/>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Years ended December 31,</w:t>
            </w:r>
          </w:p>
        </w:tc>
      </w:tr>
      <w:tr w:rsidR="009534E2">
        <w:trPr>
          <w:jc w:val="center"/>
        </w:trPr>
        <w:tc>
          <w:tcPr>
            <w:tcW w:w="3534" w:type="pct"/>
            <w:tcBorders>
              <w:top w:val="nil"/>
              <w:left w:val="nil"/>
              <w:bottom w:val="nil"/>
              <w:right w:val="nil"/>
              <w:tl2br w:val="nil"/>
              <w:tr2bl w:val="nil"/>
            </w:tcBorders>
            <w:shd w:val="clear" w:color="auto" w:fill="auto"/>
            <w:vAlign w:val="bottom"/>
          </w:tcPr>
          <w:p w:rsidR="009534E2" w:rsidRDefault="009534E2">
            <w:pPr>
              <w:keepNext/>
              <w:rPr>
                <w:b/>
                <w:i/>
                <w:color w:val="000000"/>
                <w:sz w:val="16"/>
              </w:rPr>
            </w:pPr>
            <w:bookmarkStart w:name="_8ea328ee_8376_44f2_b22e_8e19dd1a99be" w:id="268"/>
            <w:bookmarkEnd w:id="267"/>
          </w:p>
        </w:tc>
        <w:tc>
          <w:tcPr>
            <w:tcW w:w="112" w:type="pct"/>
            <w:tcBorders>
              <w:top w:val="nil"/>
              <w:left w:val="nil"/>
              <w:bottom w:val="nil"/>
              <w:right w:val="nil"/>
              <w:tl2br w:val="nil"/>
              <w:tr2bl w:val="nil"/>
            </w:tcBorders>
            <w:shd w:val="clear" w:color="auto" w:fill="auto"/>
            <w:noWrap/>
            <w:vAlign w:val="bottom"/>
          </w:tcPr>
          <w:p w:rsidR="009534E2" w:rsidRDefault="009534E2">
            <w:pPr>
              <w:keepNext/>
              <w:rPr>
                <w:color w:val="000000"/>
                <w:sz w:val="16"/>
              </w:rPr>
            </w:pPr>
          </w:p>
        </w:tc>
        <w:tc>
          <w:tcPr>
            <w:tcW w:w="377"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2020 (1)</w:t>
            </w:r>
          </w:p>
        </w:tc>
        <w:tc>
          <w:tcPr>
            <w:tcW w:w="112" w:type="pct"/>
            <w:tcBorders>
              <w:top w:val="nil"/>
              <w:left w:val="nil"/>
              <w:bottom w:val="nil"/>
              <w:right w:val="nil"/>
              <w:tl2br w:val="nil"/>
              <w:tr2bl w:val="nil"/>
            </w:tcBorders>
            <w:shd w:val="clear" w:color="auto" w:fill="auto"/>
            <w:noWrap/>
            <w:vAlign w:val="bottom"/>
          </w:tcPr>
          <w:p w:rsidR="009534E2" w:rsidRDefault="009534E2">
            <w:pPr>
              <w:keepNext/>
              <w:rPr>
                <w:color w:val="000000"/>
                <w:sz w:val="16"/>
              </w:rPr>
            </w:pPr>
          </w:p>
        </w:tc>
        <w:tc>
          <w:tcPr>
            <w:tcW w:w="377"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2021</w:t>
            </w:r>
          </w:p>
        </w:tc>
        <w:tc>
          <w:tcPr>
            <w:tcW w:w="112" w:type="pct"/>
            <w:tcBorders>
              <w:top w:val="nil"/>
              <w:left w:val="nil"/>
              <w:bottom w:val="nil"/>
              <w:right w:val="nil"/>
              <w:tl2br w:val="nil"/>
              <w:tr2bl w:val="nil"/>
            </w:tcBorders>
            <w:shd w:val="clear" w:color="auto" w:fill="auto"/>
            <w:noWrap/>
            <w:vAlign w:val="bottom"/>
          </w:tcPr>
          <w:p w:rsidR="009534E2" w:rsidRDefault="009534E2">
            <w:pPr>
              <w:keepNext/>
              <w:rPr>
                <w:color w:val="000000"/>
                <w:sz w:val="16"/>
              </w:rPr>
            </w:pPr>
          </w:p>
        </w:tc>
        <w:tc>
          <w:tcPr>
            <w:tcW w:w="377"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2022</w:t>
            </w:r>
          </w:p>
        </w:tc>
      </w:tr>
      <w:tr w:rsidR="009534E2">
        <w:trPr>
          <w:jc w:val="center"/>
        </w:trPr>
        <w:tc>
          <w:tcPr>
            <w:tcW w:w="3534" w:type="pct"/>
            <w:tcBorders>
              <w:top w:val="nil"/>
              <w:left w:val="nil"/>
              <w:bottom w:val="nil"/>
              <w:right w:val="nil"/>
              <w:tl2br w:val="nil"/>
              <w:tr2bl w:val="nil"/>
            </w:tcBorders>
            <w:shd w:val="clear" w:color="auto" w:fill="auto"/>
            <w:vAlign w:val="bottom"/>
          </w:tcPr>
          <w:p w:rsidR="009534E2" w:rsidRDefault="009534E2">
            <w:pPr>
              <w:keepNext/>
              <w:rPr>
                <w:b/>
                <w:i/>
                <w:color w:val="000000"/>
                <w:sz w:val="16"/>
              </w:rPr>
            </w:pPr>
            <w:bookmarkStart w:name="_5bace276_0ad2_4658_aebf_879096244944" w:id="269"/>
            <w:bookmarkEnd w:id="268"/>
          </w:p>
        </w:tc>
        <w:tc>
          <w:tcPr>
            <w:tcW w:w="112" w:type="pct"/>
            <w:tcBorders>
              <w:top w:val="nil"/>
              <w:left w:val="nil"/>
              <w:bottom w:val="nil"/>
              <w:right w:val="nil"/>
              <w:tl2br w:val="nil"/>
              <w:tr2bl w:val="nil"/>
            </w:tcBorders>
            <w:shd w:val="clear" w:color="auto" w:fill="auto"/>
            <w:noWrap/>
            <w:vAlign w:val="bottom"/>
          </w:tcPr>
          <w:p w:rsidR="009534E2" w:rsidRDefault="009534E2">
            <w:pPr>
              <w:keepNext/>
              <w:rPr>
                <w:color w:val="000000"/>
                <w:sz w:val="16"/>
              </w:rPr>
            </w:pPr>
          </w:p>
        </w:tc>
        <w:tc>
          <w:tcPr>
            <w:tcW w:w="1355" w:type="pct"/>
            <w:gridSpan w:val="5"/>
            <w:tcBorders>
              <w:top w:val="nil"/>
              <w:left w:val="nil"/>
              <w:bottom w:val="nil"/>
              <w:right w:val="nil"/>
              <w:tl2br w:val="nil"/>
              <w:tr2bl w:val="nil"/>
            </w:tcBorders>
            <w:shd w:val="clear" w:color="auto" w:fill="auto"/>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(as a percentage of revenue)</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b/>
                <w:i/>
                <w:color w:val="000000"/>
              </w:rPr>
            </w:pPr>
            <w:bookmarkStart w:name="_b1993626_7151_4a8f_9c44_1089400f8a2d" w:id="270"/>
            <w:bookmarkEnd w:id="269"/>
            <w:r>
              <w:rPr>
                <w:rFonts w:ascii="Times New Roman" w:hAnsi="Times New Roman" w:eastAsia="Times New Roman" w:cs="Times New Roman"/>
                <w:b/>
                <w:i/>
                <w:color w:val="000000"/>
              </w:rPr>
              <w:t>Continuing operations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b/>
                <w:color w:val="000000"/>
              </w:rPr>
            </w:pPr>
            <w:bookmarkStart w:name="_9fc8c20c_2ada_44c1_ae39_15666b7c2157" w:id="271"/>
            <w:bookmarkEnd w:id="270"/>
            <w:r>
              <w:rPr>
                <w:rFonts w:ascii="Times New Roman" w:hAnsi="Times New Roman" w:eastAsia="Times New Roman" w:cs="Times New Roman"/>
                <w:b/>
                <w:color w:val="000000"/>
              </w:rPr>
              <w:t>Revenue, including</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100.0</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100.0</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100.00</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f9ed0781_438c_4d54_9fec_0e6455fd2abb" w:id="272"/>
            <w:bookmarkEnd w:id="271"/>
            <w:r>
              <w:rPr>
                <w:rFonts w:ascii="Times New Roman" w:hAnsi="Times New Roman" w:eastAsia="Times New Roman" w:cs="Times New Roman"/>
                <w:color w:val="000000"/>
              </w:rPr>
              <w:t>Payment processing fees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84.4</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81.2</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73.2</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463ade22_77ea_4de1_ae03_ec57b088478d" w:id="273"/>
            <w:bookmarkEnd w:id="272"/>
            <w:r>
              <w:rPr>
                <w:rFonts w:ascii="Times New Roman" w:hAnsi="Times New Roman" w:eastAsia="Times New Roman" w:cs="Times New Roman"/>
                <w:color w:val="000000"/>
              </w:rPr>
              <w:t>Interest revenue calculated using the effective interest rate</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5.9</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8.4</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13.1</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c7dc4e21_35bb_4d70_813f_cfce3c9c8cdb" w:id="274"/>
            <w:bookmarkEnd w:id="273"/>
            <w:r>
              <w:rPr>
                <w:rFonts w:ascii="Times New Roman" w:hAnsi="Times New Roman" w:eastAsia="Times New Roman" w:cs="Times New Roman"/>
                <w:color w:val="000000"/>
              </w:rPr>
              <w:t>Fees from inactive accounts and unclaimed payments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4.8</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4.3</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3.3</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c34588ca_e581_4504_8de0_c94dd3c3d3b3" w:id="275"/>
            <w:bookmarkEnd w:id="274"/>
            <w:r>
              <w:rPr>
                <w:rFonts w:ascii="Times New Roman" w:hAnsi="Times New Roman" w:eastAsia="Times New Roman" w:cs="Times New Roman"/>
                <w:color w:val="000000"/>
              </w:rPr>
              <w:t>Other revenue</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4.9</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6.1</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10.4</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b/>
                <w:color w:val="000000"/>
              </w:rPr>
            </w:pPr>
            <w:bookmarkStart w:name="_d57a2981_0157_4725_94cf_8a1c802cd480" w:id="276"/>
            <w:bookmarkEnd w:id="275"/>
            <w:r>
              <w:rPr>
                <w:rFonts w:ascii="Times New Roman" w:hAnsi="Times New Roman" w:eastAsia="Times New Roman" w:cs="Times New Roman"/>
                <w:b/>
                <w:color w:val="000000"/>
              </w:rPr>
              <w:t>Operating costs and expenses, including</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b/>
                <w:color w:val="000000"/>
              </w:rPr>
            </w:pPr>
            <w:r>
              <w:rPr>
                <w:rFonts w:ascii="Times New Roman" w:hAnsi="Times New Roman" w:eastAsia="Times New Roman" w:cs="Times New Roman"/>
                <w:b/>
                <w:color w:val="000000"/>
              </w:rPr>
              <w:t xml:space="preserve"> (65.3)</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b/>
                <w:color w:val="000000"/>
              </w:rPr>
            </w:pPr>
            <w:r>
              <w:rPr>
                <w:rFonts w:ascii="Times New Roman" w:hAnsi="Times New Roman" w:eastAsia="Times New Roman" w:cs="Times New Roman"/>
                <w:b/>
                <w:color w:val="000000"/>
              </w:rPr>
              <w:t xml:space="preserve"> (70.8)</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b/>
                <w:color w:val="000000"/>
              </w:rPr>
            </w:pPr>
            <w:r>
              <w:rPr>
                <w:rFonts w:ascii="Times New Roman" w:hAnsi="Times New Roman" w:eastAsia="Times New Roman" w:cs="Times New Roman"/>
                <w:b/>
                <w:color w:val="000000"/>
              </w:rPr>
              <w:t xml:space="preserve"> (63.7)</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d9eaef7d_ade7_4fcc_83aa_b05b6ddab926" w:id="277"/>
            <w:bookmarkEnd w:id="276"/>
            <w:r>
              <w:rPr>
                <w:rFonts w:ascii="Times New Roman" w:hAnsi="Times New Roman" w:eastAsia="Times New Roman" w:cs="Times New Roman"/>
                <w:color w:val="000000"/>
              </w:rPr>
              <w:t>Cost of revenue (exclusive of items shown separately below)</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(40.6)</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(43.9)</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(33.8)</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90e38cc7_c813_4ddc_98a0_cc358ffa0c8e" w:id="278"/>
            <w:bookmarkEnd w:id="277"/>
            <w:r>
              <w:rPr>
                <w:rFonts w:ascii="Times New Roman" w:hAnsi="Times New Roman" w:eastAsia="Times New Roman" w:cs="Times New Roman"/>
                <w:color w:val="000000"/>
              </w:rPr>
              <w:t>Selling, general and administrative expenses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(6.7)</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(7.8)</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(7.3)</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16b682b9_bb58_488b_8282_1509cb898c47" w:id="279"/>
            <w:bookmarkEnd w:id="278"/>
            <w:r>
              <w:rPr>
                <w:rFonts w:ascii="Times New Roman" w:hAnsi="Times New Roman" w:eastAsia="Times New Roman" w:cs="Times New Roman"/>
                <w:color w:val="000000"/>
              </w:rPr>
              <w:t>Personnel expenses</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(15.0)</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(15.5)</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(16.1)</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1c102d5f_1041_4037_a89f_36f23f4116c2" w:id="280"/>
            <w:bookmarkEnd w:id="279"/>
            <w:r>
              <w:rPr>
                <w:rFonts w:ascii="Times New Roman" w:hAnsi="Times New Roman" w:eastAsia="Times New Roman" w:cs="Times New Roman"/>
                <w:color w:val="000000"/>
              </w:rPr>
              <w:t>Depreciation and amortization</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(2.7)</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(2.7)</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(2.1)</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9c494ea1_c10d_4d91_95f0_ade4c474bffe" w:id="281"/>
            <w:bookmarkEnd w:id="280"/>
            <w:r>
              <w:rPr>
                <w:rFonts w:ascii="Times New Roman" w:hAnsi="Times New Roman" w:eastAsia="Times New Roman" w:cs="Times New Roman"/>
                <w:color w:val="000000"/>
              </w:rPr>
              <w:t>Credit loss expense</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(0.2)</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(0.8)</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(4.3)</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609c5210_f132_4d96_91fd_065d409add39" w:id="282"/>
            <w:bookmarkEnd w:id="281"/>
            <w:r>
              <w:rPr>
                <w:rFonts w:ascii="Times New Roman" w:hAnsi="Times New Roman" w:eastAsia="Times New Roman" w:cs="Times New Roman"/>
                <w:color w:val="000000"/>
              </w:rPr>
              <w:t>Impairment of non-current assets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(0.1)</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(0.1)</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(0.1)</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b/>
                <w:color w:val="000000"/>
              </w:rPr>
            </w:pPr>
            <w:bookmarkStart w:name="_c9631780_bc04_449b_8566_c9b173024d01" w:id="283"/>
            <w:bookmarkEnd w:id="282"/>
            <w:r>
              <w:rPr>
                <w:rFonts w:ascii="Times New Roman" w:hAnsi="Times New Roman" w:eastAsia="Times New Roman" w:cs="Times New Roman"/>
                <w:b/>
                <w:color w:val="000000"/>
              </w:rPr>
              <w:t>Profit from operations</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34.7</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29.2</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36.3</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ccfc8075_30ca_4be0_bf8b_97bf05db46dd" w:id="284"/>
            <w:bookmarkEnd w:id="283"/>
            <w:r>
              <w:rPr>
                <w:rFonts w:ascii="Times New Roman" w:hAnsi="Times New Roman" w:eastAsia="Times New Roman" w:cs="Times New Roman"/>
                <w:color w:val="000000"/>
              </w:rPr>
              <w:t>Gain on disposal of an associate</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19.9</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63d7402d_cb39_4303_9115_cb29a74cc9f9" w:id="285"/>
            <w:bookmarkEnd w:id="284"/>
            <w:r>
              <w:rPr>
                <w:rFonts w:ascii="Times New Roman" w:hAnsi="Times New Roman" w:eastAsia="Times New Roman" w:cs="Times New Roman"/>
                <w:color w:val="000000"/>
              </w:rPr>
              <w:t>Share of gain/(loss) of an associate and a joint venture</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1.7</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0.7</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(0.1)</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37749dbe_c97c_40c9_a8a5_ddba666b59ec" w:id="286"/>
            <w:bookmarkEnd w:id="285"/>
            <w:r>
              <w:rPr>
                <w:rFonts w:ascii="Times New Roman" w:hAnsi="Times New Roman" w:eastAsia="Times New Roman" w:cs="Times New Roman"/>
                <w:color w:val="000000"/>
              </w:rPr>
              <w:t>Foreign exchange gain/(loss), net</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(0.5)</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(0.1)</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(1.1)</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bf103325_fac5_4a1f_98a3_54adc1f29ed8" w:id="287"/>
            <w:bookmarkEnd w:id="286"/>
            <w:r>
              <w:rPr>
                <w:rFonts w:ascii="Times New Roman" w:hAnsi="Times New Roman" w:eastAsia="Times New Roman" w:cs="Times New Roman"/>
                <w:color w:val="000000"/>
              </w:rPr>
              <w:t>Interest income</w:t>
            </w:r>
          </w:p>
        </w:tc>
        <w:tc>
          <w:tcPr>
            <w:tcW w:w="112" w:type="pct"/>
            <w:tcBorders>
              <w:top w:val="nil"/>
              <w:left w:val="nil"/>
              <w:bottom w:val="nil"/>
              <w:right w:val="nil"/>
              <w:tl2br w:val="nil"/>
              <w:tr2bl w:val="nil"/>
            </w:tcBorders>
            <w:noWrap/>
            <w:vAlign w:val="bottom"/>
          </w:tcPr>
          <w:p w:rsidR="009534E2" w:rsidRDefault="009534E2">
            <w:pPr>
              <w:keepNext/>
              <w:rPr>
                <w:color w:val="000000"/>
              </w:rPr>
            </w:pP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0.1</w:t>
            </w:r>
          </w:p>
        </w:tc>
        <w:tc>
          <w:tcPr>
            <w:tcW w:w="112" w:type="pct"/>
            <w:tcBorders>
              <w:top w:val="nil"/>
              <w:left w:val="nil"/>
              <w:bottom w:val="nil"/>
              <w:right w:val="nil"/>
              <w:tl2br w:val="nil"/>
              <w:tr2bl w:val="nil"/>
            </w:tcBorders>
            <w:noWrap/>
            <w:vAlign w:val="bottom"/>
          </w:tcPr>
          <w:p w:rsidR="009534E2" w:rsidRDefault="009534E2">
            <w:pPr>
              <w:keepNext/>
              <w:rPr>
                <w:color w:val="000000"/>
              </w:rPr>
            </w:pP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0.4</w:t>
            </w:r>
          </w:p>
        </w:tc>
        <w:tc>
          <w:tcPr>
            <w:tcW w:w="112" w:type="pct"/>
            <w:tcBorders>
              <w:top w:val="nil"/>
              <w:left w:val="nil"/>
              <w:bottom w:val="nil"/>
              <w:right w:val="nil"/>
              <w:tl2br w:val="nil"/>
              <w:tr2bl w:val="nil"/>
            </w:tcBorders>
            <w:noWrap/>
            <w:vAlign w:val="bottom"/>
          </w:tcPr>
          <w:p w:rsidR="009534E2" w:rsidRDefault="009534E2">
            <w:pPr>
              <w:keepNext/>
              <w:rPr>
                <w:color w:val="000000"/>
              </w:rPr>
            </w:pP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0.2</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285cf88e_bb4b_4fa6_b7e0_b2964e157504" w:id="288"/>
            <w:bookmarkEnd w:id="287"/>
            <w:r>
              <w:rPr>
                <w:rFonts w:ascii="Times New Roman" w:hAnsi="Times New Roman" w:eastAsia="Times New Roman" w:cs="Times New Roman"/>
                <w:color w:val="000000"/>
              </w:rPr>
              <w:t>Interest expenses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(0.3)</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(0.2)</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(0.1)</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ac18297a_1ffc_47bc_9575_cb325219785b" w:id="289"/>
            <w:bookmarkEnd w:id="288"/>
            <w:r>
              <w:rPr>
                <w:rFonts w:ascii="Times New Roman" w:hAnsi="Times New Roman" w:eastAsia="Times New Roman" w:cs="Times New Roman"/>
                <w:color w:val="000000"/>
              </w:rPr>
              <w:t xml:space="preserve">Other income </w:t>
            </w:r>
          </w:p>
        </w:tc>
        <w:tc>
          <w:tcPr>
            <w:tcW w:w="112" w:type="pct"/>
            <w:tcBorders>
              <w:top w:val="nil"/>
              <w:left w:val="nil"/>
              <w:bottom w:val="nil"/>
              <w:right w:val="nil"/>
              <w:tl2br w:val="nil"/>
              <w:tr2bl w:val="nil"/>
            </w:tcBorders>
            <w:noWrap/>
            <w:vAlign w:val="bottom"/>
          </w:tcPr>
          <w:p w:rsidR="009534E2" w:rsidRDefault="009534E2">
            <w:pPr>
              <w:keepNext/>
              <w:rPr>
                <w:color w:val="000000"/>
              </w:rPr>
            </w:pP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w:t>
            </w:r>
          </w:p>
        </w:tc>
        <w:tc>
          <w:tcPr>
            <w:tcW w:w="112" w:type="pct"/>
            <w:tcBorders>
              <w:top w:val="nil"/>
              <w:left w:val="nil"/>
              <w:bottom w:val="nil"/>
              <w:right w:val="nil"/>
              <w:tl2br w:val="nil"/>
              <w:tr2bl w:val="nil"/>
            </w:tcBorders>
            <w:noWrap/>
            <w:vAlign w:val="bottom"/>
          </w:tcPr>
          <w:p w:rsidR="009534E2" w:rsidRDefault="009534E2">
            <w:pPr>
              <w:keepNext/>
              <w:rPr>
                <w:color w:val="000000"/>
              </w:rPr>
            </w:pP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0.4</w:t>
            </w:r>
          </w:p>
        </w:tc>
        <w:tc>
          <w:tcPr>
            <w:tcW w:w="112" w:type="pct"/>
            <w:tcBorders>
              <w:top w:val="nil"/>
              <w:left w:val="nil"/>
              <w:bottom w:val="nil"/>
              <w:right w:val="nil"/>
              <w:tl2br w:val="nil"/>
              <w:tr2bl w:val="nil"/>
            </w:tcBorders>
            <w:noWrap/>
            <w:vAlign w:val="bottom"/>
          </w:tcPr>
          <w:p w:rsidR="009534E2" w:rsidRDefault="009534E2">
            <w:pPr>
              <w:keepNext/>
              <w:rPr>
                <w:color w:val="000000"/>
              </w:rPr>
            </w:pP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0.5</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b3360caa_9efb_46f4_bc81_0ae258d42e90" w:id="290"/>
            <w:bookmarkEnd w:id="289"/>
            <w:r>
              <w:rPr>
                <w:rFonts w:ascii="Times New Roman" w:hAnsi="Times New Roman" w:eastAsia="Times New Roman" w:cs="Times New Roman"/>
                <w:color w:val="000000"/>
              </w:rPr>
              <w:t>Other expenses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(0.2)</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(0.2)</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(0.1)</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b/>
                <w:color w:val="000000"/>
              </w:rPr>
            </w:pPr>
            <w:bookmarkStart w:name="_15c49448_9805_453e_9b32_41000435ec98" w:id="291"/>
            <w:bookmarkEnd w:id="290"/>
            <w:r>
              <w:rPr>
                <w:rFonts w:ascii="Times New Roman" w:hAnsi="Times New Roman" w:eastAsia="Times New Roman" w:cs="Times New Roman"/>
                <w:b/>
                <w:color w:val="000000"/>
              </w:rPr>
              <w:t>Profit before tax</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35.5</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50.1</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35.6</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9db4d667_2a2a_41e7_97af_dc9cc82a25c6" w:id="292"/>
            <w:bookmarkEnd w:id="291"/>
            <w:r>
              <w:rPr>
                <w:rFonts w:ascii="Times New Roman" w:hAnsi="Times New Roman" w:eastAsia="Times New Roman" w:cs="Times New Roman"/>
                <w:color w:val="000000"/>
              </w:rPr>
              <w:t>Income tax expense</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(7.7)</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(7.5)</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(8.7)</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b/>
                <w:color w:val="000000"/>
              </w:rPr>
            </w:pPr>
            <w:bookmarkStart w:name="_4db6a162_984b_4a21_a1e6_7486791d915b" w:id="293"/>
            <w:bookmarkEnd w:id="292"/>
            <w:r>
              <w:rPr>
                <w:rFonts w:ascii="Times New Roman" w:hAnsi="Times New Roman" w:eastAsia="Times New Roman" w:cs="Times New Roman"/>
                <w:b/>
                <w:color w:val="000000"/>
              </w:rPr>
              <w:t>Net profit from continuing operations</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27.8</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42.6</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26.9</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b/>
                <w:i/>
                <w:color w:val="000000"/>
              </w:rPr>
            </w:pPr>
            <w:bookmarkStart w:name="_50ffcbee_cf0b_4646_acd5_d6fb2f6b0c5a" w:id="294"/>
            <w:bookmarkEnd w:id="293"/>
            <w:r>
              <w:rPr>
                <w:rFonts w:ascii="Times New Roman" w:hAnsi="Times New Roman" w:eastAsia="Times New Roman" w:cs="Times New Roman"/>
                <w:b/>
                <w:i/>
                <w:color w:val="000000"/>
              </w:rPr>
              <w:t>Discontinued operations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9534E2">
            <w:pPr>
              <w:keepNext/>
              <w:jc w:val="right"/>
              <w:rPr>
                <w:color w:val="000000"/>
              </w:rPr>
            </w:pP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rPr>
                <w:color w:val="000000"/>
              </w:rPr>
            </w:pPr>
            <w:bookmarkStart w:name="_a0b384a8_c6f3_4a59_acc8_159aa6d81eb6" w:id="295"/>
            <w:bookmarkEnd w:id="294"/>
            <w:r>
              <w:rPr>
                <w:rFonts w:ascii="Times New Roman" w:hAnsi="Times New Roman" w:eastAsia="Times New Roman" w:cs="Times New Roman"/>
                <w:color w:val="000000"/>
              </w:rPr>
              <w:t>Loss after tax from discontinued operations</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(5.6)</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w:t>
            </w:r>
          </w:p>
        </w:tc>
        <w:tc>
          <w:tcPr>
            <w:tcW w:w="112"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rPr>
                <w:b/>
                <w:color w:val="000000"/>
              </w:rPr>
            </w:pPr>
            <w:bookmarkStart w:name="_501b2cf9_3820_46ec_8ce5_0cbebc71b379" w:id="296"/>
            <w:bookmarkEnd w:id="295"/>
            <w:r>
              <w:rPr>
                <w:rFonts w:ascii="Times New Roman" w:hAnsi="Times New Roman" w:eastAsia="Times New Roman" w:cs="Times New Roman"/>
                <w:b/>
                <w:color w:val="000000"/>
              </w:rPr>
              <w:t>Net profit</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22.2</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42.6</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26.9</w:t>
            </w:r>
          </w:p>
        </w:tc>
      </w:tr>
      <w:tr w:rsidR="009534E2">
        <w:trPr>
          <w:jc w:val="center"/>
        </w:trPr>
        <w:tc>
          <w:tcPr>
            <w:tcW w:w="3534" w:type="pct"/>
            <w:tcBorders>
              <w:top w:val="nil"/>
              <w:left w:val="nil"/>
              <w:bottom w:val="nil"/>
              <w:right w:val="nil"/>
              <w:tl2br w:val="nil"/>
              <w:tr2bl w:val="nil"/>
            </w:tcBorders>
            <w:vAlign w:val="bottom"/>
          </w:tcPr>
          <w:p w:rsidR="009534E2" w:rsidRDefault="003369EB">
            <w:pPr>
              <w:keepNext/>
              <w:ind w:left="120"/>
              <w:rPr>
                <w:color w:val="000000"/>
              </w:rPr>
            </w:pPr>
            <w:bookmarkStart w:name="_9997d092_a2fd_45a7_9833_3b8cf2c09ae6" w:id="297"/>
            <w:bookmarkEnd w:id="296"/>
            <w:r>
              <w:rPr>
                <w:rFonts w:ascii="Times New Roman" w:hAnsi="Times New Roman" w:eastAsia="Times New Roman" w:cs="Times New Roman"/>
                <w:color w:val="000000"/>
              </w:rPr>
              <w:t>Equity holders of the parent</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22.0</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42.3</w:t>
            </w:r>
          </w:p>
        </w:tc>
        <w:tc>
          <w:tcPr>
            <w:tcW w:w="112"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25.7</w:t>
            </w:r>
          </w:p>
        </w:tc>
      </w:tr>
      <w:tr w:rsidR="009534E2">
        <w:trPr>
          <w:jc w:val="center"/>
        </w:trPr>
        <w:tc>
          <w:tcPr>
            <w:tcW w:w="3534" w:type="pct"/>
            <w:tcBorders>
              <w:top w:val="nil"/>
              <w:left w:val="nil"/>
              <w:bottom w:val="nil"/>
              <w:right w:val="nil"/>
              <w:tl2br w:val="nil"/>
              <w:tr2bl w:val="nil"/>
            </w:tcBorders>
            <w:shd w:val="clear" w:color="auto" w:fill="CCEEFF"/>
            <w:vAlign w:val="bottom"/>
          </w:tcPr>
          <w:p w:rsidR="009534E2" w:rsidRDefault="003369EB">
            <w:pPr>
              <w:keepNext/>
              <w:ind w:left="120"/>
              <w:rPr>
                <w:color w:val="000000"/>
              </w:rPr>
            </w:pPr>
            <w:bookmarkStart w:name="_233375f7_0447_4aa1_84e7_1c1c68b9e306" w:id="298"/>
            <w:bookmarkEnd w:id="297"/>
            <w:r>
              <w:rPr>
                <w:rFonts w:ascii="Times New Roman" w:hAnsi="Times New Roman" w:eastAsia="Times New Roman" w:cs="Times New Roman"/>
                <w:color w:val="000000"/>
              </w:rPr>
              <w:t>Non-controlling interests</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0.2</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0.3</w:t>
            </w:r>
          </w:p>
        </w:tc>
        <w:tc>
          <w:tcPr>
            <w:tcW w:w="112"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1.2</w:t>
            </w:r>
          </w:p>
        </w:tc>
      </w:tr>
    </w:tbl>
    <w:bookmarkEnd w:id="266"/>
    <w:bookmarkEnd w:id="298"/>
    <w:p w:rsidR="009534E2" w:rsidRDefault="00EC0AE1">
      <w:pPr>
        <w:tabs>
          <w:tab w:val="left" w:pos="481"/>
        </w:tabs>
        <w:ind w:left="461" w:hanging="461"/>
        <w:rPr>
          <w:rFonts w:eastAsia="Times New Roman" w:asciiTheme="majorHAnsi" w:hAnsiTheme="majorHAnsi" w:cstheme="majorHAnsi"/>
          <w:u w:val="single"/>
        </w:rPr>
      </w:pPr>
      <w:r>
        <w:rPr>
          <w:rFonts w:eastAsia="Times New Roman" w:asciiTheme="majorHAnsi" w:hAnsiTheme="majorHAnsi" w:cstheme="majorHAnsi"/>
          <w:sz w:val="8"/>
          <w:szCs w:val="8"/>
          <w:lang w:eastAsia="ru-RU"/>
        </w:rPr>
        <w:pict w14:anchorId="615FBD77">
          <v:rect id="_x0000_i1037" style="width:129.25pt;height:1pt;mso-position-vertical:absolute" o:hr="t" o:hrstd="t" o:hrnoshade="t" o:hrpct="250" fillcolor="black" stroked="f"/>
        </w:pict>
      </w:r>
    </w:p>
    <w:p w:rsidR="009534E2" w:rsidRDefault="003369EB">
      <w:pPr>
        <w:tabs>
          <w:tab w:val="left" w:pos="481"/>
        </w:tabs>
        <w:spacing w:after="200"/>
        <w:ind w:left="461" w:hanging="461"/>
        <w:rPr>
          <w:rFonts w:eastAsia="Times New Roman" w:asciiTheme="majorHAnsi" w:hAnsiTheme="majorHAnsi" w:cstheme="majorHAnsi"/>
        </w:rPr>
      </w:pPr>
      <w:r>
        <w:rPr>
          <w:rFonts w:eastAsia="Times New Roman" w:asciiTheme="majorHAnsi" w:hAnsiTheme="majorHAnsi" w:cstheme="majorHAnsi"/>
          <w:lang w:eastAsia="ru-RU"/>
        </w:rPr>
        <w:t>(</w:t>
      </w:r>
      <w:r>
        <w:rPr>
          <w:rFonts w:eastAsia="Times New Roman" w:asciiTheme="majorHAnsi" w:hAnsiTheme="majorHAnsi" w:cstheme="majorHAnsi"/>
          <w:lang w:val="ru-RU" w:eastAsia="ru-RU"/>
        </w:rPr>
        <w:t>1)</w:t>
      </w:r>
      <w:r>
        <w:rPr>
          <w:rFonts w:eastAsia="Times New Roman" w:asciiTheme="majorHAnsi" w:hAnsiTheme="majorHAnsi" w:cstheme="majorHAnsi"/>
          <w:lang w:val="ru-RU" w:eastAsia="ru-RU"/>
        </w:rPr>
        <w:tab/>
      </w:r>
      <w:r>
        <w:rPr>
          <w:rFonts w:eastAsia="Times New Roman" w:asciiTheme="majorHAnsi" w:hAnsiTheme="majorHAnsi" w:cstheme="majorHAnsi"/>
          <w:lang w:eastAsia="ru-RU"/>
        </w:rPr>
        <w:t>Following the divestiture of SOVEST and the wind-down of Rocketbank, certain amounts have been reclassified to Discontinued operations in order to conform to the current period’s presentation.</w:t>
      </w:r>
    </w:p>
    <w:p w:rsidR="009534E2" w:rsidRDefault="003369EB">
      <w:pPr>
        <w:keepNext/>
        <w:keepLines/>
        <w:spacing w:after="200"/>
        <w:rPr>
          <w:rFonts w:eastAsia="Times New Roman" w:asciiTheme="majorHAnsi" w:hAnsiTheme="majorHAnsi" w:cstheme="majorHAnsi"/>
          <w:b/>
          <w:bCs/>
          <w:lang w:eastAsia="ru-RU"/>
        </w:rPr>
      </w:pPr>
      <w:r>
        <w:rPr>
          <w:rFonts w:eastAsia="Times New Roman" w:asciiTheme="majorHAnsi" w:hAnsiTheme="majorHAnsi" w:cstheme="majorHAnsi"/>
          <w:b/>
          <w:bCs/>
          <w:lang w:eastAsia="ru-RU"/>
        </w:rPr>
        <w:t>Year ended December 31, 2022 compared to year ended December 31, 2021</w:t>
      </w:r>
    </w:p>
    <w:p w:rsidR="009534E2" w:rsidRDefault="003369EB">
      <w:pPr>
        <w:keepNext/>
        <w:keepLines/>
        <w:spacing w:after="200"/>
        <w:rPr>
          <w:rFonts w:eastAsia="Times New Roman" w:asciiTheme="majorHAnsi" w:hAnsiTheme="majorHAnsi" w:cstheme="majorHAnsi"/>
          <w:i/>
          <w:iCs/>
          <w:lang w:eastAsia="ru-RU"/>
        </w:rPr>
      </w:pPr>
      <w:r>
        <w:rPr>
          <w:rFonts w:eastAsia="Times New Roman" w:asciiTheme="majorHAnsi" w:hAnsiTheme="majorHAnsi" w:cstheme="majorHAnsi"/>
          <w:i/>
          <w:iCs/>
          <w:lang w:eastAsia="ru-RU"/>
        </w:rPr>
        <w:t>Revenue</w:t>
      </w:r>
    </w:p>
    <w:p w:rsidR="009534E2" w:rsidRDefault="003369EB">
      <w:pPr>
        <w:keepNext/>
        <w:keepLines/>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Set out below are our revenues, by source, for the year December 31, 2022 and 2021, and as a percentage of total revenue:</w:t>
      </w:r>
    </w:p>
    <w:p w:rsidR="009534E2" w:rsidRDefault="009534E2">
      <w:pPr>
        <w:keepNext/>
        <w:keepLines/>
        <w:ind w:firstLine="461"/>
        <w:rPr>
          <w:rFonts w:eastAsia="Times New Roman"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750"/>
        <w:gridCol w:w="200"/>
        <w:gridCol w:w="1165"/>
        <w:gridCol w:w="200"/>
        <w:gridCol w:w="960"/>
        <w:gridCol w:w="200"/>
        <w:gridCol w:w="1165"/>
        <w:gridCol w:w="200"/>
        <w:gridCol w:w="960"/>
      </w:tblGrid>
      <w:tr w:rsidR="009534E2">
        <w:trPr>
          <w:trHeight w:val="20" w:hRule="exact"/>
        </w:trPr>
        <w:tc>
          <w:tcPr>
            <w:tcW w:w="2907"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cec06fd0_e5e7_44e9_b83c_b1ae9a2633e9" w:colFirst="0" w:colLast="0" w:id="299"/>
            <w:bookmarkStart w:name="_ebbf58d8_cc64_49f7_a6b2_9202f9835c5c" w:colFirst="1" w:colLast="1" w:id="300"/>
            <w:bookmarkStart w:name="_f1ddedaf_fd7b_4d1a_8de6_b19faa513192" w:colFirst="2" w:colLast="2" w:id="301"/>
            <w:bookmarkStart w:name="_18c3148d_cd7f_471c_9dc2_11eb3aff7104" w:colFirst="3" w:colLast="3" w:id="302"/>
            <w:bookmarkStart w:name="_f6f58412_f6dc_4ff1_ba47_61372da006e1" w:colFirst="4" w:colLast="4" w:id="303"/>
            <w:bookmarkStart w:name="_a6a3a0d7_dfcc_4b6c_be6a_66ec77b83cbc" w:colFirst="5" w:colLast="5" w:id="304"/>
            <w:bookmarkStart w:name="_0bb55ce3_0071_40f3_b3dd_584f2dc3e9f8" w:colFirst="6" w:colLast="6" w:id="305"/>
            <w:bookmarkStart w:name="_bb182532_35f4_409a_b552_a6bc04ccdc93" w:colFirst="7" w:colLast="7" w:id="306"/>
            <w:bookmarkStart w:name="_c37dc92e_e9b9_46f5_889d_04d4b384223c" w:colFirst="8" w:colLast="8" w:id="307"/>
            <w:bookmarkStart w:name="_f64d3953_acb4_4979_9fa4_1a13a8d18a98" w:id="308"/>
          </w:p>
        </w:tc>
        <w:tc>
          <w:tcPr>
            <w:tcW w:w="9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3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9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3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9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3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9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3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c>
          <w:tcPr>
            <w:tcW w:w="2907"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sz w:val="16"/>
              </w:rPr>
            </w:pPr>
            <w:bookmarkStart w:name="_4d75f104_cf10_48ed_b1d7_175acd65de29" w:id="309"/>
            <w:bookmarkEnd w:id="299"/>
            <w:bookmarkEnd w:id="300"/>
            <w:bookmarkEnd w:id="301"/>
            <w:bookmarkEnd w:id="302"/>
            <w:bookmarkEnd w:id="303"/>
            <w:bookmarkEnd w:id="304"/>
            <w:bookmarkEnd w:id="305"/>
            <w:bookmarkEnd w:id="306"/>
            <w:bookmarkEnd w:id="307"/>
          </w:p>
        </w:tc>
        <w:tc>
          <w:tcPr>
            <w:tcW w:w="92"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2001" w:type="pct"/>
            <w:gridSpan w:val="7"/>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Year ended December 31,</w:t>
            </w:r>
          </w:p>
        </w:tc>
      </w:tr>
      <w:tr w:rsidR="009534E2">
        <w:tc>
          <w:tcPr>
            <w:tcW w:w="2907"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sz w:val="16"/>
              </w:rPr>
            </w:pPr>
            <w:bookmarkStart w:name="_b366c4e9_a134_46ad_922f_9a91445b4e0d" w:id="310"/>
            <w:bookmarkEnd w:id="309"/>
          </w:p>
        </w:tc>
        <w:tc>
          <w:tcPr>
            <w:tcW w:w="92"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431"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92"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31"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92"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31"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c>
          <w:tcPr>
            <w:tcW w:w="92"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31"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c>
          <w:tcPr>
            <w:tcW w:w="2907"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sz w:val="16"/>
              </w:rPr>
            </w:pPr>
            <w:bookmarkStart w:name="_f9487fdf_7fe8_47d4_8ec3_a26a7a3f6650" w:id="311"/>
            <w:bookmarkEnd w:id="310"/>
          </w:p>
        </w:tc>
        <w:tc>
          <w:tcPr>
            <w:tcW w:w="92"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431"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c>
          <w:tcPr>
            <w:tcW w:w="92"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431"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color w:val="000000"/>
                <w:sz w:val="16"/>
              </w:rPr>
            </w:pPr>
            <w:r>
              <w:rPr>
                <w:rFonts w:eastAsia="Times New Roman" w:asciiTheme="majorHAnsi" w:hAnsiTheme="majorHAnsi" w:cstheme="majorHAnsi"/>
                <w:color w:val="000000"/>
                <w:sz w:val="16"/>
              </w:rPr>
              <w:t>(% of revenue)</w:t>
            </w:r>
          </w:p>
        </w:tc>
        <w:tc>
          <w:tcPr>
            <w:tcW w:w="92"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431"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c>
          <w:tcPr>
            <w:tcW w:w="92"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431"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color w:val="000000"/>
                <w:sz w:val="16"/>
              </w:rPr>
            </w:pPr>
            <w:r>
              <w:rPr>
                <w:rFonts w:eastAsia="Times New Roman" w:asciiTheme="majorHAnsi" w:hAnsiTheme="majorHAnsi" w:cstheme="majorHAnsi"/>
                <w:color w:val="000000"/>
                <w:sz w:val="16"/>
              </w:rPr>
              <w:t>(% of revenue)</w:t>
            </w:r>
          </w:p>
        </w:tc>
      </w:tr>
      <w:tr w:rsidR="009534E2">
        <w:trPr>
          <w:trHeight w:val="135"/>
        </w:trPr>
        <w:tc>
          <w:tcPr>
            <w:tcW w:w="2907"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color w:val="000000"/>
              </w:rPr>
            </w:pPr>
            <w:bookmarkStart w:name="_c20b031b_c758_427c_b6ca_cac445f980de" w:id="312"/>
            <w:bookmarkEnd w:id="311"/>
            <w:r>
              <w:rPr>
                <w:rFonts w:eastAsia="Times New Roman" w:asciiTheme="majorHAnsi" w:hAnsiTheme="majorHAnsi" w:cstheme="majorHAnsi"/>
                <w:color w:val="000000"/>
              </w:rPr>
              <w:t>Revenue</w:t>
            </w:r>
          </w:p>
        </w:tc>
        <w:tc>
          <w:tcPr>
            <w:tcW w:w="92" w:type="pct"/>
            <w:tcBorders>
              <w:top w:val="nil"/>
              <w:left w:val="nil"/>
              <w:bottom w:val="nil"/>
              <w:right w:val="nil"/>
              <w:tl2br w:val="nil"/>
              <w:tr2bl w:val="nil"/>
            </w:tcBorders>
            <w:shd w:val="clear" w:color="auto" w:fill="CCEEFF"/>
            <w:noWrap/>
            <w:vAlign w:val="bottom"/>
          </w:tcPr>
          <w:p w:rsidR="009534E2" w:rsidRDefault="009534E2">
            <w:pPr>
              <w:jc w:val="center"/>
              <w:rPr>
                <w:rFonts w:asciiTheme="majorHAnsi" w:hAnsiTheme="majorHAnsi" w:cstheme="majorHAnsi"/>
                <w:color w:val="000000"/>
              </w:rPr>
            </w:pPr>
          </w:p>
        </w:tc>
        <w:tc>
          <w:tcPr>
            <w:tcW w:w="431"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41,135</w:t>
            </w:r>
          </w:p>
        </w:tc>
        <w:tc>
          <w:tcPr>
            <w:tcW w:w="92" w:type="pct"/>
            <w:tcBorders>
              <w:top w:val="nil"/>
              <w:left w:val="nil"/>
              <w:bottom w:val="nil"/>
              <w:right w:val="nil"/>
              <w:tl2br w:val="nil"/>
              <w:tr2bl w:val="nil"/>
            </w:tcBorders>
            <w:shd w:val="clear" w:color="auto" w:fill="CCEEFF"/>
            <w:noWrap/>
            <w:vAlign w:val="bottom"/>
          </w:tcPr>
          <w:p w:rsidR="009534E2" w:rsidRDefault="009534E2">
            <w:pPr>
              <w:jc w:val="center"/>
              <w:rPr>
                <w:rFonts w:asciiTheme="majorHAnsi" w:hAnsiTheme="majorHAnsi" w:cstheme="majorHAnsi"/>
                <w:color w:val="000000"/>
              </w:rPr>
            </w:pPr>
          </w:p>
        </w:tc>
        <w:tc>
          <w:tcPr>
            <w:tcW w:w="431" w:type="pct"/>
            <w:tcBorders>
              <w:top w:val="nil"/>
              <w:left w:val="nil"/>
              <w:bottom w:val="nil"/>
              <w:right w:val="nil"/>
              <w:tl2br w:val="nil"/>
              <w:tr2bl w:val="nil"/>
            </w:tcBorders>
            <w:shd w:val="clear" w:color="auto" w:fill="CCEEFF"/>
            <w:noWrap/>
            <w:vAlign w:val="bottom"/>
          </w:tcPr>
          <w:p w:rsidR="009534E2" w:rsidRDefault="003369EB">
            <w:pPr>
              <w:ind w:right="60"/>
              <w:jc w:val="right"/>
              <w:rPr>
                <w:rFonts w:eastAsia="Times New Roman" w:asciiTheme="majorHAnsi" w:hAnsiTheme="majorHAnsi" w:cstheme="majorHAnsi"/>
                <w:color w:val="000000"/>
              </w:rPr>
            </w:pPr>
            <w:r>
              <w:rPr>
                <w:rFonts w:eastAsia="Times New Roman" w:asciiTheme="majorHAnsi" w:hAnsiTheme="majorHAnsi" w:cstheme="majorHAnsi"/>
                <w:color w:val="000000"/>
              </w:rPr>
              <w:t xml:space="preserve"> 100.0</w:t>
            </w:r>
          </w:p>
        </w:tc>
        <w:tc>
          <w:tcPr>
            <w:tcW w:w="92" w:type="pct"/>
            <w:tcBorders>
              <w:top w:val="nil"/>
              <w:left w:val="nil"/>
              <w:bottom w:val="nil"/>
              <w:right w:val="nil"/>
              <w:tl2br w:val="nil"/>
              <w:tr2bl w:val="nil"/>
            </w:tcBorders>
            <w:shd w:val="clear" w:color="auto" w:fill="CCEEFF"/>
            <w:noWrap/>
            <w:vAlign w:val="bottom"/>
          </w:tcPr>
          <w:p w:rsidR="009534E2" w:rsidRDefault="009534E2">
            <w:pPr>
              <w:jc w:val="center"/>
              <w:rPr>
                <w:rFonts w:asciiTheme="majorHAnsi" w:hAnsiTheme="majorHAnsi" w:cstheme="majorHAnsi"/>
                <w:color w:val="000000"/>
              </w:rPr>
            </w:pPr>
          </w:p>
        </w:tc>
        <w:tc>
          <w:tcPr>
            <w:tcW w:w="431" w:type="pct"/>
            <w:tcBorders>
              <w:top w:val="nil"/>
              <w:left w:val="nil"/>
              <w:bottom w:val="nil"/>
              <w:right w:val="nil"/>
              <w:tl2br w:val="nil"/>
              <w:tr2bl w:val="nil"/>
            </w:tcBorders>
            <w:shd w:val="clear" w:color="auto" w:fill="CCEEFF"/>
            <w:noWrap/>
            <w:vAlign w:val="bottom"/>
          </w:tcPr>
          <w:p w:rsidR="009534E2" w:rsidRDefault="003369EB">
            <w:pPr>
              <w:ind w:right="60"/>
              <w:jc w:val="right"/>
              <w:rPr>
                <w:rFonts w:eastAsia="Times New Roman" w:asciiTheme="majorHAnsi" w:hAnsiTheme="majorHAnsi" w:cstheme="majorHAnsi"/>
                <w:color w:val="000000"/>
              </w:rPr>
            </w:pPr>
            <w:r>
              <w:rPr>
                <w:rFonts w:eastAsia="Times New Roman" w:asciiTheme="majorHAnsi" w:hAnsiTheme="majorHAnsi" w:cstheme="majorHAnsi"/>
                <w:color w:val="000000"/>
              </w:rPr>
              <w:t xml:space="preserve"> 51,502</w:t>
            </w:r>
          </w:p>
        </w:tc>
        <w:tc>
          <w:tcPr>
            <w:tcW w:w="92" w:type="pct"/>
            <w:tcBorders>
              <w:top w:val="nil"/>
              <w:left w:val="nil"/>
              <w:bottom w:val="nil"/>
              <w:right w:val="nil"/>
              <w:tl2br w:val="nil"/>
              <w:tr2bl w:val="nil"/>
            </w:tcBorders>
            <w:shd w:val="clear" w:color="auto" w:fill="CCEEFF"/>
            <w:noWrap/>
            <w:vAlign w:val="bottom"/>
          </w:tcPr>
          <w:p w:rsidR="009534E2" w:rsidRDefault="009534E2">
            <w:pPr>
              <w:jc w:val="center"/>
              <w:rPr>
                <w:rFonts w:asciiTheme="majorHAnsi" w:hAnsiTheme="majorHAnsi" w:cstheme="majorHAnsi"/>
                <w:color w:val="000000"/>
              </w:rPr>
            </w:pPr>
          </w:p>
        </w:tc>
        <w:tc>
          <w:tcPr>
            <w:tcW w:w="431" w:type="pct"/>
            <w:tcBorders>
              <w:top w:val="nil"/>
              <w:left w:val="nil"/>
              <w:bottom w:val="nil"/>
              <w:right w:val="nil"/>
              <w:tl2br w:val="nil"/>
              <w:tr2bl w:val="nil"/>
            </w:tcBorders>
            <w:shd w:val="clear" w:color="auto" w:fill="CCEEFF"/>
            <w:noWrap/>
            <w:vAlign w:val="bottom"/>
          </w:tcPr>
          <w:p w:rsidR="009534E2" w:rsidRDefault="003369EB">
            <w:pPr>
              <w:ind w:right="60"/>
              <w:jc w:val="right"/>
              <w:rPr>
                <w:rFonts w:eastAsia="Times New Roman" w:asciiTheme="majorHAnsi" w:hAnsiTheme="majorHAnsi" w:cstheme="majorHAnsi"/>
                <w:color w:val="000000"/>
              </w:rPr>
            </w:pPr>
            <w:r>
              <w:rPr>
                <w:rFonts w:eastAsia="Times New Roman" w:asciiTheme="majorHAnsi" w:hAnsiTheme="majorHAnsi" w:cstheme="majorHAnsi"/>
                <w:color w:val="000000"/>
              </w:rPr>
              <w:t xml:space="preserve"> 100.0</w:t>
            </w:r>
          </w:p>
        </w:tc>
      </w:tr>
      <w:tr w:rsidR="009534E2">
        <w:tc>
          <w:tcPr>
            <w:tcW w:w="2907" w:type="pct"/>
            <w:tcBorders>
              <w:top w:val="nil"/>
              <w:left w:val="nil"/>
              <w:bottom w:val="nil"/>
              <w:right w:val="nil"/>
              <w:tl2br w:val="nil"/>
              <w:tr2bl w:val="nil"/>
            </w:tcBorders>
            <w:shd w:val="clear" w:color="auto" w:fill="auto"/>
            <w:vAlign w:val="bottom"/>
          </w:tcPr>
          <w:p w:rsidR="009534E2" w:rsidRDefault="003369EB">
            <w:pPr>
              <w:ind w:left="120"/>
              <w:rPr>
                <w:rFonts w:asciiTheme="majorHAnsi" w:hAnsiTheme="majorHAnsi" w:cstheme="majorHAnsi"/>
                <w:color w:val="000000"/>
              </w:rPr>
            </w:pPr>
            <w:bookmarkStart w:name="_cf61fe9e_5821_403e_8ff4_3839af353032" w:id="313"/>
            <w:bookmarkEnd w:id="312"/>
            <w:r>
              <w:rPr>
                <w:rFonts w:eastAsia="Times New Roman" w:asciiTheme="majorHAnsi" w:hAnsiTheme="majorHAnsi" w:cstheme="majorHAnsi"/>
                <w:color w:val="000000"/>
              </w:rPr>
              <w:t>Payment processing fees</w:t>
            </w:r>
          </w:p>
        </w:tc>
        <w:tc>
          <w:tcPr>
            <w:tcW w:w="92"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rPr>
            </w:pPr>
          </w:p>
        </w:tc>
        <w:tc>
          <w:tcPr>
            <w:tcW w:w="431"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33,397</w:t>
            </w:r>
          </w:p>
        </w:tc>
        <w:tc>
          <w:tcPr>
            <w:tcW w:w="92"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rPr>
            </w:pPr>
          </w:p>
        </w:tc>
        <w:tc>
          <w:tcPr>
            <w:tcW w:w="431" w:type="pct"/>
            <w:tcBorders>
              <w:top w:val="nil"/>
              <w:left w:val="nil"/>
              <w:bottom w:val="nil"/>
              <w:right w:val="nil"/>
              <w:tl2br w:val="nil"/>
              <w:tr2bl w:val="nil"/>
            </w:tcBorders>
            <w:shd w:val="clear" w:color="auto" w:fill="auto"/>
            <w:noWrap/>
            <w:vAlign w:val="bottom"/>
          </w:tcPr>
          <w:p w:rsidR="009534E2" w:rsidRDefault="003369EB">
            <w:pPr>
              <w:ind w:right="60"/>
              <w:jc w:val="right"/>
              <w:rPr>
                <w:rFonts w:eastAsia="Times New Roman" w:asciiTheme="majorHAnsi" w:hAnsiTheme="majorHAnsi" w:cstheme="majorHAnsi"/>
                <w:color w:val="000000"/>
              </w:rPr>
            </w:pPr>
            <w:r>
              <w:rPr>
                <w:rFonts w:eastAsia="Times New Roman" w:asciiTheme="majorHAnsi" w:hAnsiTheme="majorHAnsi" w:cstheme="majorHAnsi"/>
                <w:color w:val="000000"/>
              </w:rPr>
              <w:t xml:space="preserve"> 81.2</w:t>
            </w:r>
          </w:p>
        </w:tc>
        <w:tc>
          <w:tcPr>
            <w:tcW w:w="92"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rPr>
            </w:pPr>
          </w:p>
        </w:tc>
        <w:tc>
          <w:tcPr>
            <w:tcW w:w="431" w:type="pct"/>
            <w:tcBorders>
              <w:top w:val="nil"/>
              <w:left w:val="nil"/>
              <w:bottom w:val="nil"/>
              <w:right w:val="nil"/>
              <w:tl2br w:val="nil"/>
              <w:tr2bl w:val="nil"/>
            </w:tcBorders>
            <w:shd w:val="clear" w:color="auto" w:fill="auto"/>
            <w:noWrap/>
            <w:vAlign w:val="bottom"/>
          </w:tcPr>
          <w:p w:rsidR="009534E2" w:rsidRDefault="003369EB">
            <w:pPr>
              <w:ind w:right="60"/>
              <w:jc w:val="right"/>
              <w:rPr>
                <w:rFonts w:eastAsia="Times New Roman" w:asciiTheme="majorHAnsi" w:hAnsiTheme="majorHAnsi" w:cstheme="majorHAnsi"/>
                <w:color w:val="000000"/>
              </w:rPr>
            </w:pPr>
            <w:r>
              <w:rPr>
                <w:rFonts w:eastAsia="Times New Roman" w:asciiTheme="majorHAnsi" w:hAnsiTheme="majorHAnsi" w:cstheme="majorHAnsi"/>
                <w:color w:val="000000"/>
              </w:rPr>
              <w:t xml:space="preserve"> 37,689</w:t>
            </w:r>
          </w:p>
        </w:tc>
        <w:tc>
          <w:tcPr>
            <w:tcW w:w="92"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rPr>
            </w:pPr>
          </w:p>
        </w:tc>
        <w:tc>
          <w:tcPr>
            <w:tcW w:w="431" w:type="pct"/>
            <w:tcBorders>
              <w:top w:val="nil"/>
              <w:left w:val="nil"/>
              <w:bottom w:val="nil"/>
              <w:right w:val="nil"/>
              <w:tl2br w:val="nil"/>
              <w:tr2bl w:val="nil"/>
            </w:tcBorders>
            <w:shd w:val="clear" w:color="auto" w:fill="auto"/>
            <w:noWrap/>
            <w:vAlign w:val="bottom"/>
          </w:tcPr>
          <w:p w:rsidR="009534E2" w:rsidRDefault="003369EB">
            <w:pPr>
              <w:ind w:right="60"/>
              <w:jc w:val="right"/>
              <w:rPr>
                <w:rFonts w:eastAsia="Times New Roman" w:asciiTheme="majorHAnsi" w:hAnsiTheme="majorHAnsi" w:cstheme="majorHAnsi"/>
                <w:color w:val="000000"/>
              </w:rPr>
            </w:pPr>
            <w:r>
              <w:rPr>
                <w:rFonts w:eastAsia="Times New Roman" w:asciiTheme="majorHAnsi" w:hAnsiTheme="majorHAnsi" w:cstheme="majorHAnsi"/>
                <w:color w:val="000000"/>
              </w:rPr>
              <w:t xml:space="preserve"> 73.2</w:t>
            </w:r>
          </w:p>
        </w:tc>
      </w:tr>
      <w:tr w:rsidR="009534E2">
        <w:tc>
          <w:tcPr>
            <w:tcW w:w="2907"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8cca8b43_9dae_4b30_8a6c_a092f2431eea" w:id="314"/>
            <w:bookmarkEnd w:id="313"/>
            <w:r>
              <w:rPr>
                <w:rFonts w:eastAsia="Times New Roman" w:asciiTheme="majorHAnsi" w:hAnsiTheme="majorHAnsi" w:cstheme="majorHAnsi"/>
                <w:color w:val="000000"/>
              </w:rPr>
              <w:t>Interest revenue calculated using the effective interest rate</w:t>
            </w:r>
          </w:p>
        </w:tc>
        <w:tc>
          <w:tcPr>
            <w:tcW w:w="92" w:type="pct"/>
            <w:tcBorders>
              <w:top w:val="nil"/>
              <w:left w:val="nil"/>
              <w:bottom w:val="nil"/>
              <w:right w:val="nil"/>
              <w:tl2br w:val="nil"/>
              <w:tr2bl w:val="nil"/>
            </w:tcBorders>
            <w:shd w:val="clear" w:color="auto" w:fill="CCEEFF"/>
            <w:noWrap/>
            <w:vAlign w:val="bottom"/>
          </w:tcPr>
          <w:p w:rsidR="009534E2" w:rsidRDefault="009534E2">
            <w:pPr>
              <w:jc w:val="center"/>
              <w:rPr>
                <w:rFonts w:asciiTheme="majorHAnsi" w:hAnsiTheme="majorHAnsi" w:cstheme="majorHAnsi"/>
                <w:color w:val="000000"/>
              </w:rPr>
            </w:pPr>
          </w:p>
        </w:tc>
        <w:tc>
          <w:tcPr>
            <w:tcW w:w="431"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3,453</w:t>
            </w:r>
          </w:p>
        </w:tc>
        <w:tc>
          <w:tcPr>
            <w:tcW w:w="92" w:type="pct"/>
            <w:tcBorders>
              <w:top w:val="nil"/>
              <w:left w:val="nil"/>
              <w:bottom w:val="nil"/>
              <w:right w:val="nil"/>
              <w:tl2br w:val="nil"/>
              <w:tr2bl w:val="nil"/>
            </w:tcBorders>
            <w:shd w:val="clear" w:color="auto" w:fill="CCEEFF"/>
            <w:noWrap/>
            <w:vAlign w:val="bottom"/>
          </w:tcPr>
          <w:p w:rsidR="009534E2" w:rsidRDefault="009534E2">
            <w:pPr>
              <w:jc w:val="center"/>
              <w:rPr>
                <w:rFonts w:asciiTheme="majorHAnsi" w:hAnsiTheme="majorHAnsi" w:cstheme="majorHAnsi"/>
                <w:color w:val="000000"/>
              </w:rPr>
            </w:pPr>
          </w:p>
        </w:tc>
        <w:tc>
          <w:tcPr>
            <w:tcW w:w="431" w:type="pct"/>
            <w:tcBorders>
              <w:top w:val="nil"/>
              <w:left w:val="nil"/>
              <w:bottom w:val="nil"/>
              <w:right w:val="nil"/>
              <w:tl2br w:val="nil"/>
              <w:tr2bl w:val="nil"/>
            </w:tcBorders>
            <w:shd w:val="clear" w:color="auto" w:fill="CCEEFF"/>
            <w:noWrap/>
            <w:vAlign w:val="bottom"/>
          </w:tcPr>
          <w:p w:rsidR="009534E2" w:rsidRDefault="003369EB">
            <w:pPr>
              <w:ind w:right="60"/>
              <w:jc w:val="right"/>
              <w:rPr>
                <w:rFonts w:eastAsia="Times New Roman" w:asciiTheme="majorHAnsi" w:hAnsiTheme="majorHAnsi" w:cstheme="majorHAnsi"/>
                <w:color w:val="000000"/>
              </w:rPr>
            </w:pPr>
            <w:r>
              <w:rPr>
                <w:rFonts w:eastAsia="Times New Roman" w:asciiTheme="majorHAnsi" w:hAnsiTheme="majorHAnsi" w:cstheme="majorHAnsi"/>
                <w:color w:val="000000"/>
              </w:rPr>
              <w:t xml:space="preserve"> 8.4</w:t>
            </w:r>
          </w:p>
        </w:tc>
        <w:tc>
          <w:tcPr>
            <w:tcW w:w="92" w:type="pct"/>
            <w:tcBorders>
              <w:top w:val="nil"/>
              <w:left w:val="nil"/>
              <w:bottom w:val="nil"/>
              <w:right w:val="nil"/>
              <w:tl2br w:val="nil"/>
              <w:tr2bl w:val="nil"/>
            </w:tcBorders>
            <w:shd w:val="clear" w:color="auto" w:fill="CCEEFF"/>
            <w:noWrap/>
            <w:vAlign w:val="bottom"/>
          </w:tcPr>
          <w:p w:rsidR="009534E2" w:rsidRDefault="009534E2">
            <w:pPr>
              <w:jc w:val="center"/>
              <w:rPr>
                <w:rFonts w:asciiTheme="majorHAnsi" w:hAnsiTheme="majorHAnsi" w:cstheme="majorHAnsi"/>
                <w:color w:val="000000"/>
              </w:rPr>
            </w:pPr>
          </w:p>
        </w:tc>
        <w:tc>
          <w:tcPr>
            <w:tcW w:w="431" w:type="pct"/>
            <w:tcBorders>
              <w:top w:val="nil"/>
              <w:left w:val="nil"/>
              <w:bottom w:val="nil"/>
              <w:right w:val="nil"/>
              <w:tl2br w:val="nil"/>
              <w:tr2bl w:val="nil"/>
            </w:tcBorders>
            <w:shd w:val="clear" w:color="auto" w:fill="CCEEFF"/>
            <w:noWrap/>
            <w:vAlign w:val="bottom"/>
          </w:tcPr>
          <w:p w:rsidR="009534E2" w:rsidRDefault="003369EB">
            <w:pPr>
              <w:ind w:right="60"/>
              <w:jc w:val="right"/>
              <w:rPr>
                <w:rFonts w:eastAsia="Times New Roman" w:asciiTheme="majorHAnsi" w:hAnsiTheme="majorHAnsi" w:cstheme="majorHAnsi"/>
                <w:color w:val="000000"/>
              </w:rPr>
            </w:pPr>
            <w:r>
              <w:rPr>
                <w:rFonts w:eastAsia="Times New Roman" w:asciiTheme="majorHAnsi" w:hAnsiTheme="majorHAnsi" w:cstheme="majorHAnsi"/>
                <w:color w:val="000000"/>
              </w:rPr>
              <w:t xml:space="preserve"> 6,764</w:t>
            </w:r>
          </w:p>
        </w:tc>
        <w:tc>
          <w:tcPr>
            <w:tcW w:w="92" w:type="pct"/>
            <w:tcBorders>
              <w:top w:val="nil"/>
              <w:left w:val="nil"/>
              <w:bottom w:val="nil"/>
              <w:right w:val="nil"/>
              <w:tl2br w:val="nil"/>
              <w:tr2bl w:val="nil"/>
            </w:tcBorders>
            <w:shd w:val="clear" w:color="auto" w:fill="CCEEFF"/>
            <w:noWrap/>
            <w:vAlign w:val="bottom"/>
          </w:tcPr>
          <w:p w:rsidR="009534E2" w:rsidRDefault="009534E2">
            <w:pPr>
              <w:jc w:val="center"/>
              <w:rPr>
                <w:rFonts w:asciiTheme="majorHAnsi" w:hAnsiTheme="majorHAnsi" w:cstheme="majorHAnsi"/>
                <w:color w:val="000000"/>
              </w:rPr>
            </w:pPr>
          </w:p>
        </w:tc>
        <w:tc>
          <w:tcPr>
            <w:tcW w:w="431" w:type="pct"/>
            <w:tcBorders>
              <w:top w:val="nil"/>
              <w:left w:val="nil"/>
              <w:bottom w:val="nil"/>
              <w:right w:val="nil"/>
              <w:tl2br w:val="nil"/>
              <w:tr2bl w:val="nil"/>
            </w:tcBorders>
            <w:shd w:val="clear" w:color="auto" w:fill="CCEEFF"/>
            <w:noWrap/>
            <w:vAlign w:val="bottom"/>
          </w:tcPr>
          <w:p w:rsidR="009534E2" w:rsidRDefault="003369EB">
            <w:pPr>
              <w:ind w:right="60"/>
              <w:jc w:val="right"/>
              <w:rPr>
                <w:rFonts w:eastAsia="Times New Roman" w:asciiTheme="majorHAnsi" w:hAnsiTheme="majorHAnsi" w:cstheme="majorHAnsi"/>
                <w:color w:val="000000"/>
              </w:rPr>
            </w:pPr>
            <w:r>
              <w:rPr>
                <w:rFonts w:eastAsia="Times New Roman" w:asciiTheme="majorHAnsi" w:hAnsiTheme="majorHAnsi" w:cstheme="majorHAnsi"/>
                <w:color w:val="000000"/>
              </w:rPr>
              <w:t xml:space="preserve"> 13.1</w:t>
            </w:r>
          </w:p>
        </w:tc>
      </w:tr>
      <w:tr w:rsidR="009534E2">
        <w:tc>
          <w:tcPr>
            <w:tcW w:w="2907" w:type="pct"/>
            <w:tcBorders>
              <w:top w:val="nil"/>
              <w:left w:val="nil"/>
              <w:bottom w:val="nil"/>
              <w:right w:val="nil"/>
              <w:tl2br w:val="nil"/>
              <w:tr2bl w:val="nil"/>
            </w:tcBorders>
            <w:shd w:val="clear" w:color="auto" w:fill="auto"/>
            <w:vAlign w:val="bottom"/>
          </w:tcPr>
          <w:p w:rsidR="009534E2" w:rsidRDefault="003369EB">
            <w:pPr>
              <w:ind w:left="120"/>
              <w:rPr>
                <w:rFonts w:asciiTheme="majorHAnsi" w:hAnsiTheme="majorHAnsi" w:cstheme="majorHAnsi"/>
                <w:color w:val="000000"/>
              </w:rPr>
            </w:pPr>
            <w:bookmarkStart w:name="_99a72235_b710_4317_85ae_30a9a746f831" w:id="315"/>
            <w:bookmarkEnd w:id="314"/>
            <w:r>
              <w:rPr>
                <w:rFonts w:eastAsia="Times New Roman" w:asciiTheme="majorHAnsi" w:hAnsiTheme="majorHAnsi" w:cstheme="majorHAnsi"/>
                <w:color w:val="000000"/>
              </w:rPr>
              <w:t>Fees from inactive accounts and unclaimed payments</w:t>
            </w:r>
          </w:p>
        </w:tc>
        <w:tc>
          <w:tcPr>
            <w:tcW w:w="92"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1,771</w:t>
            </w:r>
          </w:p>
        </w:tc>
        <w:tc>
          <w:tcPr>
            <w:tcW w:w="92"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4.3</w:t>
            </w:r>
          </w:p>
        </w:tc>
        <w:tc>
          <w:tcPr>
            <w:tcW w:w="92"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1,686</w:t>
            </w:r>
          </w:p>
        </w:tc>
        <w:tc>
          <w:tcPr>
            <w:tcW w:w="92"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3.3</w:t>
            </w:r>
          </w:p>
        </w:tc>
      </w:tr>
      <w:tr w:rsidR="009534E2">
        <w:tc>
          <w:tcPr>
            <w:tcW w:w="2907"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082135e2_a7ae_4f2b_9c29_aabc86788d43" w:id="316"/>
            <w:bookmarkEnd w:id="315"/>
            <w:r>
              <w:rPr>
                <w:rFonts w:eastAsia="Times New Roman" w:asciiTheme="majorHAnsi" w:hAnsiTheme="majorHAnsi" w:cstheme="majorHAnsi"/>
                <w:color w:val="000000"/>
              </w:rPr>
              <w:t>Cash and settlement service fees</w:t>
            </w:r>
          </w:p>
        </w:tc>
        <w:tc>
          <w:tcPr>
            <w:tcW w:w="92"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500</w:t>
            </w:r>
          </w:p>
        </w:tc>
        <w:tc>
          <w:tcPr>
            <w:tcW w:w="92"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w:t>
            </w:r>
          </w:p>
        </w:tc>
        <w:tc>
          <w:tcPr>
            <w:tcW w:w="92"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1,378</w:t>
            </w:r>
          </w:p>
        </w:tc>
        <w:tc>
          <w:tcPr>
            <w:tcW w:w="92"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2.7</w:t>
            </w:r>
          </w:p>
        </w:tc>
      </w:tr>
      <w:tr w:rsidR="009534E2">
        <w:tc>
          <w:tcPr>
            <w:tcW w:w="2907" w:type="pct"/>
            <w:tcBorders>
              <w:top w:val="nil"/>
              <w:left w:val="nil"/>
              <w:bottom w:val="nil"/>
              <w:right w:val="nil"/>
              <w:tl2br w:val="nil"/>
              <w:tr2bl w:val="nil"/>
            </w:tcBorders>
            <w:shd w:val="clear" w:color="auto" w:fill="auto"/>
            <w:vAlign w:val="bottom"/>
          </w:tcPr>
          <w:p w:rsidR="009534E2" w:rsidRDefault="003369EB">
            <w:pPr>
              <w:ind w:left="120"/>
              <w:rPr>
                <w:rFonts w:asciiTheme="majorHAnsi" w:hAnsiTheme="majorHAnsi" w:cstheme="majorHAnsi"/>
                <w:color w:val="000000"/>
              </w:rPr>
            </w:pPr>
            <w:bookmarkStart w:name="_3d7627ea_8dee_4d39_afed_f9d6a29948d9" w:id="317"/>
            <w:bookmarkEnd w:id="316"/>
            <w:r>
              <w:rPr>
                <w:rFonts w:eastAsia="Times New Roman" w:asciiTheme="majorHAnsi" w:hAnsiTheme="majorHAnsi" w:cstheme="majorHAnsi"/>
                <w:color w:val="000000"/>
              </w:rPr>
              <w:t>Platform and marketing services related fees</w:t>
            </w:r>
          </w:p>
        </w:tc>
        <w:tc>
          <w:tcPr>
            <w:tcW w:w="92"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958</w:t>
            </w:r>
          </w:p>
        </w:tc>
        <w:tc>
          <w:tcPr>
            <w:tcW w:w="92"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2.3</w:t>
            </w:r>
          </w:p>
        </w:tc>
        <w:tc>
          <w:tcPr>
            <w:tcW w:w="92"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2,055</w:t>
            </w:r>
          </w:p>
        </w:tc>
        <w:tc>
          <w:tcPr>
            <w:tcW w:w="92"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4.0</w:t>
            </w:r>
          </w:p>
        </w:tc>
      </w:tr>
      <w:tr w:rsidR="009534E2">
        <w:tc>
          <w:tcPr>
            <w:tcW w:w="2907"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5ce4b1b4_9382_420c_b226_98621fb68e8b" w:id="318"/>
            <w:bookmarkEnd w:id="317"/>
            <w:r>
              <w:rPr>
                <w:rFonts w:eastAsia="Times New Roman" w:asciiTheme="majorHAnsi" w:hAnsiTheme="majorHAnsi" w:cstheme="majorHAnsi"/>
                <w:color w:val="000000"/>
              </w:rPr>
              <w:t>Fees for guarantees issued</w:t>
            </w:r>
          </w:p>
        </w:tc>
        <w:tc>
          <w:tcPr>
            <w:tcW w:w="92"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723</w:t>
            </w:r>
          </w:p>
        </w:tc>
        <w:tc>
          <w:tcPr>
            <w:tcW w:w="92"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1.8</w:t>
            </w:r>
          </w:p>
        </w:tc>
        <w:tc>
          <w:tcPr>
            <w:tcW w:w="92"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1,523</w:t>
            </w:r>
          </w:p>
        </w:tc>
        <w:tc>
          <w:tcPr>
            <w:tcW w:w="92"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3.0</w:t>
            </w:r>
          </w:p>
        </w:tc>
      </w:tr>
      <w:tr w:rsidR="009534E2">
        <w:tc>
          <w:tcPr>
            <w:tcW w:w="2907" w:type="pct"/>
            <w:tcBorders>
              <w:top w:val="nil"/>
              <w:left w:val="nil"/>
              <w:bottom w:val="nil"/>
              <w:right w:val="nil"/>
              <w:tl2br w:val="nil"/>
              <w:tr2bl w:val="nil"/>
            </w:tcBorders>
            <w:shd w:val="clear" w:color="auto" w:fill="auto"/>
            <w:vAlign w:val="bottom"/>
          </w:tcPr>
          <w:p w:rsidR="009534E2" w:rsidRDefault="003369EB">
            <w:pPr>
              <w:ind w:left="120"/>
              <w:rPr>
                <w:rFonts w:asciiTheme="majorHAnsi" w:hAnsiTheme="majorHAnsi" w:cstheme="majorHAnsi"/>
                <w:color w:val="000000"/>
              </w:rPr>
            </w:pPr>
            <w:bookmarkStart w:name="_7ed97af4_3909_45f0_b943_4601bf552d32" w:id="319"/>
            <w:bookmarkEnd w:id="318"/>
            <w:r>
              <w:rPr>
                <w:rFonts w:eastAsia="Times New Roman" w:asciiTheme="majorHAnsi" w:hAnsiTheme="majorHAnsi" w:cstheme="majorHAnsi"/>
                <w:color w:val="000000"/>
              </w:rPr>
              <w:t>Other revenue</w:t>
            </w:r>
          </w:p>
        </w:tc>
        <w:tc>
          <w:tcPr>
            <w:tcW w:w="92"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333</w:t>
            </w:r>
          </w:p>
        </w:tc>
        <w:tc>
          <w:tcPr>
            <w:tcW w:w="92"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0.8</w:t>
            </w:r>
          </w:p>
        </w:tc>
        <w:tc>
          <w:tcPr>
            <w:tcW w:w="92"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407</w:t>
            </w:r>
          </w:p>
        </w:tc>
        <w:tc>
          <w:tcPr>
            <w:tcW w:w="92"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31"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0.8</w:t>
            </w:r>
          </w:p>
        </w:tc>
      </w:tr>
      <w:bookmarkEnd w:id="308"/>
      <w:bookmarkEnd w:id="319"/>
    </w:tbl>
    <w:p w:rsidR="009534E2" w:rsidRDefault="009534E2">
      <w:pPr>
        <w:ind w:firstLine="461"/>
        <w:rPr>
          <w:rFonts w:eastAsia="Times New Roman" w:asciiTheme="majorHAnsi" w:hAnsiTheme="majorHAnsi" w:cstheme="majorHAnsi"/>
          <w:lang w:eastAsia="ru-RU"/>
        </w:rPr>
      </w:pP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Revenue for the year ended December 31, 2022 was RUB 51,502 million, an increase of 25.2%, or RUB 10,367 million, compared to the same period of 2021. Payment processing fees in 2022 reached RUB 37,689 million, an increase of 12.9%, or RUB 4,292 million, compared to previous year driven by 8% year-over-year growth of payment volumes underpinned higher commissions charged as a percentage of payment volumes. Payment Services segment payment volumes growth in 2022 as compared to 2021 was predominantly due to a higher number of operations via our CONTACT money remittance payment system, further development of payment solutions for merchants, onboarding of new merchants and aggregators, an increase of payment volume using QIWI Wallet for numerous types of services, growing payment volume from our product offering for self-employed and peer-to-peer operations. Payment processing fees as a percentage of payment volumes for the year 2022 was 2.01% compared to 1.92% for 2021 resulting from a favorable mix of operations with generally higher commissions.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Number of active QIWI Wallet accounts represents the number of wallets through which at least one payment has been made or which has been loaded in the 12 months preceding the end of the relevant reporting period, excluding wallets opened for technical purposes. Number of active wallets is one of the measures of our success in penetrating the market and expanding our customer base. At the same time, we are aiming on diversification of our product proposition and increase of payment volumes per QIWI Wallet account. The number of active QIWI Wallet accounts increased to 13.8 million as of December 31, 2022 from 12.1 million as of December 31, 2021. Such increase in number of active virtual wallets in 2022 is attributable primarily due to the changes in the competitive landscape which led to an increase in the use of QIWI Wallet as a payment option. However, given the current political and economic climate it's uncertain whether this trend is long-term or whether we only observed the one-off effect. Furthermore, since December 12, 2022 all banks will implement EDI with the Federal bailiff service, which could also decrease advantages of e-wallets over bank accounts.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From December 31, 2021 to December 31, 2022, our number of kiosks decreased from 75,000 to 62,000 and the number of terminals decreased from 18,000 to 12,000. Our kiosks and terminals can be found next to convenience stores, in train stations, post offices, retail stores and airport terminals in all major urban cities as well as many small and rural towns that lack large bank branches and other financial infrastructure. The number of kiosks and terminals is generally decreasing as market evolves towards higher share of digital payments, moreover our physical distribution network was, and to a certain extend continues to be, negatively affected by the spread of COVID-19 pandemic, corresponding lockdown measures and other restrictions that limited users’ access to certain retail locations as well as the overall activity of the population. Nevertheless, we believe that our physical distribution network remains an important part of our infrastructure, and we maintain or even slightly increase our market share.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Interest revenue calculated using the effective interest rate for the year ended December 31, 2022 was RUB 6,764 million, an increase of 95.9%, or RUB 3,311 million, compared to the same period in 2021. The main factors of growth demonstrated in 2022 were (i) higher income from factoring financing as part of our ROWI project on further expansion of factoring portfolio; (ii) an increase of debt securities portfolio and increased bank deposits; and (iii) overall higher interest rates.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Fees for inactive accounts and unclaimed payments decreased by 4.8%, or RUB 85 million, from RUB 1,771 million in 2021 to RUB 1,686 million in 2022.</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Cash and settlement services fees for the year ended December 31, 2022 were RUB 1,378 million, an increase of 175.6%, or RUB 878 million, compared to the same period in 2021. Cash and settlement services fees increase resulted primarily from inflow of clients using cash and settlement services and related currency conversion income.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Platform and marketing services related fees for the year ended December 31, 2022 were RUB 2,055 million, an increase of 114.5%, or RUB 1,097 million, compared to the same period in 2021. The increase was mainly driven by RealWeb group acquisition and growth of revenue from Flocktory services resulting primarily from organic growth of Flocktory’s client base.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Fees for guarantees issued for the year ended December 31, 2022 were RUB 1,523 million, an increase of 110.7%, or RUB 800 million, compared to the same period in 2021. The increase was mainly driven by growth of ROWI digital guarantees portfolio.</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Other revenue for the year ended December 31, 2022 was RUB 407 million, an increase of 22.2%, or RUB 74 million, compared to the same period in 2021. The increase was driven by growth of revenue from additional value-added services for our clients as well as from minor miscellaneous projects.</w:t>
      </w:r>
    </w:p>
    <w:p w:rsidR="009534E2" w:rsidRDefault="003369EB">
      <w:pPr>
        <w:keepNext/>
        <w:keepLines/>
        <w:spacing w:after="200"/>
        <w:rPr>
          <w:rFonts w:eastAsia="Times New Roman" w:asciiTheme="majorHAnsi" w:hAnsiTheme="majorHAnsi" w:cstheme="majorHAnsi"/>
          <w:i/>
          <w:iCs/>
          <w:lang w:eastAsia="ru-RU"/>
        </w:rPr>
      </w:pPr>
      <w:r>
        <w:rPr>
          <w:rFonts w:eastAsia="Times New Roman" w:asciiTheme="majorHAnsi" w:hAnsiTheme="majorHAnsi" w:cstheme="majorHAnsi"/>
          <w:i/>
          <w:iCs/>
          <w:lang w:eastAsia="ru-RU"/>
        </w:rPr>
        <w:t>Operating expenses</w:t>
      </w:r>
    </w:p>
    <w:p w:rsidR="009534E2" w:rsidRDefault="003369EB">
      <w:pPr>
        <w:keepNext/>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Set out below are the primary components of our operating expenses for the year ended December 31, 2022 and 2021, and as a percentage of total revenue:</w:t>
      </w:r>
    </w:p>
    <w:p w:rsidR="009534E2" w:rsidRDefault="009534E2">
      <w:pPr>
        <w:keepNext/>
        <w:ind w:firstLine="461"/>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543"/>
        <w:gridCol w:w="206"/>
        <w:gridCol w:w="1165"/>
        <w:gridCol w:w="206"/>
        <w:gridCol w:w="1053"/>
        <w:gridCol w:w="206"/>
        <w:gridCol w:w="1165"/>
        <w:gridCol w:w="206"/>
        <w:gridCol w:w="1050"/>
      </w:tblGrid>
      <w:tr w:rsidR="009534E2">
        <w:trPr>
          <w:trHeight w:val="20" w:hRule="exact"/>
          <w:jc w:val="center"/>
        </w:trPr>
        <w:tc>
          <w:tcPr>
            <w:tcW w:w="2578"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d9d13635_0e23_44e7_adf6_6546eccf367f" w:colFirst="0" w:colLast="0" w:id="320"/>
            <w:bookmarkStart w:name="_de4e8a98_0769_442f_bc5f_6e2b8302f69f" w:colFirst="1" w:colLast="1" w:id="321"/>
            <w:bookmarkStart w:name="_e8a7f676_4f96_4661_a7cc_023b639393ee" w:colFirst="2" w:colLast="2" w:id="322"/>
            <w:bookmarkStart w:name="_50375e00_159c_4ed2_92e6_6510a3d8fbce" w:colFirst="3" w:colLast="3" w:id="323"/>
            <w:bookmarkStart w:name="_d9d03c6d_922d_4c71_a0a5_34caccc97d60" w:colFirst="4" w:colLast="4" w:id="324"/>
            <w:bookmarkStart w:name="_3141197a_5918_4170_bef9_e0aff5d2db83" w:colFirst="5" w:colLast="5" w:id="325"/>
            <w:bookmarkStart w:name="_201c8148_07a1_4d14_b299_8b9e4bdfabdb" w:colFirst="6" w:colLast="6" w:id="326"/>
            <w:bookmarkStart w:name="_13664956_10bd_4bd2_815c_25202af7bab5" w:colFirst="7" w:colLast="7" w:id="327"/>
            <w:bookmarkStart w:name="_41213a89_2d2d_49f9_869e_c8cb982f3272" w:colFirst="8" w:colLast="8" w:id="328"/>
            <w:bookmarkStart w:name="_630eebbc_5091_4eb8_b2c5_7bd88a1e929c" w:id="329"/>
          </w:p>
        </w:tc>
        <w:tc>
          <w:tcPr>
            <w:tcW w:w="10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99"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99"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99"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99"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2578"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0acaa4e8_79d9_44c4_b802_357e6a91ff4f" w:id="330"/>
            <w:bookmarkEnd w:id="320"/>
            <w:bookmarkEnd w:id="321"/>
            <w:bookmarkEnd w:id="322"/>
            <w:bookmarkEnd w:id="323"/>
            <w:bookmarkEnd w:id="324"/>
            <w:bookmarkEnd w:id="325"/>
            <w:bookmarkEnd w:id="326"/>
            <w:bookmarkEnd w:id="327"/>
            <w:bookmarkEnd w:id="328"/>
          </w:p>
        </w:tc>
        <w:tc>
          <w:tcPr>
            <w:tcW w:w="107"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2315" w:type="pct"/>
            <w:gridSpan w:val="7"/>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Year ended December 31,</w:t>
            </w:r>
          </w:p>
        </w:tc>
      </w:tr>
      <w:tr w:rsidR="009534E2">
        <w:trPr>
          <w:jc w:val="center"/>
        </w:trPr>
        <w:tc>
          <w:tcPr>
            <w:tcW w:w="2578"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20e540ca_65ad_4ffe_851d_254a33120ba6" w:id="331"/>
            <w:bookmarkEnd w:id="330"/>
          </w:p>
        </w:tc>
        <w:tc>
          <w:tcPr>
            <w:tcW w:w="107"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99"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 (1)</w:t>
            </w:r>
          </w:p>
        </w:tc>
        <w:tc>
          <w:tcPr>
            <w:tcW w:w="107"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99"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 (1)</w:t>
            </w:r>
          </w:p>
        </w:tc>
        <w:tc>
          <w:tcPr>
            <w:tcW w:w="107"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99"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c>
          <w:tcPr>
            <w:tcW w:w="107"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99"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2578"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szCs w:val="16"/>
              </w:rPr>
            </w:pPr>
            <w:bookmarkStart w:name="_5643f70a_2317_4280_8767_b7fa29416bc4" w:id="332"/>
            <w:bookmarkEnd w:id="331"/>
          </w:p>
        </w:tc>
        <w:tc>
          <w:tcPr>
            <w:tcW w:w="107"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(in RUB millions)</w:t>
            </w:r>
          </w:p>
        </w:tc>
        <w:tc>
          <w:tcPr>
            <w:tcW w:w="107"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of revenue)</w:t>
            </w:r>
          </w:p>
        </w:tc>
        <w:tc>
          <w:tcPr>
            <w:tcW w:w="107"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(in RUB millions)</w:t>
            </w:r>
          </w:p>
        </w:tc>
        <w:tc>
          <w:tcPr>
            <w:tcW w:w="107"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of revenue)</w:t>
            </w:r>
          </w:p>
        </w:tc>
      </w:tr>
      <w:tr w:rsidR="009534E2">
        <w:trPr>
          <w:jc w:val="center"/>
        </w:trPr>
        <w:tc>
          <w:tcPr>
            <w:tcW w:w="2578"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3679e001_5618_4cb9_a679_2f43c3f5fe87" w:id="333"/>
            <w:bookmarkEnd w:id="332"/>
            <w:r>
              <w:rPr>
                <w:rFonts w:eastAsia="Times New Roman" w:asciiTheme="majorHAnsi" w:hAnsiTheme="majorHAnsi" w:cstheme="majorHAnsi"/>
                <w:color w:val="000000"/>
              </w:rPr>
              <w:t>Cost of revenue</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(18,022)</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(43.8)</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(17,365)</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(33.7)</w:t>
            </w:r>
          </w:p>
        </w:tc>
      </w:tr>
      <w:tr w:rsidR="009534E2">
        <w:trPr>
          <w:jc w:val="center"/>
        </w:trPr>
        <w:tc>
          <w:tcPr>
            <w:tcW w:w="2578" w:type="pct"/>
            <w:tcBorders>
              <w:top w:val="nil"/>
              <w:left w:val="nil"/>
              <w:bottom w:val="nil"/>
              <w:right w:val="nil"/>
              <w:tl2br w:val="nil"/>
              <w:tr2bl w:val="nil"/>
            </w:tcBorders>
            <w:shd w:val="clear" w:color="auto" w:fill="auto"/>
            <w:vAlign w:val="bottom"/>
          </w:tcPr>
          <w:p w:rsidR="009534E2" w:rsidRDefault="003369EB">
            <w:pPr>
              <w:keepNext/>
              <w:ind w:left="120"/>
              <w:rPr>
                <w:rFonts w:asciiTheme="majorHAnsi" w:hAnsiTheme="majorHAnsi" w:cstheme="majorHAnsi"/>
                <w:color w:val="000000"/>
              </w:rPr>
            </w:pPr>
            <w:bookmarkStart w:name="_e70a2dee_25c2_4390_9df0_e1ef5411e992" w:id="334"/>
            <w:bookmarkEnd w:id="333"/>
            <w:r>
              <w:rPr>
                <w:rFonts w:eastAsia="Times New Roman" w:asciiTheme="majorHAnsi" w:hAnsiTheme="majorHAnsi" w:cstheme="majorHAnsi"/>
                <w:color w:val="000000"/>
              </w:rPr>
              <w:t>Transaction costs</w:t>
            </w:r>
          </w:p>
        </w:tc>
        <w:tc>
          <w:tcPr>
            <w:tcW w:w="10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(15,892)</w:t>
            </w:r>
          </w:p>
        </w:tc>
        <w:tc>
          <w:tcPr>
            <w:tcW w:w="10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(38.6)</w:t>
            </w:r>
          </w:p>
        </w:tc>
        <w:tc>
          <w:tcPr>
            <w:tcW w:w="10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(14,119)</w:t>
            </w:r>
          </w:p>
        </w:tc>
        <w:tc>
          <w:tcPr>
            <w:tcW w:w="10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(27.4)</w:t>
            </w:r>
          </w:p>
        </w:tc>
      </w:tr>
      <w:tr w:rsidR="009534E2">
        <w:trPr>
          <w:jc w:val="center"/>
        </w:trPr>
        <w:tc>
          <w:tcPr>
            <w:tcW w:w="2578"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3f80e942_b1ce_4340_a3e4_5383e6dc822d" w:id="335"/>
            <w:bookmarkEnd w:id="334"/>
            <w:r>
              <w:rPr>
                <w:rFonts w:eastAsia="Times New Roman" w:asciiTheme="majorHAnsi" w:hAnsiTheme="majorHAnsi" w:cstheme="majorHAnsi"/>
                <w:color w:val="000000"/>
              </w:rPr>
              <w:t>Platform and marketing services related expenses (1)</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(114)</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(0.3)</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(1,035)</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(2.0)</w:t>
            </w:r>
          </w:p>
        </w:tc>
      </w:tr>
      <w:tr w:rsidR="009534E2">
        <w:trPr>
          <w:jc w:val="center"/>
        </w:trPr>
        <w:tc>
          <w:tcPr>
            <w:tcW w:w="2578" w:type="pct"/>
            <w:tcBorders>
              <w:top w:val="nil"/>
              <w:left w:val="nil"/>
              <w:bottom w:val="nil"/>
              <w:right w:val="nil"/>
              <w:tl2br w:val="nil"/>
              <w:tr2bl w:val="nil"/>
            </w:tcBorders>
            <w:shd w:val="clear" w:color="auto" w:fill="auto"/>
            <w:vAlign w:val="bottom"/>
          </w:tcPr>
          <w:p w:rsidR="009534E2" w:rsidRDefault="003369EB">
            <w:pPr>
              <w:keepNext/>
              <w:ind w:left="120"/>
              <w:rPr>
                <w:rFonts w:asciiTheme="majorHAnsi" w:hAnsiTheme="majorHAnsi" w:cstheme="majorHAnsi"/>
                <w:color w:val="000000"/>
              </w:rPr>
            </w:pPr>
            <w:bookmarkStart w:name="_5ceeeced_9f9b_4195_90c1_0e05cd86c2b3" w:id="336"/>
            <w:bookmarkEnd w:id="335"/>
            <w:r>
              <w:rPr>
                <w:rFonts w:eastAsia="Times New Roman" w:asciiTheme="majorHAnsi" w:hAnsiTheme="majorHAnsi" w:cstheme="majorHAnsi"/>
                <w:color w:val="000000"/>
              </w:rPr>
              <w:t>Guarantees issued related expenses (1)</w:t>
            </w:r>
          </w:p>
        </w:tc>
        <w:tc>
          <w:tcPr>
            <w:tcW w:w="10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(380)</w:t>
            </w:r>
          </w:p>
        </w:tc>
        <w:tc>
          <w:tcPr>
            <w:tcW w:w="10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(0.9)</w:t>
            </w:r>
          </w:p>
        </w:tc>
        <w:tc>
          <w:tcPr>
            <w:tcW w:w="10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(725)</w:t>
            </w:r>
          </w:p>
        </w:tc>
        <w:tc>
          <w:tcPr>
            <w:tcW w:w="10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(1.4)</w:t>
            </w:r>
          </w:p>
        </w:tc>
      </w:tr>
      <w:tr w:rsidR="009534E2">
        <w:trPr>
          <w:jc w:val="center"/>
        </w:trPr>
        <w:tc>
          <w:tcPr>
            <w:tcW w:w="2578"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b174fc11_5736_42e7_88b4_0865a7d70aa5" w:id="337"/>
            <w:bookmarkEnd w:id="336"/>
            <w:r>
              <w:rPr>
                <w:rFonts w:eastAsia="Times New Roman" w:asciiTheme="majorHAnsi" w:hAnsiTheme="majorHAnsi" w:cstheme="majorHAnsi"/>
                <w:color w:val="000000"/>
              </w:rPr>
              <w:t>Interest expense</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(505)</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(1.2)</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(454)</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(0.9)</w:t>
            </w:r>
          </w:p>
        </w:tc>
      </w:tr>
      <w:tr w:rsidR="009534E2">
        <w:trPr>
          <w:jc w:val="center"/>
        </w:trPr>
        <w:tc>
          <w:tcPr>
            <w:tcW w:w="2578" w:type="pct"/>
            <w:tcBorders>
              <w:top w:val="nil"/>
              <w:left w:val="nil"/>
              <w:bottom w:val="nil"/>
              <w:right w:val="nil"/>
              <w:tl2br w:val="nil"/>
              <w:tr2bl w:val="nil"/>
            </w:tcBorders>
            <w:shd w:val="clear" w:color="auto" w:fill="auto"/>
            <w:vAlign w:val="bottom"/>
          </w:tcPr>
          <w:p w:rsidR="009534E2" w:rsidRDefault="003369EB">
            <w:pPr>
              <w:keepNext/>
              <w:ind w:left="120"/>
              <w:rPr>
                <w:rFonts w:asciiTheme="majorHAnsi" w:hAnsiTheme="majorHAnsi" w:cstheme="majorHAnsi"/>
                <w:color w:val="000000"/>
              </w:rPr>
            </w:pPr>
            <w:bookmarkStart w:name="_eb3070b6_6e59_449d_bbd3_507541b6f2cb" w:id="338"/>
            <w:bookmarkEnd w:id="337"/>
            <w:r>
              <w:rPr>
                <w:rFonts w:eastAsia="Times New Roman" w:asciiTheme="majorHAnsi" w:hAnsiTheme="majorHAnsi" w:cstheme="majorHAnsi"/>
                <w:color w:val="000000"/>
              </w:rPr>
              <w:t>Other expenses</w:t>
            </w:r>
          </w:p>
        </w:tc>
        <w:tc>
          <w:tcPr>
            <w:tcW w:w="10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(1,131)</w:t>
            </w:r>
          </w:p>
        </w:tc>
        <w:tc>
          <w:tcPr>
            <w:tcW w:w="10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(2.7)</w:t>
            </w:r>
          </w:p>
        </w:tc>
        <w:tc>
          <w:tcPr>
            <w:tcW w:w="10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(1,032)</w:t>
            </w:r>
          </w:p>
        </w:tc>
        <w:tc>
          <w:tcPr>
            <w:tcW w:w="10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(2.0)</w:t>
            </w:r>
          </w:p>
        </w:tc>
      </w:tr>
      <w:tr w:rsidR="009534E2">
        <w:trPr>
          <w:jc w:val="center"/>
        </w:trPr>
        <w:tc>
          <w:tcPr>
            <w:tcW w:w="2578"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926f07a0_60ba_4c3c_8951_635e353fbd0e" w:id="339"/>
            <w:bookmarkEnd w:id="338"/>
            <w:r>
              <w:rPr>
                <w:rFonts w:eastAsia="Times New Roman" w:asciiTheme="majorHAnsi" w:hAnsiTheme="majorHAnsi" w:cstheme="majorHAnsi"/>
                <w:color w:val="000000"/>
              </w:rPr>
              <w:t>Selling, general and administrative expenses</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(3,228)</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(7.8)</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(3,767)</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(7.3)</w:t>
            </w:r>
          </w:p>
        </w:tc>
      </w:tr>
      <w:tr w:rsidR="009534E2">
        <w:trPr>
          <w:jc w:val="center"/>
        </w:trPr>
        <w:tc>
          <w:tcPr>
            <w:tcW w:w="2578" w:type="pct"/>
            <w:tcBorders>
              <w:top w:val="nil"/>
              <w:left w:val="nil"/>
              <w:bottom w:val="nil"/>
              <w:right w:val="nil"/>
              <w:tl2br w:val="nil"/>
              <w:tr2bl w:val="nil"/>
            </w:tcBorders>
            <w:shd w:val="clear" w:color="auto" w:fill="auto"/>
            <w:vAlign w:val="bottom"/>
          </w:tcPr>
          <w:p w:rsidR="009534E2" w:rsidRDefault="003369EB">
            <w:pPr>
              <w:keepNext/>
              <w:rPr>
                <w:rFonts w:asciiTheme="majorHAnsi" w:hAnsiTheme="majorHAnsi" w:cstheme="majorHAnsi"/>
                <w:color w:val="000000"/>
              </w:rPr>
            </w:pPr>
            <w:bookmarkStart w:name="_35b8ced9_5839_4a0b_a760_a5b5c1942d4f" w:id="340"/>
            <w:bookmarkEnd w:id="339"/>
            <w:r>
              <w:rPr>
                <w:rFonts w:eastAsia="Times New Roman" w:asciiTheme="majorHAnsi" w:hAnsiTheme="majorHAnsi" w:cstheme="majorHAnsi"/>
                <w:color w:val="000000"/>
              </w:rPr>
              <w:t>Personnel expenses</w:t>
            </w:r>
          </w:p>
        </w:tc>
        <w:tc>
          <w:tcPr>
            <w:tcW w:w="10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(6,390)</w:t>
            </w:r>
          </w:p>
        </w:tc>
        <w:tc>
          <w:tcPr>
            <w:tcW w:w="10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(15.5)</w:t>
            </w:r>
          </w:p>
        </w:tc>
        <w:tc>
          <w:tcPr>
            <w:tcW w:w="10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(8,269)</w:t>
            </w:r>
          </w:p>
        </w:tc>
        <w:tc>
          <w:tcPr>
            <w:tcW w:w="10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auto"/>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(16.1)</w:t>
            </w:r>
          </w:p>
        </w:tc>
      </w:tr>
      <w:tr w:rsidR="009534E2">
        <w:trPr>
          <w:jc w:val="center"/>
        </w:trPr>
        <w:tc>
          <w:tcPr>
            <w:tcW w:w="2578"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734b2c13_2910_4fe9_91b9_16caa63d1bb8" w:id="341"/>
            <w:bookmarkEnd w:id="340"/>
            <w:r>
              <w:rPr>
                <w:rFonts w:eastAsia="Times New Roman" w:asciiTheme="majorHAnsi" w:hAnsiTheme="majorHAnsi" w:cstheme="majorHAnsi"/>
                <w:color w:val="000000"/>
              </w:rPr>
              <w:t>Depreciation and amortization</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(1,130)</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(2.7)</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(1,085)</w:t>
            </w:r>
          </w:p>
        </w:tc>
        <w:tc>
          <w:tcPr>
            <w:tcW w:w="10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99"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(2.1)</w:t>
            </w:r>
          </w:p>
        </w:tc>
      </w:tr>
    </w:tbl>
    <w:bookmarkEnd w:id="329"/>
    <w:bookmarkEnd w:id="341"/>
    <w:p w:rsidR="009534E2" w:rsidRDefault="00EC0AE1">
      <w:pPr>
        <w:rPr>
          <w:rFonts w:eastAsia="Times New Roman" w:asciiTheme="majorHAnsi" w:hAnsiTheme="majorHAnsi" w:cstheme="majorHAnsi"/>
          <w:lang w:eastAsia="ru-RU"/>
        </w:rPr>
      </w:pPr>
      <w:r>
        <w:rPr>
          <w:rFonts w:eastAsia="Times New Roman" w:asciiTheme="majorHAnsi" w:hAnsiTheme="majorHAnsi" w:cstheme="majorHAnsi"/>
          <w:sz w:val="8"/>
          <w:szCs w:val="8"/>
          <w:lang w:eastAsia="ru-RU"/>
        </w:rPr>
        <w:pict w14:anchorId="30F46D0D">
          <v:rect id="_x0000_i1038" style="width:135pt;height:1pt" o:hr="t" o:hrstd="t" o:hrnoshade="t" o:hrpct="250" fillcolor="black" stroked="f"/>
        </w:pict>
      </w:r>
    </w:p>
    <w:p w:rsidR="009534E2" w:rsidRDefault="003369EB">
      <w:pPr>
        <w:spacing w:after="200"/>
        <w:ind w:left="461" w:hanging="461"/>
        <w:rPr>
          <w:rFonts w:eastAsia="Times New Roman" w:asciiTheme="majorHAnsi" w:hAnsiTheme="majorHAnsi" w:cstheme="majorHAnsi"/>
          <w:lang w:eastAsia="ru-RU"/>
        </w:rPr>
      </w:pPr>
      <w:r>
        <w:rPr>
          <w:rFonts w:eastAsia="Times New Roman" w:asciiTheme="majorHAnsi" w:hAnsiTheme="majorHAnsi" w:cstheme="majorHAnsi"/>
          <w:lang w:eastAsia="ru-RU"/>
        </w:rPr>
        <w:t>(1)</w:t>
      </w:r>
      <w:r>
        <w:rPr>
          <w:rFonts w:eastAsia="Times New Roman" w:asciiTheme="majorHAnsi" w:hAnsiTheme="majorHAnsi" w:cstheme="majorHAnsi"/>
          <w:lang w:eastAsia="ru-RU"/>
        </w:rPr>
        <w:tab/>
        <w:t>Platform and marketing services related expenses and Guarantees issued related expenses were presented as part of Other expenses prior to December 31, 2021, and are now presented separately to reflect the management view on material business activities.</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Cost of revenue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Cost of revenue for the year ended December 31, 2022, was RUB 17,365 million, a decrease of 3.6%, or RUB 657 million, compared to the same period of 2021. Transaction costs, which primarily include different types of payment processing commissions that are charged by third party agents and providers, including banks and payment systems, decreased by 11.2% or RUB 1,773 million from RUB 15,892 million to RUB 14,119 million for the year ended December 31, 2022, as compared to the same period in 2021. The year-over-year decrease in the cost of revenue was primarily a result of improved Payment Services payment net revenue yield by 25 bps compared to last year partially offset by 8% year-over-year growth of payment volumes. The increase in Payment Services payment net revenue yield was mainly driven by a combination of (i) increased share of operations with higher commissions on currency conversion; (ii) lower third-party processing commissions for payment operations; (iii) terminated low-margin TSUPIS operations; and (iv) improved economics of payouts on the taxi market post acquisition of Taxiaggregator SaaS platform.</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Platform and marketing services related expenses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Platform and marketing services related expenses for the year ended December 31, 2022 were RUB 1,035 million, an increase of 807.9%, or RUB 921 million, compared to the same period in 2021, primarily, due to RealWeb group acquisition.</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Guarantees issued related expenses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Guarantees issued related expenses for the year ended December 31, 2022 were RUB 725 million, an increase of 90.8%, or RUB 345 million, compared to the same period in 2021, primarily, due to growth of ROWI digital guarantees portfolio.</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Interest expense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Interest expenses for the year ended December 31, 2022 was RUB 454 million, a decrease of 10.1%, or RUB 51 million, compared to the same period in 2021, primarily, due to repurchase of bonds during 2022.</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Other expenses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Other expenses for the year ended December 31, 2022 stood at RUB 1,032 million, an decrease of 8.8%, or RUB 99 million, compared to the same period of 2021 primarily due to decrease of miscellaneous expenses that are individually insignificant.</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Segment Net Revenue</w:t>
      </w:r>
    </w:p>
    <w:p w:rsidR="009534E2" w:rsidRDefault="003369EB">
      <w:pPr>
        <w:keepNext/>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following table presents net revenue by reportable segment (see Item 4B “</w:t>
      </w:r>
      <w:r>
        <w:rPr>
          <w:rFonts w:eastAsia="Times New Roman" w:asciiTheme="majorHAnsi" w:hAnsiTheme="majorHAnsi" w:cstheme="majorHAnsi"/>
          <w:i/>
          <w:iCs/>
          <w:lang w:eastAsia="ru-RU"/>
        </w:rPr>
        <w:t>Business Overview” for more information about our reportable segments)</w:t>
      </w:r>
      <w:r>
        <w:rPr>
          <w:rFonts w:eastAsia="Times New Roman" w:asciiTheme="majorHAnsi" w:hAnsiTheme="majorHAnsi" w:cstheme="majorHAnsi"/>
          <w:lang w:eastAsia="ru-RU"/>
        </w:rPr>
        <w:t xml:space="preserve"> for the periods indicated:</w:t>
      </w:r>
    </w:p>
    <w:p w:rsidR="009534E2" w:rsidRDefault="009534E2">
      <w:pPr>
        <w:keepNext/>
        <w:ind w:firstLine="461"/>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338"/>
        <w:gridCol w:w="261"/>
        <w:gridCol w:w="1227"/>
        <w:gridCol w:w="261"/>
        <w:gridCol w:w="1227"/>
        <w:gridCol w:w="261"/>
        <w:gridCol w:w="1225"/>
      </w:tblGrid>
      <w:tr w:rsidR="009534E2">
        <w:trPr>
          <w:cantSplit/>
          <w:trHeight w:val="20" w:hRule="exact"/>
          <w:jc w:val="center"/>
        </w:trPr>
        <w:tc>
          <w:tcPr>
            <w:tcW w:w="2934"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8a67ee31_13fe_4eaa_85a5_f5cde9be44a5" w:colFirst="0" w:colLast="0" w:id="342"/>
            <w:bookmarkStart w:name="_94e4db32_d635_4a8f_9b79_e087c0e23c1a" w:colFirst="1" w:colLast="1" w:id="343"/>
            <w:bookmarkStart w:name="_d79aadeb_8859_46b7_aea7_8b5f4c4e3cae" w:colFirst="2" w:colLast="2" w:id="344"/>
            <w:bookmarkStart w:name="_71c61602_4df7_462b_9cef_96c7d7978f40" w:colFirst="3" w:colLast="3" w:id="345"/>
            <w:bookmarkStart w:name="_e1ac6e59_4e0e_472b_adb7_54f3063e1ae9" w:colFirst="4" w:colLast="4" w:id="346"/>
            <w:bookmarkStart w:name="_5ad9073b_ba23_47c2_b38b_06dd6aa595b8" w:colFirst="5" w:colLast="5" w:id="347"/>
            <w:bookmarkStart w:name="_933d41c2_ebda_4880_98ef_0163336d288b" w:colFirst="6" w:colLast="6" w:id="348"/>
            <w:bookmarkStart w:name="_c55c0337_1e9c_4f72_b694_f63f1ebc46b5" w:id="349"/>
          </w:p>
        </w:tc>
        <w:tc>
          <w:tcPr>
            <w:tcW w:w="12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6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2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6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2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6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cantSplit/>
          <w:jc w:val="center"/>
        </w:trPr>
        <w:tc>
          <w:tcPr>
            <w:tcW w:w="2934"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4a175bb4_13f1_4cfd_a8f9_a2fc6101ba7e" w:id="350"/>
            <w:bookmarkEnd w:id="342"/>
            <w:bookmarkEnd w:id="343"/>
            <w:bookmarkEnd w:id="344"/>
            <w:bookmarkEnd w:id="345"/>
            <w:bookmarkEnd w:id="346"/>
            <w:bookmarkEnd w:id="347"/>
            <w:bookmarkEnd w:id="348"/>
          </w:p>
        </w:tc>
        <w:tc>
          <w:tcPr>
            <w:tcW w:w="121"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1945" w:type="pct"/>
            <w:gridSpan w:val="5"/>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Year ended December 31,</w:t>
            </w:r>
          </w:p>
        </w:tc>
      </w:tr>
      <w:tr w:rsidR="009534E2">
        <w:trPr>
          <w:cantSplit/>
          <w:jc w:val="center"/>
        </w:trPr>
        <w:tc>
          <w:tcPr>
            <w:tcW w:w="2934"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b3a71729_3b68_445d_8272_bba920b57343" w:id="351"/>
            <w:bookmarkEnd w:id="350"/>
          </w:p>
        </w:tc>
        <w:tc>
          <w:tcPr>
            <w:tcW w:w="121"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568"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21"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568"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21"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568"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cantSplit/>
          <w:jc w:val="center"/>
        </w:trPr>
        <w:tc>
          <w:tcPr>
            <w:tcW w:w="2934"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cea5d7af_8765_495a_b9c5_879852e43505" w:id="352"/>
            <w:bookmarkEnd w:id="351"/>
          </w:p>
        </w:tc>
        <w:tc>
          <w:tcPr>
            <w:tcW w:w="121"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568"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c>
          <w:tcPr>
            <w:tcW w:w="121"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568"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c>
          <w:tcPr>
            <w:tcW w:w="121"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568"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r>
      <w:tr w:rsidR="009534E2">
        <w:trPr>
          <w:cantSplit/>
          <w:jc w:val="center"/>
        </w:trPr>
        <w:tc>
          <w:tcPr>
            <w:tcW w:w="2934" w:type="pct"/>
            <w:tcBorders>
              <w:top w:val="nil"/>
              <w:left w:val="nil"/>
              <w:bottom w:val="nil"/>
              <w:right w:val="nil"/>
              <w:tl2br w:val="nil"/>
              <w:tr2bl w:val="nil"/>
            </w:tcBorders>
            <w:shd w:val="clear" w:color="auto" w:fill="CCEEFF"/>
            <w:vAlign w:val="bottom"/>
          </w:tcPr>
          <w:p w:rsidR="009534E2" w:rsidRDefault="003369EB">
            <w:pPr>
              <w:keepNext/>
              <w:ind w:left="264" w:hanging="144"/>
              <w:rPr>
                <w:rFonts w:asciiTheme="majorHAnsi" w:hAnsiTheme="majorHAnsi" w:cstheme="majorHAnsi"/>
                <w:color w:val="000000"/>
              </w:rPr>
            </w:pPr>
            <w:bookmarkStart w:name="_4ce55dbf_365c_45c9_b283_c2392f1f6b4e" w:id="353"/>
            <w:bookmarkEnd w:id="352"/>
            <w:r>
              <w:rPr>
                <w:rFonts w:eastAsia="Times New Roman" w:asciiTheme="majorHAnsi" w:hAnsiTheme="majorHAnsi" w:cstheme="majorHAnsi"/>
                <w:color w:val="000000"/>
              </w:rPr>
              <w:t>Payment Services</w:t>
            </w:r>
          </w:p>
        </w:tc>
        <w:tc>
          <w:tcPr>
            <w:tcW w:w="12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6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22,637</w:t>
            </w:r>
          </w:p>
        </w:tc>
        <w:tc>
          <w:tcPr>
            <w:tcW w:w="12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6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21,100</w:t>
            </w:r>
          </w:p>
        </w:tc>
        <w:tc>
          <w:tcPr>
            <w:tcW w:w="12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6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30,103</w:t>
            </w:r>
          </w:p>
        </w:tc>
      </w:tr>
      <w:tr w:rsidR="009534E2">
        <w:trPr>
          <w:cantSplit/>
          <w:jc w:val="center"/>
        </w:trPr>
        <w:tc>
          <w:tcPr>
            <w:tcW w:w="2934" w:type="pct"/>
            <w:tcBorders>
              <w:top w:val="nil"/>
              <w:left w:val="nil"/>
              <w:bottom w:val="nil"/>
              <w:right w:val="nil"/>
              <w:tl2br w:val="nil"/>
              <w:tr2bl w:val="nil"/>
            </w:tcBorders>
            <w:shd w:val="clear" w:color="auto" w:fill="auto"/>
            <w:vAlign w:val="bottom"/>
          </w:tcPr>
          <w:p w:rsidR="009534E2" w:rsidRDefault="003369EB">
            <w:pPr>
              <w:keepNext/>
              <w:ind w:left="264" w:hanging="144"/>
              <w:rPr>
                <w:rFonts w:asciiTheme="majorHAnsi" w:hAnsiTheme="majorHAnsi" w:cstheme="majorHAnsi"/>
                <w:color w:val="000000"/>
              </w:rPr>
            </w:pPr>
            <w:bookmarkStart w:name="_dfca868b_ebdc_4050_80c9_91dcc7ac5eb0" w:id="354"/>
            <w:bookmarkEnd w:id="353"/>
            <w:r>
              <w:rPr>
                <w:rFonts w:eastAsia="Times New Roman" w:asciiTheme="majorHAnsi" w:hAnsiTheme="majorHAnsi" w:cstheme="majorHAnsi"/>
                <w:color w:val="000000"/>
              </w:rPr>
              <w:t>Consumer Financial Services</w:t>
            </w:r>
          </w:p>
        </w:tc>
        <w:tc>
          <w:tcPr>
            <w:tcW w:w="121"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68" w:type="pct"/>
            <w:tcBorders>
              <w:top w:val="nil"/>
              <w:left w:val="nil"/>
              <w:bottom w:val="nil"/>
              <w:right w:val="nil"/>
              <w:tl2br w:val="nil"/>
              <w:tr2bl w:val="nil"/>
            </w:tcBorders>
            <w:shd w:val="clear" w:color="auto" w:fill="auto"/>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1,066</w:t>
            </w:r>
          </w:p>
        </w:tc>
        <w:tc>
          <w:tcPr>
            <w:tcW w:w="121"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68" w:type="pct"/>
            <w:tcBorders>
              <w:top w:val="nil"/>
              <w:left w:val="nil"/>
              <w:bottom w:val="nil"/>
              <w:right w:val="nil"/>
              <w:tl2br w:val="nil"/>
              <w:tr2bl w:val="nil"/>
            </w:tcBorders>
            <w:shd w:val="clear" w:color="auto" w:fill="auto"/>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w:t>
            </w:r>
          </w:p>
        </w:tc>
        <w:tc>
          <w:tcPr>
            <w:tcW w:w="121"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68" w:type="pct"/>
            <w:tcBorders>
              <w:top w:val="nil"/>
              <w:left w:val="nil"/>
              <w:bottom w:val="nil"/>
              <w:right w:val="nil"/>
              <w:tl2br w:val="nil"/>
              <w:tr2bl w:val="nil"/>
            </w:tcBorders>
            <w:shd w:val="clear" w:color="auto" w:fill="auto"/>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w:t>
            </w:r>
          </w:p>
        </w:tc>
      </w:tr>
      <w:tr w:rsidR="009534E2">
        <w:trPr>
          <w:cantSplit/>
          <w:jc w:val="center"/>
        </w:trPr>
        <w:tc>
          <w:tcPr>
            <w:tcW w:w="2934" w:type="pct"/>
            <w:tcBorders>
              <w:top w:val="nil"/>
              <w:left w:val="nil"/>
              <w:bottom w:val="nil"/>
              <w:right w:val="nil"/>
              <w:tl2br w:val="nil"/>
              <w:tr2bl w:val="nil"/>
            </w:tcBorders>
            <w:shd w:val="clear" w:color="auto" w:fill="CCEEFF"/>
            <w:vAlign w:val="bottom"/>
          </w:tcPr>
          <w:p w:rsidR="009534E2" w:rsidRDefault="003369EB">
            <w:pPr>
              <w:keepNext/>
              <w:ind w:left="264" w:hanging="144"/>
              <w:rPr>
                <w:rFonts w:asciiTheme="majorHAnsi" w:hAnsiTheme="majorHAnsi" w:cstheme="majorHAnsi"/>
                <w:color w:val="000000"/>
              </w:rPr>
            </w:pPr>
            <w:bookmarkStart w:name="_29a53ca6_ada7_4e3d_9850_b6df0de74c4b" w:id="355"/>
            <w:bookmarkEnd w:id="354"/>
            <w:r>
              <w:rPr>
                <w:rFonts w:eastAsia="Times New Roman" w:asciiTheme="majorHAnsi" w:hAnsiTheme="majorHAnsi" w:cstheme="majorHAnsi"/>
                <w:color w:val="000000"/>
              </w:rPr>
              <w:t>Rocketbank</w:t>
            </w:r>
          </w:p>
        </w:tc>
        <w:tc>
          <w:tcPr>
            <w:tcW w:w="12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6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548</w:t>
            </w:r>
          </w:p>
        </w:tc>
        <w:tc>
          <w:tcPr>
            <w:tcW w:w="12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6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w:t>
            </w:r>
          </w:p>
        </w:tc>
        <w:tc>
          <w:tcPr>
            <w:tcW w:w="12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6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w:t>
            </w:r>
          </w:p>
        </w:tc>
      </w:tr>
      <w:tr w:rsidR="009534E2">
        <w:trPr>
          <w:cantSplit/>
          <w:jc w:val="center"/>
        </w:trPr>
        <w:tc>
          <w:tcPr>
            <w:tcW w:w="2934" w:type="pct"/>
            <w:tcBorders>
              <w:top w:val="nil"/>
              <w:left w:val="nil"/>
              <w:bottom w:val="nil"/>
              <w:right w:val="nil"/>
              <w:tl2br w:val="nil"/>
              <w:tr2bl w:val="nil"/>
            </w:tcBorders>
            <w:shd w:val="clear" w:color="auto" w:fill="auto"/>
            <w:vAlign w:val="bottom"/>
          </w:tcPr>
          <w:p w:rsidR="009534E2" w:rsidRDefault="003369EB">
            <w:pPr>
              <w:keepNext/>
              <w:ind w:left="264" w:hanging="144"/>
              <w:rPr>
                <w:rFonts w:asciiTheme="majorHAnsi" w:hAnsiTheme="majorHAnsi" w:cstheme="majorHAnsi"/>
                <w:color w:val="000000"/>
              </w:rPr>
            </w:pPr>
            <w:bookmarkStart w:name="_6a510d4f_573d_4c88_a76a_ee3f03f33eb7" w:id="356"/>
            <w:bookmarkEnd w:id="355"/>
            <w:r>
              <w:rPr>
                <w:rFonts w:eastAsia="Times New Roman" w:asciiTheme="majorHAnsi" w:hAnsiTheme="majorHAnsi" w:cstheme="majorHAnsi"/>
                <w:color w:val="000000"/>
              </w:rPr>
              <w:t>Corporate and Other</w:t>
            </w:r>
          </w:p>
        </w:tc>
        <w:tc>
          <w:tcPr>
            <w:tcW w:w="121"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68" w:type="pct"/>
            <w:tcBorders>
              <w:top w:val="nil"/>
              <w:left w:val="nil"/>
              <w:bottom w:val="nil"/>
              <w:right w:val="nil"/>
              <w:tl2br w:val="nil"/>
              <w:tr2bl w:val="nil"/>
            </w:tcBorders>
            <w:shd w:val="clear" w:color="auto" w:fill="auto"/>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1,727</w:t>
            </w:r>
          </w:p>
        </w:tc>
        <w:tc>
          <w:tcPr>
            <w:tcW w:w="121"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68" w:type="pct"/>
            <w:tcBorders>
              <w:top w:val="nil"/>
              <w:left w:val="nil"/>
              <w:bottom w:val="nil"/>
              <w:right w:val="nil"/>
              <w:tl2br w:val="nil"/>
              <w:tr2bl w:val="nil"/>
            </w:tcBorders>
            <w:shd w:val="clear" w:color="auto" w:fill="auto"/>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2,013</w:t>
            </w:r>
          </w:p>
        </w:tc>
        <w:tc>
          <w:tcPr>
            <w:tcW w:w="121"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68" w:type="pct"/>
            <w:tcBorders>
              <w:top w:val="nil"/>
              <w:left w:val="nil"/>
              <w:bottom w:val="nil"/>
              <w:right w:val="nil"/>
              <w:tl2br w:val="nil"/>
              <w:tr2bl w:val="nil"/>
            </w:tcBorders>
            <w:shd w:val="clear" w:color="auto" w:fill="auto"/>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4,034</w:t>
            </w:r>
          </w:p>
        </w:tc>
      </w:tr>
      <w:tr w:rsidR="009534E2">
        <w:trPr>
          <w:cantSplit/>
          <w:jc w:val="center"/>
        </w:trPr>
        <w:tc>
          <w:tcPr>
            <w:tcW w:w="2934" w:type="pct"/>
            <w:tcBorders>
              <w:top w:val="nil"/>
              <w:left w:val="nil"/>
              <w:bottom w:val="nil"/>
              <w:right w:val="nil"/>
              <w:tl2br w:val="nil"/>
              <w:tr2bl w:val="nil"/>
            </w:tcBorders>
            <w:shd w:val="clear" w:color="auto" w:fill="CCEEFF"/>
            <w:noWrap/>
            <w:vAlign w:val="bottom"/>
          </w:tcPr>
          <w:p w:rsidR="009534E2" w:rsidRDefault="003369EB">
            <w:pPr>
              <w:keepNext/>
              <w:ind w:left="144" w:hanging="144"/>
              <w:rPr>
                <w:rFonts w:asciiTheme="majorHAnsi" w:hAnsiTheme="majorHAnsi" w:cstheme="majorHAnsi"/>
                <w:color w:val="000000"/>
              </w:rPr>
            </w:pPr>
            <w:bookmarkStart w:name="_0d1203a2_15f1_4940_bdb0_7e54f5e9122f" w:id="357"/>
            <w:bookmarkEnd w:id="356"/>
            <w:r>
              <w:rPr>
                <w:rFonts w:eastAsia="Times New Roman" w:asciiTheme="majorHAnsi" w:hAnsiTheme="majorHAnsi" w:cstheme="majorHAnsi"/>
                <w:color w:val="000000"/>
              </w:rPr>
              <w:t>Total Segment Net Revenue (1)</w:t>
            </w:r>
          </w:p>
        </w:tc>
        <w:tc>
          <w:tcPr>
            <w:tcW w:w="121"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56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25,978</w:t>
            </w:r>
          </w:p>
        </w:tc>
        <w:tc>
          <w:tcPr>
            <w:tcW w:w="12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56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23,113</w:t>
            </w:r>
          </w:p>
        </w:tc>
        <w:tc>
          <w:tcPr>
            <w:tcW w:w="12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56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34,137</w:t>
            </w:r>
          </w:p>
        </w:tc>
      </w:tr>
    </w:tbl>
    <w:bookmarkEnd w:id="349"/>
    <w:bookmarkEnd w:id="357"/>
    <w:p w:rsidR="009534E2" w:rsidRDefault="00EC0AE1">
      <w:pPr>
        <w:rPr>
          <w:rFonts w:eastAsia="Times New Roman" w:asciiTheme="majorHAnsi" w:hAnsiTheme="majorHAnsi" w:cstheme="majorHAnsi"/>
          <w:lang w:eastAsia="ru-RU"/>
        </w:rPr>
      </w:pPr>
      <w:r>
        <w:rPr>
          <w:rFonts w:eastAsia="Times New Roman" w:asciiTheme="majorHAnsi" w:hAnsiTheme="majorHAnsi" w:cstheme="majorHAnsi"/>
          <w:sz w:val="8"/>
          <w:szCs w:val="8"/>
          <w:lang w:eastAsia="ru-RU"/>
        </w:rPr>
        <w:pict w14:anchorId="2C085800">
          <v:rect id="_x0000_i1039" style="width:135pt;height:1pt" o:hr="t" o:hrstd="t" o:hrnoshade="t" o:hrpct="250" fillcolor="black" stroked="f"/>
        </w:pict>
      </w:r>
    </w:p>
    <w:p w:rsidR="009534E2" w:rsidRDefault="003369EB">
      <w:pPr>
        <w:spacing w:after="200"/>
        <w:ind w:left="461" w:hanging="461"/>
        <w:rPr>
          <w:rFonts w:eastAsia="Times New Roman" w:asciiTheme="majorHAnsi" w:hAnsiTheme="majorHAnsi" w:cstheme="majorHAnsi"/>
          <w:lang w:eastAsia="ru-RU"/>
        </w:rPr>
      </w:pPr>
      <w:r>
        <w:rPr>
          <w:rFonts w:eastAsia="Times New Roman" w:asciiTheme="majorHAnsi" w:hAnsiTheme="majorHAnsi" w:cstheme="majorHAnsi"/>
          <w:lang w:eastAsia="ru-RU"/>
        </w:rPr>
        <w:t>(1)</w:t>
      </w:r>
      <w:r>
        <w:rPr>
          <w:rFonts w:eastAsia="Times New Roman" w:asciiTheme="majorHAnsi" w:hAnsiTheme="majorHAnsi" w:cstheme="majorHAnsi"/>
          <w:lang w:eastAsia="ru-RU"/>
        </w:rPr>
        <w:tab/>
        <w:t>For the periods indicated above Total Segment Net Revenue is equal to Total Net Revenue. See “</w:t>
      </w:r>
      <w:r>
        <w:rPr>
          <w:rFonts w:eastAsia="Times New Roman" w:asciiTheme="majorHAnsi" w:hAnsiTheme="majorHAnsi" w:cstheme="majorHAnsi"/>
          <w:i/>
          <w:iCs/>
          <w:lang w:eastAsia="ru-RU"/>
        </w:rPr>
        <w:t>Operating Results — Key Measures of Financial and Operational Performance — Financial Measures</w:t>
      </w:r>
      <w:r>
        <w:rPr>
          <w:rFonts w:eastAsia="Times New Roman" w:asciiTheme="majorHAnsi" w:hAnsiTheme="majorHAnsi" w:cstheme="majorHAnsi"/>
          <w:lang w:eastAsia="ru-RU"/>
        </w:rPr>
        <w:t>” for how we define and calculate Total Net Revenue, Adjusted EBITDA, and Adjusted Net Profit as non-IFRS financial measures and reconciliations of these measures to revenue, in the case of Total Net Revenue, and net profit, in the case of Adjusted EBITDA and Adjusted Net Profit.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Segment net revenue attributable to the Payment Services segment increased by RUB 9,003 million, or 42.7%, in 2022 compared to the same period of 2021 mainly driven by mainly due to the increase in Payment Services payment net revenue yield by 25 bps year-over-year underpinned by 8% year-over-year growth of payment volumes (as described earlier in comments with respect to Revenue dynamics) and increase of Payment Services other net revenue. Interest revenue increased by 88% or by RUB 1,904 million compared to 2021. Cash and settlement services increased by 1,034%, or RUB 1,185 million compared to 2021. Payment Services segment net revenue accounted for 88.2% of Total Segment Net Revenue in 2022.</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Net revenues attributable to the Corporate and Other category increased by RUB 2,021 million, or 100.4%, in 2022 compared to the same period in 2021. The growth in the Corporate and Other category net revenue was primarily driven by the following factors: (i) higher interest income for provided credits, (ii) higher income generated on debt securities portfolio and increased bank deposits underpinned by overall higher interest rates, and (iii) income from advertising activities due to RealWeb business acquisition. Corporate and Other category net revenue accounted for 11.8% of Total Net Revenue in 2022.</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Selling, general and administrative expenses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Selling, general and administrative expenses for the year ended December 31, 2022 were RUB 3,767 million, an increase of 16.7%, or RUB 539 million, as compared to the same period in 2021. The increase was primarily a result of higher costs on, representative and travelling expenses and expenses related to multi-bank platform services. Representative and travelling expenses increased on weakening of COVID restrictions and no lockdown measures as well as increase of representation expenses for meetings with partners resulted from recovery of business activities and acquisitions. Expenses related to multi-bank platform services increased due to increased payment volumes going via Tochka branch in QIWI Bank. </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Personnel expenses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Personnel expenses for the year ended December 31, 2022 were RUB 8,269 million, an increase of 29.4%, or RUB 1,879 million, as compared to the same period in 2021. Increase in personnel expenses year-over-year was driven by a combination of (i) hiring of new employees, (ii) indexation of salaries to existing employees and (iii) strong financial performance resulting in higher bonuses.</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Depreciation and amortization</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Depreciation for the year ended December 31, 2022 amounted to RUB 1,085 million, a decrease of 4% or RUB </w:t>
      </w:r>
      <w:r w:rsidR="00F00840">
        <w:rPr>
          <w:rFonts w:eastAsia="Times New Roman" w:asciiTheme="majorHAnsi" w:hAnsiTheme="majorHAnsi" w:cstheme="majorHAnsi"/>
          <w:lang w:eastAsia="ru-RU"/>
        </w:rPr>
        <w:t xml:space="preserve">45 </w:t>
      </w:r>
      <w:r>
        <w:rPr>
          <w:rFonts w:eastAsia="Times New Roman" w:asciiTheme="majorHAnsi" w:hAnsiTheme="majorHAnsi" w:cstheme="majorHAnsi"/>
          <w:lang w:eastAsia="ru-RU"/>
        </w:rPr>
        <w:t>million compared to the same period in 2021.</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Credit loss expense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Credit loss expense for the year ended December 31, 2022 was RUB 2,381 million, an increase of 608.6% or RUB 2,045 million, compared to credit loss expense of RUB 336 million for the same period in 2021. The increase was predominantly related to allowance for ECL on restricted cash accounts and further development of ROWI project with growth of its credit portfolio.</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Impairment of non-current assets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Impairment of non-current assets for the year ended December 31, 2022 was RUB 47 million, an increase of 95.8%, or RUB 23 million, compared to the same period in 2021. This item represents the impairment of software related to projects that are no longer feasible. The Group did not recognize any significant impairment neither in 2021 nor in 2022.</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Gain on disposal of an associate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 the third quarter of 2021, the Group completed a sale of its 40% stake (45% economic interest) in the capital of its Tochka associate (see Item 10C “</w:t>
      </w:r>
      <w:r>
        <w:rPr>
          <w:rFonts w:eastAsia="Times New Roman" w:asciiTheme="majorHAnsi" w:hAnsiTheme="majorHAnsi" w:cstheme="majorHAnsi"/>
          <w:i/>
          <w:iCs/>
          <w:lang w:eastAsia="ru-RU"/>
        </w:rPr>
        <w:t>Material Contracts  - “Agreement for the transfer the ownership of the of shares related to the project Tochka)</w:t>
      </w:r>
      <w:r>
        <w:rPr>
          <w:rFonts w:eastAsia="Times New Roman" w:asciiTheme="majorHAnsi" w:hAnsiTheme="majorHAnsi" w:cstheme="majorHAnsi"/>
          <w:lang w:eastAsia="ru-RU"/>
        </w:rPr>
        <w:t xml:space="preserve">. Gain on disposal of Tochka associate for the year ended December 31, 2021 was RUB 8,177 million, including (i) base deal amount of RUB 4,947 million, (ii) discounted performance adjustment gain contingent on Tochka’s earnings for the year 2021 in the amount of RUB 4,647 million, (iii) dividends received in 3Q 2021 in the amount of RUB 532 million, and (iv) less carrying amount of disposed investment in the amount of RUB 1,949 million. </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Gain on disposal of an associate for the year ended December 31, 2022 was nil.</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Share of gain/(loss) of an associate and a joint venture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Share of loss of an associate and a joint venture for the year ended December 31, 2022 was RUB 39 million, compared to the gain of RUB 306 million the same period in 2021. The gain in 2021 was related to the equity pick up from former Tochka associate, which was sold in the third quarter of 2021.</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Foreign exchange gain/(loss), net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Foreign exchange loss for the year ended December 31, 2022 was RUB 650 million, an increase by RUB 621 million, compared to the same period in 2021. Foreign exchange loss resulted from a revaluation of cash balances, loans issued and guarantee deposits denominated in US dollars that was driven by a considerable weakening of US dollars exchange rate in 2022 compared to 2021.</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Interest income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Interest income for the year ended December 31, 2022 was RUB 109 million, which decreased by 35.1%, or RUB 59 million, compared to the same period in 2021.</w:t>
      </w:r>
    </w:p>
    <w:p w:rsidR="009534E2" w:rsidRDefault="003369EB">
      <w:pPr>
        <w:keepNext/>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Interest expenses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Interest expenses for the year ended December 31, 2022 were RUB 51 million, which decreased by 32.9%, or RUB 25 million, compared to the same period in 2021.</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Other income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Other income for the year ended December 31, 2022 was RUB 276 million, an increase of 73.6%, or RUB 117 million, compared to the same period in 2021. The increase is primarily related to increase in fair value of call option for purchase an additional stake in PYYPL on favorable terms.</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Other expenses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Other expenses for the year ended December 31, 2022 were RUB 49 million, which decreased by 47.9%, or RUB 45 million, compared to the same period in 2021.</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Income tax</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Income tax for the year ended December 31, 2022 amounted to RUB 4,429 million, an increase of 43.8%, or RUB 1,349 million as compared to the same period in 2021. Our effective tax rate in 2022 was 24.4%, an increase of 9.4 ppts compared to the same period in 2021 resulting from a gain from sale of associate in 2021 which was non-taxable.</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Segment Net Profit</w:t>
      </w:r>
    </w:p>
    <w:p w:rsidR="009534E2" w:rsidRDefault="003369EB">
      <w:pPr>
        <w:keepNext/>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following table presents our net profit by reportable segment for the periods indicated:</w:t>
      </w:r>
    </w:p>
    <w:p w:rsidR="009534E2" w:rsidRDefault="009534E2">
      <w:pPr>
        <w:keepNext/>
        <w:ind w:firstLine="461"/>
        <w:rPr>
          <w:rFonts w:eastAsia="Times New Roman"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825"/>
        <w:gridCol w:w="160"/>
        <w:gridCol w:w="1165"/>
        <w:gridCol w:w="160"/>
        <w:gridCol w:w="1165"/>
        <w:gridCol w:w="160"/>
        <w:gridCol w:w="1165"/>
      </w:tblGrid>
      <w:tr w:rsidR="009534E2">
        <w:trPr>
          <w:trHeight w:val="20" w:hRule="exact"/>
        </w:trPr>
        <w:tc>
          <w:tcPr>
            <w:tcW w:w="3401"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7c5d9d52_8351_448d_9353_4b62a3bc94e8" w:colFirst="0" w:colLast="0" w:id="358"/>
            <w:bookmarkStart w:name="_19b37910_cf23_4bba_9b9b_b8c0fc1c7d2a" w:colFirst="1" w:colLast="1" w:id="359"/>
            <w:bookmarkStart w:name="_5095e94c_51ab_4dcd_b181_99d52203126b" w:colFirst="2" w:colLast="2" w:id="360"/>
            <w:bookmarkStart w:name="_c0806172_208f_4f90_ac68_9d280be98ba3" w:colFirst="3" w:colLast="3" w:id="361"/>
            <w:bookmarkStart w:name="_b19ab85d_b6bd_4062_bf2b_ad71be5a24de" w:colFirst="4" w:colLast="4" w:id="362"/>
            <w:bookmarkStart w:name="_b4286e9c_1247_494d_8de3_c7d037701fa4" w:colFirst="5" w:colLast="5" w:id="363"/>
            <w:bookmarkStart w:name="_6766e898_868f_4f3b_8541_cd3639b10214" w:colFirst="6" w:colLast="6" w:id="364"/>
            <w:bookmarkStart w:name="_3031e818_d462_4f21_983d_993b9a328dc6" w:id="365"/>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c>
          <w:tcPr>
            <w:tcW w:w="3401"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sz w:val="16"/>
              </w:rPr>
            </w:pPr>
            <w:bookmarkStart w:name="_cb523bc0_c3a2_4e43_9680_27071a7cdfd0" w:id="366"/>
            <w:bookmarkEnd w:id="358"/>
            <w:bookmarkEnd w:id="359"/>
            <w:bookmarkEnd w:id="360"/>
            <w:bookmarkEnd w:id="361"/>
            <w:bookmarkEnd w:id="362"/>
            <w:bookmarkEnd w:id="363"/>
            <w:bookmarkEnd w:id="364"/>
          </w:p>
        </w:tc>
        <w:tc>
          <w:tcPr>
            <w:tcW w:w="108"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1491" w:type="pct"/>
            <w:gridSpan w:val="5"/>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Year ended December 31,</w:t>
            </w:r>
          </w:p>
        </w:tc>
      </w:tr>
      <w:tr w:rsidR="009534E2">
        <w:tc>
          <w:tcPr>
            <w:tcW w:w="3401"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sz w:val="16"/>
              </w:rPr>
            </w:pPr>
            <w:bookmarkStart w:name="_f5d3a7db_7be5_4f85_8867_27298d6cf64d" w:id="367"/>
            <w:bookmarkEnd w:id="366"/>
          </w:p>
        </w:tc>
        <w:tc>
          <w:tcPr>
            <w:tcW w:w="108"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08"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08"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c>
          <w:tcPr>
            <w:tcW w:w="3401"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sz w:val="16"/>
              </w:rPr>
            </w:pPr>
            <w:bookmarkStart w:name="_bd50a740_7dc1_4d41_90a0_d14cbea0d6c3" w:id="368"/>
            <w:bookmarkEnd w:id="367"/>
          </w:p>
        </w:tc>
        <w:tc>
          <w:tcPr>
            <w:tcW w:w="108"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asciiTheme="majorHAnsi" w:hAnsiTheme="majorHAnsi" w:cstheme="majorHAnsi"/>
                <w:b/>
                <w:color w:val="000000"/>
                <w:sz w:val="16"/>
              </w:rPr>
              <w:t>    </w:t>
            </w:r>
          </w:p>
        </w:tc>
        <w:tc>
          <w:tcPr>
            <w:tcW w:w="425"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c>
          <w:tcPr>
            <w:tcW w:w="108"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color w:val="000000"/>
                <w:sz w:val="16"/>
              </w:rPr>
            </w:pPr>
            <w:r>
              <w:rPr>
                <w:rFonts w:asciiTheme="majorHAnsi" w:hAnsiTheme="majorHAnsi" w:cstheme="majorHAnsi"/>
                <w:color w:val="000000"/>
                <w:sz w:val="16"/>
              </w:rPr>
              <w:t>    </w:t>
            </w:r>
          </w:p>
        </w:tc>
        <w:tc>
          <w:tcPr>
            <w:tcW w:w="425"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c>
          <w:tcPr>
            <w:tcW w:w="108"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asciiTheme="majorHAnsi" w:hAnsiTheme="majorHAnsi" w:cstheme="majorHAnsi"/>
                <w:b/>
                <w:color w:val="000000"/>
                <w:sz w:val="16"/>
              </w:rPr>
              <w:t>    </w:t>
            </w:r>
          </w:p>
        </w:tc>
        <w:tc>
          <w:tcPr>
            <w:tcW w:w="425"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r>
      <w:tr w:rsidR="009534E2">
        <w:tc>
          <w:tcPr>
            <w:tcW w:w="3401"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6b8560eb_e393_4b14_990f_d39161c5861c" w:id="369"/>
            <w:bookmarkEnd w:id="368"/>
            <w:r>
              <w:rPr>
                <w:rFonts w:eastAsia="Times New Roman" w:asciiTheme="majorHAnsi" w:hAnsiTheme="majorHAnsi" w:cstheme="majorHAnsi"/>
                <w:color w:val="000000"/>
              </w:rPr>
              <w:t>Payment Services</w:t>
            </w:r>
          </w:p>
        </w:tc>
        <w:tc>
          <w:tcPr>
            <w:tcW w:w="108" w:type="pct"/>
            <w:tcBorders>
              <w:top w:val="nil"/>
              <w:left w:val="nil"/>
              <w:bottom w:val="nil"/>
              <w:right w:val="nil"/>
              <w:tl2br w:val="nil"/>
              <w:tr2bl w:val="nil"/>
            </w:tcBorders>
            <w:shd w:val="clear" w:color="auto" w:fill="CCEEFF"/>
            <w:noWrap/>
            <w:vAlign w:val="bottom"/>
          </w:tcPr>
          <w:p w:rsidR="009534E2" w:rsidRDefault="009534E2">
            <w:pPr>
              <w:jc w:val="center"/>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12,608</w:t>
            </w:r>
          </w:p>
        </w:tc>
        <w:tc>
          <w:tcPr>
            <w:tcW w:w="108" w:type="pct"/>
            <w:tcBorders>
              <w:top w:val="nil"/>
              <w:left w:val="nil"/>
              <w:bottom w:val="nil"/>
              <w:right w:val="nil"/>
              <w:tl2br w:val="nil"/>
              <w:tr2bl w:val="nil"/>
            </w:tcBorders>
            <w:shd w:val="clear" w:color="auto" w:fill="CCEEFF"/>
            <w:noWrap/>
            <w:vAlign w:val="bottom"/>
          </w:tcPr>
          <w:p w:rsidR="009534E2" w:rsidRDefault="009534E2">
            <w:pPr>
              <w:jc w:val="righ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10,971</w:t>
            </w:r>
          </w:p>
        </w:tc>
        <w:tc>
          <w:tcPr>
            <w:tcW w:w="108" w:type="pct"/>
            <w:tcBorders>
              <w:top w:val="nil"/>
              <w:left w:val="nil"/>
              <w:bottom w:val="nil"/>
              <w:right w:val="nil"/>
              <w:tl2br w:val="nil"/>
              <w:tr2bl w:val="nil"/>
            </w:tcBorders>
            <w:shd w:val="clear" w:color="auto" w:fill="CCEEFF"/>
            <w:noWrap/>
            <w:vAlign w:val="bottom"/>
          </w:tcPr>
          <w:p w:rsidR="009534E2" w:rsidRDefault="009534E2">
            <w:pPr>
              <w:jc w:val="center"/>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15,799</w:t>
            </w:r>
          </w:p>
        </w:tc>
      </w:tr>
      <w:tr w:rsidR="009534E2">
        <w:tc>
          <w:tcPr>
            <w:tcW w:w="3401" w:type="pct"/>
            <w:tcBorders>
              <w:top w:val="nil"/>
              <w:left w:val="nil"/>
              <w:bottom w:val="nil"/>
              <w:right w:val="nil"/>
              <w:tl2br w:val="nil"/>
              <w:tr2bl w:val="nil"/>
            </w:tcBorders>
            <w:shd w:val="clear" w:color="auto" w:fill="auto"/>
            <w:vAlign w:val="bottom"/>
          </w:tcPr>
          <w:p w:rsidR="009534E2" w:rsidRDefault="003369EB">
            <w:pPr>
              <w:ind w:left="120"/>
              <w:rPr>
                <w:rFonts w:asciiTheme="majorHAnsi" w:hAnsiTheme="majorHAnsi" w:cstheme="majorHAnsi"/>
                <w:color w:val="000000"/>
              </w:rPr>
            </w:pPr>
            <w:bookmarkStart w:name="_2327112c_2deb_40c0_bdce_281c07afb790" w:id="370"/>
            <w:bookmarkEnd w:id="369"/>
            <w:r>
              <w:rPr>
                <w:rFonts w:eastAsia="Times New Roman" w:asciiTheme="majorHAnsi" w:hAnsiTheme="majorHAnsi" w:cstheme="majorHAnsi"/>
                <w:color w:val="000000"/>
              </w:rPr>
              <w:t xml:space="preserve">Corporate and Other </w:t>
            </w:r>
            <w:r>
              <w:rPr>
                <w:rFonts w:eastAsia="Times New Roman" w:asciiTheme="majorHAnsi" w:hAnsiTheme="majorHAnsi" w:cstheme="majorHAnsi"/>
                <w:color w:val="000000"/>
                <w:vertAlign w:val="superscript"/>
              </w:rPr>
              <w:t>(1)</w:t>
            </w:r>
          </w:p>
        </w:tc>
        <w:tc>
          <w:tcPr>
            <w:tcW w:w="108"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auto"/>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xml:space="preserve"> (2,434)</w:t>
            </w:r>
          </w:p>
        </w:tc>
        <w:tc>
          <w:tcPr>
            <w:tcW w:w="108" w:type="pct"/>
            <w:tcBorders>
              <w:top w:val="nil"/>
              <w:left w:val="nil"/>
              <w:bottom w:val="nil"/>
              <w:right w:val="nil"/>
              <w:tl2br w:val="nil"/>
              <w:tr2bl w:val="nil"/>
            </w:tcBorders>
            <w:shd w:val="clear" w:color="auto" w:fill="auto"/>
            <w:noWrap/>
            <w:vAlign w:val="bottom"/>
          </w:tcPr>
          <w:p w:rsidR="009534E2" w:rsidRDefault="009534E2">
            <w:pPr>
              <w:jc w:val="righ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auto"/>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xml:space="preserve"> (1,377)</w:t>
            </w:r>
          </w:p>
        </w:tc>
        <w:tc>
          <w:tcPr>
            <w:tcW w:w="108"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auto"/>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xml:space="preserve"> (1,803)</w:t>
            </w:r>
          </w:p>
        </w:tc>
      </w:tr>
      <w:tr w:rsidR="009534E2">
        <w:tc>
          <w:tcPr>
            <w:tcW w:w="3401"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color w:val="000000"/>
              </w:rPr>
            </w:pPr>
            <w:bookmarkStart w:name="_f2af63c8_11ab_42e3_8798_8a58ade284bd" w:id="371"/>
            <w:bookmarkEnd w:id="370"/>
            <w:r>
              <w:rPr>
                <w:rFonts w:eastAsia="Times New Roman" w:asciiTheme="majorHAnsi" w:hAnsiTheme="majorHAnsi" w:cstheme="majorHAnsi"/>
                <w:color w:val="000000"/>
              </w:rPr>
              <w:t xml:space="preserve">Total Segment Net Profit </w:t>
            </w:r>
            <w:r>
              <w:rPr>
                <w:rFonts w:eastAsia="Times New Roman" w:asciiTheme="majorHAnsi" w:hAnsiTheme="majorHAnsi" w:cstheme="majorHAnsi"/>
                <w:color w:val="000000"/>
                <w:vertAlign w:val="superscript"/>
              </w:rPr>
              <w:t>(2)</w:t>
            </w:r>
          </w:p>
        </w:tc>
        <w:tc>
          <w:tcPr>
            <w:tcW w:w="108"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10,304</w:t>
            </w:r>
          </w:p>
        </w:tc>
        <w:tc>
          <w:tcPr>
            <w:tcW w:w="108" w:type="pct"/>
            <w:tcBorders>
              <w:top w:val="nil"/>
              <w:left w:val="nil"/>
              <w:bottom w:val="nil"/>
              <w:right w:val="nil"/>
              <w:tl2br w:val="nil"/>
              <w:tr2bl w:val="nil"/>
            </w:tcBorders>
            <w:shd w:val="clear" w:color="auto" w:fill="CCEEFF"/>
            <w:noWrap/>
            <w:vAlign w:val="bottom"/>
          </w:tcPr>
          <w:p w:rsidR="009534E2" w:rsidRDefault="009534E2">
            <w:pPr>
              <w:jc w:val="righ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9,594</w:t>
            </w:r>
          </w:p>
        </w:tc>
        <w:tc>
          <w:tcPr>
            <w:tcW w:w="108"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13,996</w:t>
            </w:r>
          </w:p>
        </w:tc>
      </w:tr>
    </w:tbl>
    <w:bookmarkEnd w:id="365"/>
    <w:bookmarkEnd w:id="371"/>
    <w:p w:rsidR="009534E2" w:rsidRDefault="00EC0AE1">
      <w:pPr>
        <w:rPr>
          <w:rFonts w:eastAsia="Times New Roman" w:asciiTheme="majorHAnsi" w:hAnsiTheme="majorHAnsi" w:cstheme="majorHAnsi"/>
          <w:lang w:eastAsia="ru-RU"/>
        </w:rPr>
      </w:pPr>
      <w:r>
        <w:rPr>
          <w:rFonts w:eastAsia="Times New Roman" w:asciiTheme="majorHAnsi" w:hAnsiTheme="majorHAnsi" w:cstheme="majorHAnsi"/>
          <w:sz w:val="8"/>
          <w:szCs w:val="8"/>
          <w:lang w:eastAsia="ru-RU"/>
        </w:rPr>
        <w:pict w14:anchorId="5724CE64">
          <v:rect id="_x0000_i1040" style="width:135pt;height:1pt" o:hr="t" o:hrstd="t" o:hrnoshade="t" o:hrpct="250" fillcolor="black" stroked="f"/>
        </w:pict>
      </w:r>
    </w:p>
    <w:p w:rsidR="009534E2" w:rsidRDefault="003369EB">
      <w:pPr>
        <w:pStyle w:val="ListParagraph"/>
        <w:numPr>
          <w:ilvl w:val="0"/>
          <w:numId w:val="45"/>
        </w:numPr>
        <w:spacing w:after="200"/>
        <w:ind w:left="360"/>
        <w:rPr>
          <w:rFonts w:eastAsia="Times New Roman" w:asciiTheme="majorHAnsi" w:hAnsiTheme="majorHAnsi" w:cstheme="majorHAnsi"/>
          <w:lang w:eastAsia="ru-RU"/>
        </w:rPr>
      </w:pPr>
      <w:r>
        <w:rPr>
          <w:rFonts w:eastAsia="Times New Roman" w:asciiTheme="majorHAnsi" w:hAnsiTheme="majorHAnsi" w:cstheme="majorHAnsi"/>
          <w:lang w:eastAsia="ru-RU"/>
        </w:rPr>
        <w:t>Segment Net Profit for the year ended December 31, 2020 is calculated including CFS и Rocketbank segments.</w:t>
      </w:r>
    </w:p>
    <w:p w:rsidR="009534E2" w:rsidRDefault="003369EB">
      <w:pPr>
        <w:pStyle w:val="ListParagraph"/>
        <w:numPr>
          <w:ilvl w:val="0"/>
          <w:numId w:val="45"/>
        </w:numPr>
        <w:spacing w:after="200"/>
        <w:ind w:left="360"/>
        <w:rPr>
          <w:rFonts w:eastAsia="Times New Roman" w:asciiTheme="majorHAnsi" w:hAnsiTheme="majorHAnsi" w:cstheme="majorHAnsi"/>
          <w:lang w:eastAsia="ru-RU"/>
        </w:rPr>
      </w:pPr>
      <w:r>
        <w:rPr>
          <w:rFonts w:eastAsia="Times New Roman" w:asciiTheme="majorHAnsi" w:hAnsiTheme="majorHAnsi" w:cstheme="majorHAnsi"/>
          <w:lang w:eastAsia="ru-RU"/>
        </w:rPr>
        <w:t>For the periods indicated above Total Segment Net Profit is equal to Total Adjusted Net Profit. See “</w:t>
      </w:r>
      <w:r>
        <w:rPr>
          <w:rFonts w:eastAsia="Times New Roman" w:asciiTheme="majorHAnsi" w:hAnsiTheme="majorHAnsi" w:cstheme="majorHAnsi"/>
          <w:i/>
          <w:iCs/>
          <w:lang w:eastAsia="ru-RU"/>
        </w:rPr>
        <w:t>Operating Results — Key Measures of Financial and Operational Performance</w:t>
      </w:r>
      <w:r>
        <w:rPr>
          <w:rFonts w:eastAsia="Times New Roman" w:asciiTheme="majorHAnsi" w:hAnsiTheme="majorHAnsi" w:cstheme="majorHAnsi"/>
          <w:lang w:eastAsia="ru-RU"/>
        </w:rPr>
        <w:t xml:space="preserve"> —</w:t>
      </w:r>
      <w:r>
        <w:rPr>
          <w:rFonts w:eastAsia="Times New Roman" w:asciiTheme="majorHAnsi" w:hAnsiTheme="majorHAnsi" w:cstheme="majorHAnsi"/>
          <w:i/>
          <w:iCs/>
          <w:lang w:eastAsia="ru-RU"/>
        </w:rPr>
        <w:t xml:space="preserve"> Financial Measures</w:t>
      </w:r>
      <w:r>
        <w:rPr>
          <w:rFonts w:eastAsia="Times New Roman" w:asciiTheme="majorHAnsi" w:hAnsiTheme="majorHAnsi" w:cstheme="majorHAnsi"/>
          <w:lang w:eastAsia="ru-RU"/>
        </w:rPr>
        <w:t>” for how we define and calculate Total Net Revenue, Adjusted EBITDA, and Adjusted Net Profit as non-IFRSfinancial measures and reconciliations of these measures to revenue, in the case of Total Net Revenue, and net profit, in the case of Adjusted EBITDA and Adjusted Net Profit.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Segment net profit attributable to the Payment Services segment increased by RUB 4,828 million, or 44%, in 2022 compared to the same period in 2021. The increase was primarily driven by net revenue growth in the respective segment. Payment Services segment net profit margin for the year 2022 was 52.5%, which was 0.5 ppt higher compared to the previous year.</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Net loss attributable to the Corporate and Other category increased by RUB 426 million, or 30.9%, in 2022 compared to the same period in 2021 mainly driven by a combination of the following factors: (i) less contribution from JSC Tochka associate via equity pick up (followed by sale of our stake in the project in the third quarter 2021), (ii) higher personnel expenses due to strong performance in 2022 and meeting relevant KPI’s, (iii) adverse foreign exchange impact, and (iv) expected credit loss allowance on cash charged in 2022, partially compensated by (v) stronger performance of ROWI and Flocktory projects.</w:t>
      </w:r>
    </w:p>
    <w:p w:rsidR="009534E2" w:rsidRDefault="003369EB">
      <w:pPr>
        <w:keepNext/>
        <w:keepLines/>
        <w:spacing w:after="200"/>
        <w:rPr>
          <w:rFonts w:eastAsia="Times New Roman" w:asciiTheme="majorHAnsi" w:hAnsiTheme="majorHAnsi" w:cstheme="majorHAnsi"/>
          <w:bCs/>
        </w:rPr>
      </w:pPr>
      <w:r>
        <w:rPr>
          <w:rFonts w:eastAsia="Times New Roman" w:asciiTheme="majorHAnsi" w:hAnsiTheme="majorHAnsi" w:cstheme="majorHAnsi"/>
          <w:b/>
          <w:bCs/>
          <w:lang w:eastAsia="ru-RU"/>
        </w:rPr>
        <w:t>Year ended December 31, 2021 compared to year ended December 31, 2020</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i/>
          <w:iCs/>
          <w:lang w:eastAsia="ru-RU"/>
        </w:rPr>
        <w:t>Revenue</w:t>
      </w:r>
    </w:p>
    <w:p w:rsidR="009534E2" w:rsidRDefault="003369EB">
      <w:pPr>
        <w:keepNext/>
        <w:keepLines/>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Set out below are our revenues, by source, for the year December 31, 2021 and 2020, and as a percentage of total revenue: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389"/>
        <w:gridCol w:w="211"/>
        <w:gridCol w:w="1165"/>
        <w:gridCol w:w="211"/>
        <w:gridCol w:w="1117"/>
        <w:gridCol w:w="212"/>
        <w:gridCol w:w="1165"/>
        <w:gridCol w:w="212"/>
        <w:gridCol w:w="1118"/>
      </w:tblGrid>
      <w:tr w:rsidR="009534E2">
        <w:trPr>
          <w:trHeight w:val="20" w:hRule="exact"/>
        </w:trPr>
        <w:tc>
          <w:tcPr>
            <w:tcW w:w="2500"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e93b587f_0556_4708_8715_2bbe1c839118" w:colFirst="0" w:colLast="0" w:id="372"/>
            <w:bookmarkStart w:name="_afeb0fc1_20af_4f8a_a19f_d4fc4b37b29a" w:colFirst="1" w:colLast="1" w:id="373"/>
            <w:bookmarkStart w:name="_cbde9167_9f14_4a68_98ce_a45fb68735e8" w:colFirst="2" w:colLast="2" w:id="374"/>
            <w:bookmarkStart w:name="_927ea70f_ab30_4663_8965_d5303732894a" w:colFirst="3" w:colLast="3" w:id="375"/>
            <w:bookmarkStart w:name="_ae7e6bda_6a3c_40d5_a898_cfe0712a7d00" w:colFirst="4" w:colLast="4" w:id="376"/>
            <w:bookmarkStart w:name="_05a1a0ac_bf13_4cbb_9fe8_77a9e95924ac" w:colFirst="5" w:colLast="5" w:id="377"/>
            <w:bookmarkStart w:name="_3ccc1de7_01ee_4bb3_a6db_19f4f4d8d13b" w:colFirst="6" w:colLast="6" w:id="378"/>
            <w:bookmarkStart w:name="_85971aba_b6cb_4e5b_b86b_98948d9e864a" w:colFirst="7" w:colLast="7" w:id="379"/>
            <w:bookmarkStart w:name="_1953008a_5dd2_4a54_a833_819112a8295f" w:colFirst="8" w:colLast="8" w:id="380"/>
            <w:bookmarkStart w:name="_70cc818a_c666_474c_a1b4_8b08ceb082e4" w:id="381"/>
          </w:p>
        </w:tc>
        <w:tc>
          <w:tcPr>
            <w:tcW w:w="1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2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2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2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2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c>
          <w:tcPr>
            <w:tcW w:w="2500"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sz w:val="16"/>
              </w:rPr>
            </w:pPr>
            <w:bookmarkStart w:name="_94d6ab57_11fb_4b88_9864_1debb7ad6432" w:id="382"/>
            <w:bookmarkEnd w:id="372"/>
            <w:bookmarkEnd w:id="373"/>
            <w:bookmarkEnd w:id="374"/>
            <w:bookmarkEnd w:id="375"/>
            <w:bookmarkEnd w:id="376"/>
            <w:bookmarkEnd w:id="377"/>
            <w:bookmarkEnd w:id="378"/>
            <w:bookmarkEnd w:id="379"/>
            <w:bookmarkEnd w:id="380"/>
          </w:p>
        </w:tc>
        <w:tc>
          <w:tcPr>
            <w:tcW w:w="103"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sz w:val="16"/>
              </w:rPr>
            </w:pPr>
          </w:p>
        </w:tc>
        <w:tc>
          <w:tcPr>
            <w:tcW w:w="2397" w:type="pct"/>
            <w:gridSpan w:val="7"/>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Year ended December 31,</w:t>
            </w:r>
          </w:p>
        </w:tc>
      </w:tr>
      <w:tr w:rsidR="009534E2">
        <w:tc>
          <w:tcPr>
            <w:tcW w:w="2500"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sz w:val="16"/>
              </w:rPr>
            </w:pPr>
            <w:bookmarkStart w:name="_290c6627_4caa_4ad0_89fd_2491eaf26bbe" w:id="383"/>
            <w:bookmarkEnd w:id="382"/>
          </w:p>
        </w:tc>
        <w:tc>
          <w:tcPr>
            <w:tcW w:w="103"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sz w:val="16"/>
              </w:rPr>
            </w:pPr>
          </w:p>
        </w:tc>
        <w:tc>
          <w:tcPr>
            <w:tcW w:w="522"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 (1)</w:t>
            </w:r>
          </w:p>
        </w:tc>
        <w:tc>
          <w:tcPr>
            <w:tcW w:w="103"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sz w:val="16"/>
              </w:rPr>
            </w:pPr>
          </w:p>
        </w:tc>
        <w:tc>
          <w:tcPr>
            <w:tcW w:w="522"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 (1)</w:t>
            </w:r>
          </w:p>
        </w:tc>
        <w:tc>
          <w:tcPr>
            <w:tcW w:w="103"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sz w:val="16"/>
              </w:rPr>
            </w:pPr>
          </w:p>
        </w:tc>
        <w:tc>
          <w:tcPr>
            <w:tcW w:w="522"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03"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sz w:val="16"/>
              </w:rPr>
            </w:pPr>
          </w:p>
        </w:tc>
        <w:tc>
          <w:tcPr>
            <w:tcW w:w="522"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r>
      <w:tr w:rsidR="009534E2">
        <w:tc>
          <w:tcPr>
            <w:tcW w:w="2500"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sz w:val="16"/>
              </w:rPr>
            </w:pPr>
            <w:bookmarkStart w:name="_ec520a3d_e7e4_4bdf_b184_e39cc087191b" w:id="384"/>
            <w:bookmarkEnd w:id="383"/>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522"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522"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color w:val="000000"/>
                <w:sz w:val="16"/>
              </w:rPr>
            </w:pPr>
            <w:r>
              <w:rPr>
                <w:rFonts w:eastAsia="Times New Roman" w:asciiTheme="majorHAnsi" w:hAnsiTheme="majorHAnsi" w:cstheme="majorHAnsi"/>
                <w:color w:val="000000"/>
                <w:sz w:val="16"/>
              </w:rPr>
              <w:t>(% of revenue)</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522"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522"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color w:val="000000"/>
                <w:sz w:val="16"/>
              </w:rPr>
            </w:pPr>
            <w:r>
              <w:rPr>
                <w:rFonts w:eastAsia="Times New Roman" w:asciiTheme="majorHAnsi" w:hAnsiTheme="majorHAnsi" w:cstheme="majorHAnsi"/>
                <w:color w:val="000000"/>
                <w:sz w:val="16"/>
              </w:rPr>
              <w:t>(% of revenue)</w:t>
            </w:r>
          </w:p>
        </w:tc>
      </w:tr>
      <w:tr w:rsidR="009534E2">
        <w:tc>
          <w:tcPr>
            <w:tcW w:w="2500"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color w:val="000000"/>
              </w:rPr>
            </w:pPr>
            <w:bookmarkStart w:name="_b05bd97f_7c6c_4c14_a4a2_291585a138fb" w:id="385"/>
            <w:bookmarkEnd w:id="384"/>
            <w:r>
              <w:rPr>
                <w:rFonts w:eastAsia="Times New Roman" w:asciiTheme="majorHAnsi" w:hAnsiTheme="majorHAnsi" w:cstheme="majorHAnsi"/>
                <w:color w:val="000000"/>
              </w:rPr>
              <w:t>Revenue</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40,622</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100.0</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41,135</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100.0</w:t>
            </w:r>
          </w:p>
        </w:tc>
      </w:tr>
      <w:tr w:rsidR="009534E2">
        <w:tc>
          <w:tcPr>
            <w:tcW w:w="2500" w:type="pct"/>
            <w:tcBorders>
              <w:top w:val="nil"/>
              <w:left w:val="nil"/>
              <w:bottom w:val="nil"/>
              <w:right w:val="nil"/>
              <w:tl2br w:val="nil"/>
              <w:tr2bl w:val="nil"/>
            </w:tcBorders>
            <w:shd w:val="clear" w:color="auto" w:fill="auto"/>
            <w:vAlign w:val="bottom"/>
          </w:tcPr>
          <w:p w:rsidR="009534E2" w:rsidRDefault="003369EB">
            <w:pPr>
              <w:ind w:left="120"/>
              <w:rPr>
                <w:rFonts w:asciiTheme="majorHAnsi" w:hAnsiTheme="majorHAnsi" w:cstheme="majorHAnsi"/>
                <w:color w:val="000000"/>
              </w:rPr>
            </w:pPr>
            <w:bookmarkStart w:name="_4d93da25_f9a8_4bd4_aa10_699daefc0303" w:id="386"/>
            <w:bookmarkEnd w:id="385"/>
            <w:r>
              <w:rPr>
                <w:rFonts w:eastAsia="Times New Roman" w:asciiTheme="majorHAnsi" w:hAnsiTheme="majorHAnsi" w:cstheme="majorHAnsi"/>
                <w:color w:val="000000"/>
              </w:rPr>
              <w:t>Payment processing fees</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34,326</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84.4</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33,397</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81.2</w:t>
            </w:r>
          </w:p>
        </w:tc>
      </w:tr>
      <w:tr w:rsidR="009534E2">
        <w:tc>
          <w:tcPr>
            <w:tcW w:w="2500"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5c2dfa22_8cfc_4100_abe8_e5ceec997791" w:id="387"/>
            <w:bookmarkEnd w:id="386"/>
            <w:r>
              <w:rPr>
                <w:rFonts w:eastAsia="Times New Roman" w:asciiTheme="majorHAnsi" w:hAnsiTheme="majorHAnsi" w:cstheme="majorHAnsi"/>
                <w:color w:val="000000"/>
              </w:rPr>
              <w:t>Interest revenue calculated using the effective interest rate</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2,390</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5.9</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3,453</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8.4</w:t>
            </w:r>
          </w:p>
        </w:tc>
      </w:tr>
      <w:tr w:rsidR="009534E2">
        <w:tc>
          <w:tcPr>
            <w:tcW w:w="2500" w:type="pct"/>
            <w:tcBorders>
              <w:top w:val="nil"/>
              <w:left w:val="nil"/>
              <w:bottom w:val="nil"/>
              <w:right w:val="nil"/>
              <w:tl2br w:val="nil"/>
              <w:tr2bl w:val="nil"/>
            </w:tcBorders>
            <w:shd w:val="clear" w:color="auto" w:fill="auto"/>
            <w:vAlign w:val="bottom"/>
          </w:tcPr>
          <w:p w:rsidR="009534E2" w:rsidRDefault="003369EB">
            <w:pPr>
              <w:ind w:left="120"/>
              <w:rPr>
                <w:rFonts w:asciiTheme="majorHAnsi" w:hAnsiTheme="majorHAnsi" w:cstheme="majorHAnsi"/>
                <w:color w:val="000000"/>
              </w:rPr>
            </w:pPr>
            <w:bookmarkStart w:name="_0fae7975_a1b4_4075_b03e_d373e065c5ab" w:id="388"/>
            <w:bookmarkEnd w:id="387"/>
            <w:r>
              <w:rPr>
                <w:rFonts w:eastAsia="Times New Roman" w:asciiTheme="majorHAnsi" w:hAnsiTheme="majorHAnsi" w:cstheme="majorHAnsi"/>
                <w:color w:val="000000"/>
              </w:rPr>
              <w:t>Fees from inactive accounts and unclaimed payments</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1,952</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4.8</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1,771</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4.3</w:t>
            </w:r>
          </w:p>
        </w:tc>
      </w:tr>
      <w:tr w:rsidR="009534E2">
        <w:tc>
          <w:tcPr>
            <w:tcW w:w="2500"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e6979dd4_6b8c_48d9_a7db_fa0b2bb4cff1" w:id="389"/>
            <w:bookmarkEnd w:id="388"/>
            <w:r>
              <w:rPr>
                <w:rFonts w:eastAsia="Times New Roman" w:asciiTheme="majorHAnsi" w:hAnsiTheme="majorHAnsi" w:cstheme="majorHAnsi"/>
                <w:color w:val="000000"/>
              </w:rPr>
              <w:t>Cash and settlement service fees</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512</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500</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w:t>
            </w:r>
          </w:p>
        </w:tc>
      </w:tr>
      <w:tr w:rsidR="009534E2">
        <w:tc>
          <w:tcPr>
            <w:tcW w:w="2500" w:type="pct"/>
            <w:tcBorders>
              <w:top w:val="nil"/>
              <w:left w:val="nil"/>
              <w:bottom w:val="nil"/>
              <w:right w:val="nil"/>
              <w:tl2br w:val="nil"/>
              <w:tr2bl w:val="nil"/>
            </w:tcBorders>
            <w:shd w:val="clear" w:color="auto" w:fill="auto"/>
            <w:vAlign w:val="bottom"/>
          </w:tcPr>
          <w:p w:rsidR="009534E2" w:rsidRDefault="003369EB">
            <w:pPr>
              <w:ind w:left="120"/>
              <w:rPr>
                <w:rFonts w:asciiTheme="majorHAnsi" w:hAnsiTheme="majorHAnsi" w:cstheme="majorHAnsi"/>
                <w:color w:val="000000"/>
              </w:rPr>
            </w:pPr>
            <w:bookmarkStart w:name="_e339e6da_d5c1_4d60_8897_8af186a4fe1d" w:id="390"/>
            <w:bookmarkEnd w:id="389"/>
            <w:r>
              <w:rPr>
                <w:rFonts w:eastAsia="Times New Roman" w:asciiTheme="majorHAnsi" w:hAnsiTheme="majorHAnsi" w:cstheme="majorHAnsi"/>
                <w:color w:val="000000"/>
              </w:rPr>
              <w:t>Platform and marketing services related fees (2)</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794</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2.0</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958</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2.3</w:t>
            </w:r>
          </w:p>
        </w:tc>
      </w:tr>
      <w:tr w:rsidR="009534E2">
        <w:tc>
          <w:tcPr>
            <w:tcW w:w="2500"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911e637c_5182_47c2_bf6f_1a0ee5b0c1e2" w:id="391"/>
            <w:bookmarkEnd w:id="390"/>
            <w:r>
              <w:rPr>
                <w:rFonts w:eastAsia="Times New Roman" w:asciiTheme="majorHAnsi" w:hAnsiTheme="majorHAnsi" w:cstheme="majorHAnsi"/>
                <w:color w:val="000000"/>
              </w:rPr>
              <w:t>Fees for guarantees issued (2)</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440</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723</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1.8</w:t>
            </w:r>
          </w:p>
        </w:tc>
      </w:tr>
      <w:tr w:rsidR="009534E2">
        <w:tc>
          <w:tcPr>
            <w:tcW w:w="2500" w:type="pct"/>
            <w:tcBorders>
              <w:top w:val="nil"/>
              <w:left w:val="nil"/>
              <w:bottom w:val="nil"/>
              <w:right w:val="nil"/>
              <w:tl2br w:val="nil"/>
              <w:tr2bl w:val="nil"/>
            </w:tcBorders>
            <w:shd w:val="clear" w:color="auto" w:fill="auto"/>
            <w:vAlign w:val="bottom"/>
          </w:tcPr>
          <w:p w:rsidR="009534E2" w:rsidRDefault="003369EB">
            <w:pPr>
              <w:ind w:left="120"/>
              <w:rPr>
                <w:rFonts w:asciiTheme="majorHAnsi" w:hAnsiTheme="majorHAnsi" w:cstheme="majorHAnsi"/>
                <w:color w:val="000000"/>
              </w:rPr>
            </w:pPr>
            <w:bookmarkStart w:name="_d0bd6926_ccf3_4c75_8364_0637e4d28f17" w:id="392"/>
            <w:bookmarkEnd w:id="391"/>
            <w:r>
              <w:rPr>
                <w:rFonts w:eastAsia="Times New Roman" w:asciiTheme="majorHAnsi" w:hAnsiTheme="majorHAnsi" w:cstheme="majorHAnsi"/>
                <w:color w:val="000000"/>
              </w:rPr>
              <w:t>Other revenue</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208</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0.5</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333</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2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0.8</w:t>
            </w:r>
          </w:p>
        </w:tc>
      </w:tr>
    </w:tbl>
    <w:p w:rsidR="009534E2" w:rsidRDefault="00EC0AE1">
      <w:pPr>
        <w:tabs>
          <w:tab w:val="left" w:pos="567"/>
        </w:tabs>
        <w:ind w:left="461" w:hanging="461"/>
        <w:rPr>
          <w:rFonts w:eastAsia="Times New Roman" w:asciiTheme="majorHAnsi" w:hAnsiTheme="majorHAnsi" w:cstheme="majorHAnsi"/>
          <w:u w:val="single"/>
        </w:rPr>
      </w:pPr>
      <w:bookmarkStart w:name="_9804ea87_d75e_4254_a94a_2a2f35f51e4a" w:id="393"/>
      <w:bookmarkEnd w:id="381"/>
      <w:bookmarkEnd w:id="392"/>
      <w:bookmarkEnd w:id="393"/>
      <w:r>
        <w:rPr>
          <w:rFonts w:eastAsia="Times New Roman" w:asciiTheme="majorHAnsi" w:hAnsiTheme="majorHAnsi" w:cstheme="majorHAnsi"/>
          <w:sz w:val="8"/>
          <w:szCs w:val="8"/>
          <w:lang w:eastAsia="ru-RU"/>
        </w:rPr>
        <w:pict w14:anchorId="3A0EBCBA">
          <v:rect id="_x0000_i1041" style="width:135pt;height:1.5pt" o:hr="t" o:hrstd="t" o:hrnoshade="t" o:hrpct="250" fillcolor="black" stroked="f"/>
        </w:pict>
      </w:r>
    </w:p>
    <w:p w:rsidR="009534E2" w:rsidRDefault="003369EB">
      <w:pPr>
        <w:tabs>
          <w:tab w:val="left" w:pos="567"/>
        </w:tabs>
        <w:ind w:left="461" w:hanging="461"/>
        <w:rPr>
          <w:rFonts w:eastAsia="Times New Roman" w:asciiTheme="majorHAnsi" w:hAnsiTheme="majorHAnsi" w:cstheme="majorHAnsi"/>
        </w:rPr>
      </w:pPr>
      <w:r>
        <w:rPr>
          <w:rFonts w:eastAsia="Times New Roman" w:asciiTheme="majorHAnsi" w:hAnsiTheme="majorHAnsi" w:cstheme="majorHAnsi"/>
        </w:rPr>
        <w:t>(1)</w:t>
      </w:r>
      <w:r>
        <w:rPr>
          <w:rFonts w:eastAsia="Times New Roman" w:asciiTheme="majorHAnsi" w:hAnsiTheme="majorHAnsi" w:cstheme="majorHAnsi"/>
        </w:rPr>
        <w:tab/>
      </w:r>
      <w:r>
        <w:rPr>
          <w:rFonts w:eastAsia="Times New Roman" w:asciiTheme="majorHAnsi" w:hAnsiTheme="majorHAnsi" w:cstheme="majorHAnsi"/>
          <w:lang w:eastAsia="ru-RU"/>
        </w:rPr>
        <w:t>Following the divestiture of SOVEST and the wind-down of Rocketbank, certain amounts have been reclassified to Discontinued operations in order to conform to the current period’s presentation. For more information, please refer to Note 6 of the audited consolidated financial statements included in this Annual Report on Form 20-F.</w:t>
      </w:r>
    </w:p>
    <w:p w:rsidR="009534E2" w:rsidRDefault="003369EB">
      <w:pPr>
        <w:tabs>
          <w:tab w:val="left" w:pos="567"/>
        </w:tabs>
        <w:spacing w:after="200"/>
        <w:ind w:left="461" w:hanging="461"/>
        <w:rPr>
          <w:rFonts w:eastAsia="Times New Roman" w:asciiTheme="majorHAnsi" w:hAnsiTheme="majorHAnsi" w:cstheme="majorHAnsi"/>
        </w:rPr>
      </w:pPr>
      <w:r>
        <w:rPr>
          <w:rFonts w:eastAsia="Times New Roman" w:asciiTheme="majorHAnsi" w:hAnsiTheme="majorHAnsi" w:cstheme="majorHAnsi"/>
        </w:rPr>
        <w:t>(2)</w:t>
      </w:r>
      <w:r>
        <w:rPr>
          <w:rFonts w:eastAsia="Times New Roman" w:asciiTheme="majorHAnsi" w:hAnsiTheme="majorHAnsi" w:cstheme="majorHAnsi"/>
        </w:rPr>
        <w:tab/>
      </w:r>
      <w:r>
        <w:rPr>
          <w:rFonts w:eastAsia="Times New Roman" w:asciiTheme="majorHAnsi" w:hAnsiTheme="majorHAnsi" w:cstheme="majorHAnsi"/>
          <w:lang w:eastAsia="ru-RU"/>
        </w:rPr>
        <w:t>Platform and marketing services related fees and fees for guarantees issued were presented as part of Other revenue prior to December 31, 2020, and are now presented separately to reflect the management view on material business activities.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Revenue for the year ended December 31, 2021 was RUB 41,135 million, an increase of 1%, or RUB 513 million, compared to the same period of 2020. Payment processing fees in 2021 reached RUB 33,397 million, a decrease of 3%, or RUB 929 million, compared to previous year mainly due to the decline in Payment Services segment net revenue yield by 18bps year-over-year partially compensated by growth of payment volume in 2021 by 7.3% year-over-year. The decline in Payment Services segment payment average net revenue yield was mainly driven by a combination of (i) decreased e-commerce net revenue yield by 16bps to 2.16% and (ii) negative mix effect with lower share of high marginal e-commerce vertical in total Payment Services volume by 8.7ppt to 20.8%, both resulting from the temporary restrictions imposed on cross-border payments which bear higher commissions compared to most other types of our operations. Payment Services segment payment volumes growth in 2021 as compared to 2020 was predominantly due to the growth in Money Remittance market vertical resulting largely from the development of payment solutions for merchants including betting merchants, new contracts and new projects targeting the self-employed market, and growth of peer-to-peer operations.</w:t>
      </w:r>
    </w:p>
    <w:p w:rsidR="009534E2" w:rsidRDefault="003369EB">
      <w:pPr>
        <w:spacing w:after="200"/>
        <w:ind w:firstLine="461"/>
        <w:rPr>
          <w:rFonts w:eastAsia="Times New Roman" w:asciiTheme="majorHAnsi" w:hAnsiTheme="majorHAnsi" w:cstheme="majorHAnsi"/>
          <w:color w:val="000000"/>
          <w:sz w:val="22"/>
          <w:lang w:eastAsia="ru-RU"/>
        </w:rPr>
      </w:pPr>
      <w:r>
        <w:rPr>
          <w:rFonts w:eastAsia="Times New Roman" w:asciiTheme="majorHAnsi" w:hAnsiTheme="majorHAnsi" w:cstheme="majorHAnsi"/>
          <w:lang w:eastAsia="ru-RU"/>
        </w:rPr>
        <w:t>The number of active QIWI Wallet accounts decreased to 14.1 million as of December 31, 2021 from 18.1 million as of December 31, 2020. The decline primarily resulted from the introduction of limitations on the anonymous wallets and enhancement of certain KYC, identification and compliance procedures. The number of active QIWI Wallets was also affected by the CBR restrictions imposed in December 2020 resulting in outflow of clients that customarily used our services specifically for payments to merchants that have become subject to the restrictions. We also had 1.3 million of QIWI Wallet accounts previously created solely for the purposes of making bets via QIWI TSUPIS, which might not be used since October 2021 as we stopped providing TSUPIS services. Such decline did not substantially impact our financial performance as we are focused on diversification of our product proposition and increase of payment volumes per QIWI Wallet account.</w:t>
      </w:r>
    </w:p>
    <w:p w:rsidR="009534E2" w:rsidRDefault="003369EB">
      <w:pPr>
        <w:spacing w:after="200"/>
        <w:ind w:firstLine="461"/>
        <w:rPr>
          <w:rFonts w:eastAsia="Times New Roman" w:asciiTheme="majorHAnsi" w:hAnsiTheme="majorHAnsi" w:cstheme="majorHAnsi"/>
          <w:i/>
          <w:lang w:eastAsia="ru-RU"/>
        </w:rPr>
      </w:pPr>
      <w:r>
        <w:rPr>
          <w:rFonts w:eastAsia="Times New Roman" w:asciiTheme="majorHAnsi" w:hAnsiTheme="majorHAnsi" w:cstheme="majorHAnsi"/>
          <w:lang w:eastAsia="ru-RU"/>
        </w:rPr>
        <w:t xml:space="preserve">The number of our kiosks and terminals decreased, with 93,244 active kiosks and terminals as of December 31, 2021 compared to 113,713 as of December 31, 2020, primarily as a result of the underlying market dynamics further described in </w:t>
      </w:r>
      <w:r>
        <w:rPr>
          <w:rFonts w:eastAsia="Times New Roman" w:asciiTheme="majorHAnsi" w:hAnsiTheme="majorHAnsi" w:cstheme="majorHAnsi"/>
          <w:iCs/>
          <w:lang w:eastAsia="ru-RU"/>
        </w:rPr>
        <w:t>Item 3D</w:t>
      </w:r>
      <w:r>
        <w:rPr>
          <w:rFonts w:eastAsia="Times New Roman" w:asciiTheme="majorHAnsi" w:hAnsiTheme="majorHAnsi" w:cstheme="majorHAnsi"/>
          <w:i/>
          <w:lang w:eastAsia="ru-RU"/>
        </w:rPr>
        <w:t xml:space="preserve"> “Risk Factors— </w:t>
      </w:r>
      <w:r>
        <w:rPr>
          <w:rFonts w:eastAsia="Times New Roman" w:asciiTheme="majorHAnsi" w:hAnsiTheme="majorHAnsi" w:cstheme="majorHAnsi"/>
          <w:i/>
          <w:lang w:eastAsia="zh-CN" w:bidi="he-IL"/>
        </w:rPr>
        <w:t xml:space="preserve">Risks Related to Our Business and Our Assets </w:t>
      </w:r>
      <w:r>
        <w:rPr>
          <w:rFonts w:eastAsia="Times New Roman" w:asciiTheme="majorHAnsi" w:hAnsiTheme="majorHAnsi" w:cstheme="majorHAnsi"/>
          <w:i/>
          <w:lang w:eastAsia="ru-RU"/>
        </w:rPr>
        <w:t>— A decline in the use of cash as a means of payment or a decline in the use of kiosks and terminals may result in a reduced demand for our services”.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Interest revenue calculated using the effective interest rate for the year ended December 31, 2021 was RUB 3,453 million, an increase of 44%, or RUB 1,063 million, compared to the same period in 2020. The growth was primarily related to the increase of income from factoring financing provided as part of the ROWI project due to growth of its portfolio and increase in debt securities portfolio as well as growth of interest rates on the debt market.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Fees for inactive accounts and unclaimed payments decreased by 9%, or RUB 181 million, from RUB 1,952 million in 2020 to RUB 1,771 million in 2021.</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Cash and settlement services fees for the year ended December 31, 2021 were RUB 500 million, a decrease of 2%, or RUB 12 million, compared to the same period in 2020. Cash and settlement services fees decrease resulted primarily from a decline in number of active Tochka clients in Qiwi Bank branch.</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color w:val="000000"/>
          <w:lang w:eastAsia="ru-RU"/>
        </w:rPr>
        <w:t xml:space="preserve">Platform and marketing </w:t>
      </w:r>
      <w:r>
        <w:rPr>
          <w:rFonts w:eastAsia="Times New Roman" w:asciiTheme="majorHAnsi" w:hAnsiTheme="majorHAnsi" w:cstheme="majorHAnsi"/>
          <w:lang w:eastAsia="ru-RU"/>
        </w:rPr>
        <w:t>services related fees for the year ended December 31, 2021 were RUB 958 million, an increase of 21%, or RUB 164 million, compared to the same period in 2020. The increase was mainly driven by growth of revenue from Flocktory services resulting primarily from organic growth of Flocktory’s client base.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Fees for guarantees issued for the year ended December 31, 2021 were RUB 723 million, an increase of 64%, or RUB 283 million, compared to the same period in 2020. The increase was mainly driven by growth of ROWI digital guarantees portfolio.</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Other revenue for the year ended December 31, 2021 was RUB 333 million, an increase of 60%, or RUB 125 million, compared to the same period in 2020. The increase was driven by growth of revenue from additional value-added services for our clients as well as from minor miscellaneous projects.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i/>
          <w:iCs/>
          <w:lang w:eastAsia="ru-RU"/>
        </w:rPr>
        <w:t>Operating expenses</w:t>
      </w:r>
    </w:p>
    <w:p w:rsidR="009534E2" w:rsidRDefault="003369EB">
      <w:pPr>
        <w:keepNext/>
        <w:keepLines/>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Set out below are the primary components of our operating expenses for the year ended December 31, 2021 and 2020, and as a percentage of total revenue: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240"/>
        <w:gridCol w:w="216"/>
        <w:gridCol w:w="1173"/>
        <w:gridCol w:w="216"/>
        <w:gridCol w:w="1173"/>
        <w:gridCol w:w="216"/>
        <w:gridCol w:w="1173"/>
        <w:gridCol w:w="216"/>
        <w:gridCol w:w="1177"/>
      </w:tblGrid>
      <w:tr w:rsidR="009534E2">
        <w:trPr>
          <w:trHeight w:val="20" w:hRule="exact"/>
        </w:trPr>
        <w:tc>
          <w:tcPr>
            <w:tcW w:w="2426" w:type="pct"/>
            <w:tcBorders>
              <w:top w:val="nil"/>
              <w:left w:val="nil"/>
              <w:bottom w:val="nil"/>
              <w:right w:val="nil"/>
            </w:tcBorders>
            <w:vAlign w:val="bottom"/>
          </w:tcPr>
          <w:p w:rsidR="009534E2" w:rsidRDefault="009534E2">
            <w:pPr>
              <w:keepNext/>
              <w:keepLines/>
              <w:rPr>
                <w:rFonts w:asciiTheme="majorHAnsi" w:hAnsiTheme="majorHAnsi" w:cstheme="majorHAnsi"/>
                <w:sz w:val="2"/>
              </w:rPr>
            </w:pPr>
            <w:bookmarkStart w:name="_39cad348_15a4_4178_81c4_637c4187a7d0" w:id="394"/>
            <w:bookmarkStart w:name="_58950687_2b6c_4159_b960_137023154632" w:colFirst="0" w:colLast="0" w:id="395"/>
            <w:bookmarkStart w:name="_d7c88270_6cff_4403_b053_30f7de4fd1b5" w:colFirst="1" w:colLast="1" w:id="396"/>
            <w:bookmarkStart w:name="_93a70418_1505_4cab_a23c_3903db527163" w:colFirst="2" w:colLast="2" w:id="397"/>
            <w:bookmarkStart w:name="_fa8086df_74a4_45a0_9909_cc7ee6145886" w:colFirst="3" w:colLast="3" w:id="398"/>
            <w:bookmarkStart w:name="_0701cd28_f0f8_4752_9edf_6fd6ed06504a" w:colFirst="4" w:colLast="4" w:id="399"/>
            <w:bookmarkStart w:name="_388db70b_4b8c_497b_86ae_1170485f2f06" w:colFirst="5" w:colLast="5" w:id="400"/>
            <w:bookmarkStart w:name="_b3948cdc_d992_438c_b1af_557ca6582f26" w:colFirst="6" w:colLast="6" w:id="401"/>
            <w:bookmarkStart w:name="_8295fc50_8fb6_4df9_b093_d486afd6706a" w:colFirst="7" w:colLast="7" w:id="402"/>
            <w:bookmarkStart w:name="_682a37db_f995_4f61_8409_a8009e347d5d" w:colFirst="8" w:colLast="8" w:id="403"/>
            <w:bookmarkStart w:name="_484df501_1ba2_426d_a49c_52b6229f4559" w:id="404"/>
            <w:bookmarkEnd w:id="394"/>
          </w:p>
        </w:tc>
        <w:tc>
          <w:tcPr>
            <w:tcW w:w="100"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543"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100"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543"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100"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543"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100"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543"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r>
      <w:tr w:rsidR="009534E2">
        <w:tc>
          <w:tcPr>
            <w:tcW w:w="2426" w:type="pct"/>
            <w:tcBorders>
              <w:top w:val="nil"/>
              <w:left w:val="nil"/>
              <w:bottom w:val="nil"/>
              <w:right w:val="nil"/>
              <w:tl2br w:val="nil"/>
              <w:tr2bl w:val="nil"/>
            </w:tcBorders>
            <w:shd w:val="clear" w:color="auto" w:fill="auto"/>
            <w:vAlign w:val="bottom"/>
          </w:tcPr>
          <w:p w:rsidR="009534E2" w:rsidRDefault="009534E2">
            <w:pPr>
              <w:keepNext/>
              <w:keepLines/>
              <w:rPr>
                <w:rFonts w:asciiTheme="majorHAnsi" w:hAnsiTheme="majorHAnsi" w:cstheme="majorHAnsi"/>
                <w:color w:val="000000"/>
                <w:sz w:val="16"/>
              </w:rPr>
            </w:pPr>
            <w:bookmarkStart w:name="_9fed2c13_1272_4601_ab79_09517cd9aa7a" w:id="405"/>
            <w:bookmarkEnd w:id="395"/>
            <w:bookmarkEnd w:id="396"/>
            <w:bookmarkEnd w:id="397"/>
            <w:bookmarkEnd w:id="398"/>
            <w:bookmarkEnd w:id="399"/>
            <w:bookmarkEnd w:id="400"/>
            <w:bookmarkEnd w:id="401"/>
            <w:bookmarkEnd w:id="402"/>
            <w:bookmarkEnd w:id="403"/>
          </w:p>
        </w:tc>
        <w:tc>
          <w:tcPr>
            <w:tcW w:w="100"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color w:val="000000"/>
                <w:sz w:val="16"/>
              </w:rPr>
            </w:pPr>
          </w:p>
        </w:tc>
        <w:tc>
          <w:tcPr>
            <w:tcW w:w="2474" w:type="pct"/>
            <w:gridSpan w:val="7"/>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Year ended December 31,</w:t>
            </w:r>
          </w:p>
        </w:tc>
      </w:tr>
      <w:tr w:rsidR="009534E2">
        <w:tc>
          <w:tcPr>
            <w:tcW w:w="2426" w:type="pct"/>
            <w:tcBorders>
              <w:top w:val="nil"/>
              <w:left w:val="nil"/>
              <w:bottom w:val="nil"/>
              <w:right w:val="nil"/>
              <w:tl2br w:val="nil"/>
              <w:tr2bl w:val="nil"/>
            </w:tcBorders>
            <w:shd w:val="clear" w:color="auto" w:fill="auto"/>
            <w:vAlign w:val="bottom"/>
          </w:tcPr>
          <w:p w:rsidR="009534E2" w:rsidRDefault="009534E2">
            <w:pPr>
              <w:keepNext/>
              <w:keepLines/>
              <w:rPr>
                <w:rFonts w:asciiTheme="majorHAnsi" w:hAnsiTheme="majorHAnsi" w:cstheme="majorHAnsi"/>
                <w:color w:val="000000"/>
                <w:sz w:val="16"/>
              </w:rPr>
            </w:pPr>
            <w:bookmarkStart w:name="_894b11e7_92be_4327_afb6_33dbfd5becbd" w:id="406"/>
            <w:bookmarkEnd w:id="405"/>
          </w:p>
        </w:tc>
        <w:tc>
          <w:tcPr>
            <w:tcW w:w="100"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543"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 (1)</w:t>
            </w:r>
          </w:p>
        </w:tc>
        <w:tc>
          <w:tcPr>
            <w:tcW w:w="100"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543"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 (1)</w:t>
            </w:r>
          </w:p>
        </w:tc>
        <w:tc>
          <w:tcPr>
            <w:tcW w:w="100"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543"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00"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543"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r>
      <w:tr w:rsidR="009534E2">
        <w:tc>
          <w:tcPr>
            <w:tcW w:w="2426" w:type="pct"/>
            <w:tcBorders>
              <w:top w:val="nil"/>
              <w:left w:val="nil"/>
              <w:bottom w:val="nil"/>
              <w:right w:val="nil"/>
              <w:tl2br w:val="nil"/>
              <w:tr2bl w:val="nil"/>
            </w:tcBorders>
            <w:shd w:val="clear" w:color="auto" w:fill="auto"/>
            <w:vAlign w:val="bottom"/>
          </w:tcPr>
          <w:p w:rsidR="009534E2" w:rsidRDefault="009534E2">
            <w:pPr>
              <w:keepNext/>
              <w:keepLines/>
              <w:rPr>
                <w:rFonts w:asciiTheme="majorHAnsi" w:hAnsiTheme="majorHAnsi" w:cstheme="majorHAnsi"/>
                <w:color w:val="000000"/>
                <w:sz w:val="16"/>
              </w:rPr>
            </w:pPr>
            <w:bookmarkStart w:name="_b86f58cf_7ea2_45f8_833e_9baf67a2010c" w:id="407"/>
            <w:bookmarkEnd w:id="406"/>
          </w:p>
        </w:tc>
        <w:tc>
          <w:tcPr>
            <w:tcW w:w="100"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color w:val="000000"/>
                <w:sz w:val="16"/>
              </w:rPr>
            </w:pPr>
          </w:p>
        </w:tc>
        <w:tc>
          <w:tcPr>
            <w:tcW w:w="543"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c>
          <w:tcPr>
            <w:tcW w:w="100"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color w:val="000000"/>
                <w:sz w:val="16"/>
              </w:rPr>
            </w:pPr>
          </w:p>
        </w:tc>
        <w:tc>
          <w:tcPr>
            <w:tcW w:w="543"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color w:val="000000"/>
                <w:sz w:val="16"/>
              </w:rPr>
            </w:pPr>
            <w:r>
              <w:rPr>
                <w:rFonts w:eastAsia="Times New Roman" w:asciiTheme="majorHAnsi" w:hAnsiTheme="majorHAnsi" w:cstheme="majorHAnsi"/>
                <w:color w:val="000000"/>
                <w:sz w:val="16"/>
              </w:rPr>
              <w:t>(% of revenue)</w:t>
            </w:r>
          </w:p>
        </w:tc>
        <w:tc>
          <w:tcPr>
            <w:tcW w:w="100"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color w:val="000000"/>
                <w:sz w:val="16"/>
              </w:rPr>
            </w:pPr>
          </w:p>
        </w:tc>
        <w:tc>
          <w:tcPr>
            <w:tcW w:w="543"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c>
          <w:tcPr>
            <w:tcW w:w="100"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color w:val="000000"/>
                <w:sz w:val="16"/>
              </w:rPr>
            </w:pPr>
          </w:p>
        </w:tc>
        <w:tc>
          <w:tcPr>
            <w:tcW w:w="543"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color w:val="000000"/>
                <w:sz w:val="16"/>
              </w:rPr>
            </w:pPr>
            <w:r>
              <w:rPr>
                <w:rFonts w:eastAsia="Times New Roman" w:asciiTheme="majorHAnsi" w:hAnsiTheme="majorHAnsi" w:cstheme="majorHAnsi"/>
                <w:color w:val="000000"/>
                <w:sz w:val="16"/>
              </w:rPr>
              <w:t>(% of revenue)</w:t>
            </w:r>
          </w:p>
        </w:tc>
      </w:tr>
      <w:tr w:rsidR="009534E2">
        <w:tc>
          <w:tcPr>
            <w:tcW w:w="2426" w:type="pct"/>
            <w:tcBorders>
              <w:top w:val="nil"/>
              <w:left w:val="nil"/>
              <w:bottom w:val="nil"/>
              <w:right w:val="nil"/>
              <w:tl2br w:val="nil"/>
              <w:tr2bl w:val="nil"/>
            </w:tcBorders>
            <w:shd w:val="clear" w:color="auto" w:fill="CCEEFF"/>
            <w:vAlign w:val="bottom"/>
          </w:tcPr>
          <w:p w:rsidR="009534E2" w:rsidRDefault="003369EB">
            <w:pPr>
              <w:keepNext/>
              <w:keepLines/>
              <w:rPr>
                <w:rFonts w:asciiTheme="majorHAnsi" w:hAnsiTheme="majorHAnsi" w:cstheme="majorHAnsi"/>
                <w:color w:val="000000"/>
              </w:rPr>
            </w:pPr>
            <w:bookmarkStart w:name="_74178934_d732_40a2_9809_c58764486cd1" w:id="408"/>
            <w:bookmarkEnd w:id="407"/>
            <w:r>
              <w:rPr>
                <w:rFonts w:eastAsia="Times New Roman" w:asciiTheme="majorHAnsi" w:hAnsiTheme="majorHAnsi" w:cstheme="majorHAnsi"/>
                <w:color w:val="000000"/>
              </w:rPr>
              <w:t>Cost of revenue</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(16,494)</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(40.6)</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(18,022)</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(43.8)</w:t>
            </w:r>
          </w:p>
        </w:tc>
      </w:tr>
      <w:tr w:rsidR="009534E2">
        <w:tc>
          <w:tcPr>
            <w:tcW w:w="2426" w:type="pct"/>
            <w:tcBorders>
              <w:top w:val="nil"/>
              <w:left w:val="nil"/>
              <w:bottom w:val="nil"/>
              <w:right w:val="nil"/>
              <w:tl2br w:val="nil"/>
              <w:tr2bl w:val="nil"/>
            </w:tcBorders>
            <w:vAlign w:val="bottom"/>
          </w:tcPr>
          <w:p w:rsidR="009534E2" w:rsidRDefault="003369EB">
            <w:pPr>
              <w:keepNext/>
              <w:keepLines/>
              <w:ind w:left="120"/>
              <w:rPr>
                <w:rFonts w:asciiTheme="majorHAnsi" w:hAnsiTheme="majorHAnsi" w:cstheme="majorHAnsi"/>
                <w:color w:val="000000"/>
              </w:rPr>
            </w:pPr>
            <w:bookmarkStart w:name="_1491c93b_d68d_4062_bc33_1340dfff1bae" w:id="409"/>
            <w:bookmarkEnd w:id="408"/>
            <w:r>
              <w:rPr>
                <w:rFonts w:eastAsia="Times New Roman" w:asciiTheme="majorHAnsi" w:hAnsiTheme="majorHAnsi" w:cstheme="majorHAnsi"/>
                <w:color w:val="000000"/>
              </w:rPr>
              <w:t>Transaction costs</w:t>
            </w:r>
          </w:p>
        </w:tc>
        <w:tc>
          <w:tcPr>
            <w:tcW w:w="100"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(14,777)</w:t>
            </w:r>
          </w:p>
        </w:tc>
        <w:tc>
          <w:tcPr>
            <w:tcW w:w="100"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(36.3)</w:t>
            </w:r>
          </w:p>
        </w:tc>
        <w:tc>
          <w:tcPr>
            <w:tcW w:w="100"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(15,892)</w:t>
            </w:r>
          </w:p>
        </w:tc>
        <w:tc>
          <w:tcPr>
            <w:tcW w:w="100"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(38.6)</w:t>
            </w:r>
          </w:p>
        </w:tc>
      </w:tr>
      <w:tr w:rsidR="009534E2">
        <w:tc>
          <w:tcPr>
            <w:tcW w:w="2426" w:type="pct"/>
            <w:tcBorders>
              <w:top w:val="nil"/>
              <w:left w:val="nil"/>
              <w:bottom w:val="nil"/>
              <w:right w:val="nil"/>
              <w:tl2br w:val="nil"/>
              <w:tr2bl w:val="nil"/>
            </w:tcBorders>
            <w:shd w:val="clear" w:color="auto" w:fill="CCEEFF"/>
            <w:vAlign w:val="bottom"/>
          </w:tcPr>
          <w:p w:rsidR="009534E2" w:rsidRDefault="003369EB">
            <w:pPr>
              <w:keepNext/>
              <w:keepLines/>
              <w:ind w:left="120"/>
              <w:rPr>
                <w:rFonts w:asciiTheme="majorHAnsi" w:hAnsiTheme="majorHAnsi" w:cstheme="majorHAnsi"/>
                <w:color w:val="000000"/>
              </w:rPr>
            </w:pPr>
            <w:bookmarkStart w:name="_e07e78fd_3cbb_41b6_90b3_76660382c9a0" w:id="410"/>
            <w:bookmarkEnd w:id="409"/>
            <w:r>
              <w:rPr>
                <w:rFonts w:eastAsia="Times New Roman" w:asciiTheme="majorHAnsi" w:hAnsiTheme="majorHAnsi" w:cstheme="majorHAnsi"/>
                <w:color w:val="000000"/>
              </w:rPr>
              <w:t>Interest expense</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(288)</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(0.7)</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(505)</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(1.2)</w:t>
            </w:r>
          </w:p>
        </w:tc>
      </w:tr>
      <w:tr w:rsidR="009534E2">
        <w:tc>
          <w:tcPr>
            <w:tcW w:w="2426" w:type="pct"/>
            <w:tcBorders>
              <w:top w:val="nil"/>
              <w:left w:val="nil"/>
              <w:bottom w:val="nil"/>
              <w:right w:val="nil"/>
              <w:tl2br w:val="nil"/>
              <w:tr2bl w:val="nil"/>
            </w:tcBorders>
            <w:vAlign w:val="bottom"/>
          </w:tcPr>
          <w:p w:rsidR="009534E2" w:rsidRDefault="003369EB">
            <w:pPr>
              <w:keepNext/>
              <w:keepLines/>
              <w:ind w:left="120"/>
              <w:rPr>
                <w:rFonts w:asciiTheme="majorHAnsi" w:hAnsiTheme="majorHAnsi" w:cstheme="majorHAnsi"/>
                <w:color w:val="000000"/>
              </w:rPr>
            </w:pPr>
            <w:bookmarkStart w:name="_234cebd2_ba0a_4423_b22d_5a26842f741d" w:id="411"/>
            <w:bookmarkEnd w:id="410"/>
            <w:r>
              <w:rPr>
                <w:rFonts w:eastAsia="Times New Roman" w:asciiTheme="majorHAnsi" w:hAnsiTheme="majorHAnsi" w:cstheme="majorHAnsi"/>
                <w:color w:val="000000"/>
              </w:rPr>
              <w:t>Other expenses</w:t>
            </w:r>
          </w:p>
        </w:tc>
        <w:tc>
          <w:tcPr>
            <w:tcW w:w="100"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(1,429)</w:t>
            </w:r>
          </w:p>
        </w:tc>
        <w:tc>
          <w:tcPr>
            <w:tcW w:w="100"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(3.5)</w:t>
            </w:r>
          </w:p>
        </w:tc>
        <w:tc>
          <w:tcPr>
            <w:tcW w:w="100"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(1,625)</w:t>
            </w:r>
          </w:p>
        </w:tc>
        <w:tc>
          <w:tcPr>
            <w:tcW w:w="100"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(4.0)</w:t>
            </w:r>
          </w:p>
        </w:tc>
      </w:tr>
      <w:tr w:rsidR="009534E2">
        <w:tc>
          <w:tcPr>
            <w:tcW w:w="2426" w:type="pct"/>
            <w:tcBorders>
              <w:top w:val="nil"/>
              <w:left w:val="nil"/>
              <w:bottom w:val="nil"/>
              <w:right w:val="nil"/>
              <w:tl2br w:val="nil"/>
              <w:tr2bl w:val="nil"/>
            </w:tcBorders>
            <w:shd w:val="clear" w:color="auto" w:fill="CCEEFF"/>
            <w:vAlign w:val="bottom"/>
          </w:tcPr>
          <w:p w:rsidR="009534E2" w:rsidRDefault="003369EB">
            <w:pPr>
              <w:keepNext/>
              <w:keepLines/>
              <w:rPr>
                <w:rFonts w:asciiTheme="majorHAnsi" w:hAnsiTheme="majorHAnsi" w:cstheme="majorHAnsi"/>
                <w:color w:val="000000"/>
              </w:rPr>
            </w:pPr>
            <w:bookmarkStart w:name="_97b8e1e2_5b33_44f8_aa3e_1f846adea2ee" w:id="412"/>
            <w:bookmarkEnd w:id="411"/>
            <w:r>
              <w:rPr>
                <w:rFonts w:eastAsia="Times New Roman" w:asciiTheme="majorHAnsi" w:hAnsiTheme="majorHAnsi" w:cstheme="majorHAnsi"/>
                <w:color w:val="000000"/>
              </w:rPr>
              <w:t>Selling, general and administrative expenses</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(2,733)</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(6.7)</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(3,228)</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(7.8)</w:t>
            </w:r>
          </w:p>
        </w:tc>
      </w:tr>
      <w:tr w:rsidR="009534E2">
        <w:tc>
          <w:tcPr>
            <w:tcW w:w="2426" w:type="pct"/>
            <w:tcBorders>
              <w:top w:val="nil"/>
              <w:left w:val="nil"/>
              <w:bottom w:val="nil"/>
              <w:right w:val="nil"/>
              <w:tl2br w:val="nil"/>
              <w:tr2bl w:val="nil"/>
            </w:tcBorders>
            <w:vAlign w:val="bottom"/>
          </w:tcPr>
          <w:p w:rsidR="009534E2" w:rsidRDefault="003369EB">
            <w:pPr>
              <w:keepNext/>
              <w:keepLines/>
              <w:rPr>
                <w:rFonts w:asciiTheme="majorHAnsi" w:hAnsiTheme="majorHAnsi" w:cstheme="majorHAnsi"/>
                <w:color w:val="000000"/>
              </w:rPr>
            </w:pPr>
            <w:bookmarkStart w:name="_afccc24b_d4de_4d5c_80e9_bc631b2f08ea" w:id="413"/>
            <w:bookmarkEnd w:id="412"/>
            <w:r>
              <w:rPr>
                <w:rFonts w:eastAsia="Times New Roman" w:asciiTheme="majorHAnsi" w:hAnsiTheme="majorHAnsi" w:cstheme="majorHAnsi"/>
                <w:color w:val="000000"/>
              </w:rPr>
              <w:t>Personnel expenses</w:t>
            </w:r>
          </w:p>
        </w:tc>
        <w:tc>
          <w:tcPr>
            <w:tcW w:w="100"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(6,108)</w:t>
            </w:r>
          </w:p>
        </w:tc>
        <w:tc>
          <w:tcPr>
            <w:tcW w:w="100"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(15.0)</w:t>
            </w:r>
          </w:p>
        </w:tc>
        <w:tc>
          <w:tcPr>
            <w:tcW w:w="100"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(6,390)</w:t>
            </w:r>
          </w:p>
        </w:tc>
        <w:tc>
          <w:tcPr>
            <w:tcW w:w="100"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(15.5)</w:t>
            </w:r>
          </w:p>
        </w:tc>
      </w:tr>
      <w:tr w:rsidR="009534E2">
        <w:tc>
          <w:tcPr>
            <w:tcW w:w="2426" w:type="pct"/>
            <w:tcBorders>
              <w:top w:val="nil"/>
              <w:left w:val="nil"/>
              <w:bottom w:val="nil"/>
              <w:right w:val="nil"/>
              <w:tl2br w:val="nil"/>
              <w:tr2bl w:val="nil"/>
            </w:tcBorders>
            <w:shd w:val="clear" w:color="auto" w:fill="CCEEFF"/>
            <w:vAlign w:val="bottom"/>
          </w:tcPr>
          <w:p w:rsidR="009534E2" w:rsidRDefault="003369EB">
            <w:pPr>
              <w:keepNext/>
              <w:keepLines/>
              <w:rPr>
                <w:rFonts w:asciiTheme="majorHAnsi" w:hAnsiTheme="majorHAnsi" w:cstheme="majorHAnsi"/>
                <w:color w:val="000000"/>
              </w:rPr>
            </w:pPr>
            <w:bookmarkStart w:name="_0c206eb9_0aed_419c_b935_c0a8f6d7ba55" w:id="414"/>
            <w:bookmarkEnd w:id="413"/>
            <w:r>
              <w:rPr>
                <w:rFonts w:eastAsia="Times New Roman" w:asciiTheme="majorHAnsi" w:hAnsiTheme="majorHAnsi" w:cstheme="majorHAnsi"/>
                <w:color w:val="000000"/>
              </w:rPr>
              <w:t>Depreciation and amortization</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(1,101)</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(2.7)</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(1,130)</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543"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xml:space="preserve"> (2.7)</w:t>
            </w:r>
          </w:p>
        </w:tc>
      </w:tr>
    </w:tbl>
    <w:bookmarkEnd w:id="404"/>
    <w:bookmarkEnd w:id="414"/>
    <w:p w:rsidR="009534E2" w:rsidRDefault="00EC0AE1">
      <w:pPr>
        <w:keepNext/>
        <w:keepLines/>
        <w:tabs>
          <w:tab w:val="left" w:pos="481"/>
        </w:tabs>
        <w:ind w:left="461" w:hanging="461"/>
        <w:rPr>
          <w:rFonts w:eastAsia="Times New Roman" w:asciiTheme="majorHAnsi" w:hAnsiTheme="majorHAnsi" w:cstheme="majorHAnsi"/>
          <w:u w:val="single"/>
        </w:rPr>
      </w:pPr>
      <w:r>
        <w:rPr>
          <w:rFonts w:eastAsia="Times New Roman" w:asciiTheme="majorHAnsi" w:hAnsiTheme="majorHAnsi" w:cstheme="majorHAnsi"/>
          <w:sz w:val="8"/>
          <w:szCs w:val="8"/>
          <w:lang w:eastAsia="ru-RU"/>
        </w:rPr>
        <w:pict w14:anchorId="626B02B6">
          <v:rect id="_x0000_i1042" style="width:135pt;height:1.5pt" o:hr="t" o:hrstd="t" o:hrnoshade="t" o:hrpct="250" fillcolor="black" stroked="f"/>
        </w:pict>
      </w:r>
    </w:p>
    <w:p w:rsidR="009534E2" w:rsidRDefault="003369EB">
      <w:pPr>
        <w:keepNext/>
        <w:keepLines/>
        <w:tabs>
          <w:tab w:val="left" w:pos="481"/>
        </w:tabs>
        <w:spacing w:after="200"/>
        <w:ind w:left="461" w:hanging="461"/>
        <w:rPr>
          <w:rFonts w:eastAsia="Times New Roman" w:asciiTheme="majorHAnsi" w:hAnsiTheme="majorHAnsi" w:cstheme="majorHAnsi"/>
        </w:rPr>
      </w:pPr>
      <w:r>
        <w:rPr>
          <w:rFonts w:eastAsia="Times New Roman" w:asciiTheme="majorHAnsi" w:hAnsiTheme="majorHAnsi" w:cstheme="majorHAnsi"/>
          <w:lang w:val="ru-RU" w:eastAsia="ru-RU"/>
        </w:rPr>
        <w:t>(1)</w:t>
      </w:r>
      <w:r>
        <w:rPr>
          <w:rFonts w:eastAsia="Times New Roman" w:asciiTheme="majorHAnsi" w:hAnsiTheme="majorHAnsi" w:cstheme="majorHAnsi"/>
          <w:lang w:val="ru-RU" w:eastAsia="ru-RU"/>
        </w:rPr>
        <w:tab/>
      </w:r>
      <w:r>
        <w:rPr>
          <w:rFonts w:eastAsia="Times New Roman" w:asciiTheme="majorHAnsi" w:hAnsiTheme="majorHAnsi" w:cstheme="majorHAnsi"/>
          <w:lang w:eastAsia="ru-RU"/>
        </w:rPr>
        <w:t>Following the divestiture of SOVEST and the wind-down of Rocketbank, certain amounts have been reclassified to Discontinued operations in order to conform to the current period’s presentation.</w:t>
      </w:r>
    </w:p>
    <w:p w:rsidR="009534E2" w:rsidRDefault="003369EB">
      <w:pPr>
        <w:keepNext/>
        <w:keepLines/>
        <w:spacing w:after="200"/>
        <w:ind w:left="461"/>
        <w:rPr>
          <w:rFonts w:eastAsia="Times New Roman" w:asciiTheme="majorHAnsi" w:hAnsiTheme="majorHAnsi" w:cstheme="majorHAnsi"/>
          <w:sz w:val="24"/>
          <w:szCs w:val="24"/>
        </w:rPr>
      </w:pPr>
      <w:r>
        <w:rPr>
          <w:rFonts w:eastAsia="Times New Roman" w:asciiTheme="majorHAnsi" w:hAnsiTheme="majorHAnsi" w:cstheme="majorHAnsi"/>
          <w:i/>
          <w:iCs/>
          <w:lang w:eastAsia="ru-RU"/>
        </w:rPr>
        <w:t>Cost of revenue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Cost of revenue for the year ended December 31, 2021, was RUB 18,022 million, an increase of 9%, or RUB 1,528 million, compared to the same period of 2020. Transaction costs, which primarily include different types of payment processing commissions that are charged by third party agents and providers, including banks and payment systems, increased by 8% or RUB 1,115 million from RUB 14,777 million to RUB 15,892 million for the year ended December 31, 2021, as compared to the same period in 2020 primarily due to Payment Services segment payment volumes increasing by 7.3% year-over-year due to factors described above in </w:t>
      </w:r>
      <w:r>
        <w:rPr>
          <w:rFonts w:eastAsia="Times New Roman" w:asciiTheme="majorHAnsi" w:hAnsiTheme="majorHAnsi" w:cstheme="majorHAnsi"/>
          <w:i/>
          <w:lang w:eastAsia="ru-RU"/>
        </w:rPr>
        <w:t>Revenue</w:t>
      </w:r>
      <w:r>
        <w:rPr>
          <w:rFonts w:eastAsia="Times New Roman" w:asciiTheme="majorHAnsi" w:hAnsiTheme="majorHAnsi" w:cstheme="majorHAnsi"/>
          <w:lang w:eastAsia="ru-RU"/>
        </w:rPr>
        <w:t>.</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Interest expense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Interest expenses for the year ended December 31, 2021 were RUB 505 million, an increase of 75%, or RUB 217 million, compared to the same period in 2020, primarily, due to interest expenses on our debt that was issued in the second half of 2020.</w:t>
      </w:r>
    </w:p>
    <w:p w:rsidR="009534E2" w:rsidRDefault="003369EB">
      <w:pPr>
        <w:keepNext/>
        <w:keepLines/>
        <w:spacing w:after="200"/>
        <w:ind w:firstLine="461"/>
        <w:rPr>
          <w:rFonts w:eastAsia="Times New Roman" w:asciiTheme="majorHAnsi" w:hAnsiTheme="majorHAnsi" w:cstheme="majorHAnsi"/>
        </w:rPr>
      </w:pPr>
      <w:r>
        <w:rPr>
          <w:rFonts w:eastAsia="Times New Roman" w:asciiTheme="majorHAnsi" w:hAnsiTheme="majorHAnsi" w:cstheme="majorHAnsi"/>
          <w:i/>
          <w:lang w:eastAsia="ru-RU"/>
        </w:rPr>
        <w:t>Other expenses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Other expenses for the year ended December 31, 2021 stood at RUB 1,625 million, an increase of 14%, or RUB 196 million, compared to the same period of 2020 primarily due to further development of Flocktory and ROWI projects.</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Segment Net Revenue</w:t>
      </w:r>
    </w:p>
    <w:p w:rsidR="009534E2" w:rsidRDefault="003369EB">
      <w:pPr>
        <w:keepNext/>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 following table presents net revenue by reportable segment </w:t>
      </w:r>
      <w:r>
        <w:rPr>
          <w:rFonts w:eastAsia="Times New Roman" w:asciiTheme="majorHAnsi" w:hAnsiTheme="majorHAnsi" w:cstheme="majorHAnsi"/>
          <w:i/>
          <w:iCs/>
          <w:lang w:eastAsia="ru-RU"/>
        </w:rPr>
        <w:t>(see Item 4B</w:t>
      </w:r>
      <w:r>
        <w:rPr>
          <w:rFonts w:eastAsia="Times New Roman" w:asciiTheme="majorHAnsi" w:hAnsiTheme="majorHAnsi" w:cstheme="majorHAnsi"/>
          <w:i/>
          <w:lang w:eastAsia="ru-RU"/>
        </w:rPr>
        <w:t xml:space="preserve"> </w:t>
      </w:r>
      <w:r>
        <w:rPr>
          <w:rFonts w:eastAsia="Times New Roman" w:asciiTheme="majorHAnsi" w:hAnsiTheme="majorHAnsi" w:cstheme="majorHAnsi"/>
          <w:iCs/>
          <w:lang w:eastAsia="ru-RU"/>
        </w:rPr>
        <w:t>“</w:t>
      </w:r>
      <w:r>
        <w:rPr>
          <w:rFonts w:eastAsia="Times New Roman" w:asciiTheme="majorHAnsi" w:hAnsiTheme="majorHAnsi" w:cstheme="majorHAnsi"/>
          <w:i/>
          <w:lang w:eastAsia="ru-RU"/>
        </w:rPr>
        <w:t>Business Overview</w:t>
      </w:r>
      <w:r>
        <w:rPr>
          <w:rFonts w:eastAsia="Times New Roman" w:asciiTheme="majorHAnsi" w:hAnsiTheme="majorHAnsi" w:cstheme="majorHAnsi"/>
          <w:iCs/>
          <w:lang w:eastAsia="ru-RU"/>
        </w:rPr>
        <w:t>” for more information about our reportable segments</w:t>
      </w:r>
      <w:r>
        <w:rPr>
          <w:rFonts w:eastAsia="Times New Roman" w:asciiTheme="majorHAnsi" w:hAnsiTheme="majorHAnsi" w:cstheme="majorHAnsi"/>
          <w:i/>
          <w:lang w:eastAsia="ru-RU"/>
        </w:rPr>
        <w:t>)</w:t>
      </w:r>
      <w:r>
        <w:rPr>
          <w:rFonts w:eastAsia="Times New Roman" w:asciiTheme="majorHAnsi" w:hAnsiTheme="majorHAnsi" w:cstheme="majorHAnsi"/>
          <w:lang w:eastAsia="ru-RU"/>
        </w:rPr>
        <w:t xml:space="preserve"> for the periods indicated:</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038"/>
        <w:gridCol w:w="299"/>
        <w:gridCol w:w="1623"/>
        <w:gridCol w:w="298"/>
        <w:gridCol w:w="1622"/>
        <w:gridCol w:w="298"/>
        <w:gridCol w:w="1622"/>
      </w:tblGrid>
      <w:tr w:rsidR="009534E2">
        <w:trPr>
          <w:trHeight w:val="20" w:hRule="exact"/>
          <w:jc w:val="center"/>
        </w:trPr>
        <w:tc>
          <w:tcPr>
            <w:tcW w:w="2332"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13299cbd_a2f4_494f_8ff3_ed9d7240a3c4" w:id="415"/>
            <w:bookmarkStart w:name="_70360a5c_f0ed_4bac_bede_a17a8de64636" w:colFirst="0" w:colLast="0" w:id="416"/>
            <w:bookmarkStart w:name="_4dd5b332_4505_423e_8504_85af2433277e" w:colFirst="1" w:colLast="1" w:id="417"/>
            <w:bookmarkStart w:name="_7da7fd44_2855_4eb2_895b_1e0c13695547" w:colFirst="2" w:colLast="2" w:id="418"/>
            <w:bookmarkStart w:name="_68bb6c6e_5d5b_4553_a904_6c9426e1ca4b" w:colFirst="3" w:colLast="3" w:id="419"/>
            <w:bookmarkStart w:name="_0f7bb4de_8f0d_457f_be7b_02402cd347bd" w:colFirst="4" w:colLast="4" w:id="420"/>
            <w:bookmarkStart w:name="_93898ca6_0d44_44fd_a56d_38beb1e25dcc" w:colFirst="5" w:colLast="5" w:id="421"/>
            <w:bookmarkStart w:name="_5799f98b_bd37_4178_82aa_255edc078fca" w:colFirst="6" w:colLast="6" w:id="422"/>
            <w:bookmarkStart w:name="_f91708ee_346f_4dfb_91f9_e0f75345634a" w:id="423"/>
            <w:bookmarkEnd w:id="415"/>
          </w:p>
        </w:tc>
        <w:tc>
          <w:tcPr>
            <w:tcW w:w="13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5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3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5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3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5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23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e46e4092_d39a_42a5_b176_c76acf73e092" w:id="424"/>
            <w:bookmarkEnd w:id="416"/>
            <w:bookmarkEnd w:id="417"/>
            <w:bookmarkEnd w:id="418"/>
            <w:bookmarkEnd w:id="419"/>
            <w:bookmarkEnd w:id="420"/>
            <w:bookmarkEnd w:id="421"/>
            <w:bookmarkEnd w:id="422"/>
          </w:p>
        </w:tc>
        <w:tc>
          <w:tcPr>
            <w:tcW w:w="138"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rPr>
            </w:pPr>
          </w:p>
        </w:tc>
        <w:tc>
          <w:tcPr>
            <w:tcW w:w="2529" w:type="pct"/>
            <w:gridSpan w:val="5"/>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Year ended December 31,</w:t>
            </w:r>
          </w:p>
        </w:tc>
      </w:tr>
      <w:tr w:rsidR="009534E2">
        <w:trPr>
          <w:jc w:val="center"/>
        </w:trPr>
        <w:tc>
          <w:tcPr>
            <w:tcW w:w="23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e67a8326_faef_4184_9790_97775bd9b7c1" w:id="425"/>
            <w:bookmarkEnd w:id="424"/>
          </w:p>
        </w:tc>
        <w:tc>
          <w:tcPr>
            <w:tcW w:w="13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75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2019</w:t>
            </w:r>
          </w:p>
        </w:tc>
        <w:tc>
          <w:tcPr>
            <w:tcW w:w="13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75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3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75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r>
      <w:tr w:rsidR="009534E2">
        <w:trPr>
          <w:jc w:val="center"/>
        </w:trPr>
        <w:tc>
          <w:tcPr>
            <w:tcW w:w="23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dd6e8d66_d675_4cc8_9261_e2a633daa390" w:id="426"/>
            <w:bookmarkEnd w:id="425"/>
          </w:p>
        </w:tc>
        <w:tc>
          <w:tcPr>
            <w:tcW w:w="138"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rPr>
            </w:pPr>
          </w:p>
        </w:tc>
        <w:tc>
          <w:tcPr>
            <w:tcW w:w="751"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c>
          <w:tcPr>
            <w:tcW w:w="138"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rPr>
            </w:pPr>
          </w:p>
        </w:tc>
        <w:tc>
          <w:tcPr>
            <w:tcW w:w="751"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c>
          <w:tcPr>
            <w:tcW w:w="138"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rPr>
            </w:pPr>
          </w:p>
        </w:tc>
        <w:tc>
          <w:tcPr>
            <w:tcW w:w="751"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r>
      <w:tr w:rsidR="009534E2">
        <w:trPr>
          <w:jc w:val="center"/>
        </w:trPr>
        <w:tc>
          <w:tcPr>
            <w:tcW w:w="23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6f115444_bdd8_44fa_b963_02b7a833f234" w:id="427"/>
            <w:bookmarkEnd w:id="426"/>
            <w:r>
              <w:rPr>
                <w:rFonts w:eastAsia="Times New Roman" w:asciiTheme="majorHAnsi" w:hAnsiTheme="majorHAnsi" w:cstheme="majorHAnsi"/>
                <w:color w:val="000000"/>
              </w:rPr>
              <w:t>Payment Services</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20,965</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22,637</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21,100</w:t>
            </w:r>
          </w:p>
        </w:tc>
      </w:tr>
      <w:tr w:rsidR="009534E2">
        <w:trPr>
          <w:jc w:val="center"/>
        </w:trPr>
        <w:tc>
          <w:tcPr>
            <w:tcW w:w="2332"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9f92f6d6_e772_42f8_a28e_5c28f1882955" w:id="428"/>
            <w:bookmarkEnd w:id="427"/>
            <w:r>
              <w:rPr>
                <w:rFonts w:eastAsia="Times New Roman" w:asciiTheme="majorHAnsi" w:hAnsiTheme="majorHAnsi" w:cstheme="majorHAnsi"/>
                <w:color w:val="000000"/>
              </w:rPr>
              <w:t>Consumer Financial Services</w:t>
            </w:r>
          </w:p>
        </w:tc>
        <w:tc>
          <w:tcPr>
            <w:tcW w:w="13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1,339</w:t>
            </w:r>
          </w:p>
        </w:tc>
        <w:tc>
          <w:tcPr>
            <w:tcW w:w="13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1,066</w:t>
            </w:r>
          </w:p>
        </w:tc>
        <w:tc>
          <w:tcPr>
            <w:tcW w:w="13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3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758fa6f4_1256_483b_8f7f_b8521f1a2f6b" w:id="429"/>
            <w:bookmarkEnd w:id="428"/>
            <w:r>
              <w:rPr>
                <w:rFonts w:eastAsia="Times New Roman" w:asciiTheme="majorHAnsi" w:hAnsiTheme="majorHAnsi" w:cstheme="majorHAnsi"/>
                <w:color w:val="000000"/>
              </w:rPr>
              <w:t>Rocketbank</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(490)</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548</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332"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e48c6a3e_cfd9_421f_819a_1692ea533110" w:id="430"/>
            <w:bookmarkEnd w:id="429"/>
            <w:r>
              <w:rPr>
                <w:rFonts w:eastAsia="Times New Roman" w:asciiTheme="majorHAnsi" w:hAnsiTheme="majorHAnsi" w:cstheme="majorHAnsi"/>
                <w:color w:val="000000"/>
              </w:rPr>
              <w:t>Corporate and Other</w:t>
            </w:r>
          </w:p>
        </w:tc>
        <w:tc>
          <w:tcPr>
            <w:tcW w:w="13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1,362</w:t>
            </w:r>
          </w:p>
        </w:tc>
        <w:tc>
          <w:tcPr>
            <w:tcW w:w="13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1,727</w:t>
            </w:r>
          </w:p>
        </w:tc>
        <w:tc>
          <w:tcPr>
            <w:tcW w:w="13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2,013</w:t>
            </w:r>
          </w:p>
        </w:tc>
      </w:tr>
      <w:tr w:rsidR="009534E2">
        <w:trPr>
          <w:jc w:val="center"/>
        </w:trPr>
        <w:tc>
          <w:tcPr>
            <w:tcW w:w="233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ec63d2b7_36a3_4d34_90bf_4b154063dfd5" w:id="431"/>
            <w:bookmarkEnd w:id="430"/>
            <w:r>
              <w:rPr>
                <w:rFonts w:eastAsia="Times New Roman" w:asciiTheme="majorHAnsi" w:hAnsiTheme="majorHAnsi" w:cstheme="majorHAnsi"/>
                <w:color w:val="000000"/>
              </w:rPr>
              <w:t>Total Segment Net Revenue (1)</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23,176</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25,978</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23,113</w:t>
            </w:r>
          </w:p>
        </w:tc>
      </w:tr>
    </w:tbl>
    <w:bookmarkEnd w:id="423"/>
    <w:bookmarkEnd w:id="431"/>
    <w:p w:rsidR="009534E2" w:rsidRDefault="00EC0AE1">
      <w:pPr>
        <w:tabs>
          <w:tab w:val="left" w:pos="480"/>
        </w:tabs>
        <w:ind w:left="461" w:hanging="461"/>
        <w:rPr>
          <w:rFonts w:eastAsia="Times New Roman" w:asciiTheme="majorHAnsi" w:hAnsiTheme="majorHAnsi" w:cstheme="majorHAnsi"/>
          <w:u w:val="single"/>
        </w:rPr>
      </w:pPr>
      <w:r>
        <w:rPr>
          <w:rFonts w:eastAsia="Times New Roman" w:asciiTheme="majorHAnsi" w:hAnsiTheme="majorHAnsi" w:cstheme="majorHAnsi"/>
          <w:sz w:val="8"/>
          <w:szCs w:val="8"/>
          <w:lang w:eastAsia="ru-RU"/>
        </w:rPr>
        <w:pict w14:anchorId="3E53E379">
          <v:rect id="_x0000_i1043" style="width:135pt;height:1.5pt" o:hr="t" o:hrstd="t" o:hrnoshade="t" o:hrpct="250" fillcolor="black" stroked="f"/>
        </w:pict>
      </w:r>
    </w:p>
    <w:p w:rsidR="009534E2" w:rsidRDefault="003369EB">
      <w:pPr>
        <w:tabs>
          <w:tab w:val="left" w:pos="480"/>
        </w:tabs>
        <w:spacing w:after="200"/>
        <w:ind w:left="461" w:hanging="461"/>
        <w:rPr>
          <w:rFonts w:eastAsia="Times New Roman" w:asciiTheme="majorHAnsi" w:hAnsiTheme="majorHAnsi" w:cstheme="majorHAnsi"/>
        </w:rPr>
      </w:pPr>
      <w:r>
        <w:rPr>
          <w:rFonts w:eastAsia="Times New Roman" w:asciiTheme="majorHAnsi" w:hAnsiTheme="majorHAnsi" w:cstheme="majorHAnsi"/>
          <w:lang w:val="ru-RU" w:eastAsia="ru-RU"/>
        </w:rPr>
        <w:t>(1)</w:t>
      </w:r>
      <w:r>
        <w:rPr>
          <w:rFonts w:eastAsia="Times New Roman" w:asciiTheme="majorHAnsi" w:hAnsiTheme="majorHAnsi" w:cstheme="majorHAnsi"/>
          <w:lang w:val="ru-RU" w:eastAsia="ru-RU"/>
        </w:rPr>
        <w:tab/>
      </w:r>
      <w:r>
        <w:rPr>
          <w:rFonts w:eastAsia="Times New Roman" w:asciiTheme="majorHAnsi" w:hAnsiTheme="majorHAnsi" w:cstheme="majorHAnsi"/>
          <w:color w:val="000000"/>
          <w:lang w:eastAsia="ru-RU"/>
        </w:rPr>
        <w:t>For the periods indicated above Total Segment Net Revenue is equal to Total Net Revenue. See “</w:t>
      </w:r>
      <w:r>
        <w:rPr>
          <w:rFonts w:eastAsia="Times New Roman" w:asciiTheme="majorHAnsi" w:hAnsiTheme="majorHAnsi" w:cstheme="majorHAnsi"/>
          <w:bCs/>
          <w:i/>
          <w:iCs/>
          <w:color w:val="000000"/>
          <w:lang w:eastAsia="ru-RU"/>
        </w:rPr>
        <w:t xml:space="preserve">Operating Results </w:t>
      </w:r>
      <w:r>
        <w:rPr>
          <w:rFonts w:eastAsia="Times New Roman" w:asciiTheme="majorHAnsi" w:hAnsiTheme="majorHAnsi" w:cstheme="majorHAnsi"/>
          <w:i/>
          <w:iCs/>
          <w:color w:val="000000"/>
          <w:lang w:eastAsia="ru-RU"/>
        </w:rPr>
        <w:t xml:space="preserve">— </w:t>
      </w:r>
      <w:r>
        <w:rPr>
          <w:rFonts w:eastAsia="Times New Roman" w:asciiTheme="majorHAnsi" w:hAnsiTheme="majorHAnsi" w:cstheme="majorHAnsi"/>
          <w:bCs/>
          <w:i/>
          <w:iCs/>
          <w:color w:val="000000"/>
          <w:lang w:eastAsia="ru-RU"/>
        </w:rPr>
        <w:t xml:space="preserve">Key Measures of Financial and Operational Performance </w:t>
      </w:r>
      <w:r>
        <w:rPr>
          <w:rFonts w:eastAsia="Times New Roman" w:asciiTheme="majorHAnsi" w:hAnsiTheme="majorHAnsi" w:cstheme="majorHAnsi"/>
          <w:i/>
          <w:iCs/>
          <w:color w:val="000000"/>
          <w:lang w:eastAsia="ru-RU"/>
        </w:rPr>
        <w:t>— Financial Measures</w:t>
      </w:r>
      <w:r>
        <w:rPr>
          <w:rFonts w:eastAsia="Times New Roman" w:asciiTheme="majorHAnsi" w:hAnsiTheme="majorHAnsi" w:cstheme="majorHAnsi"/>
          <w:color w:val="000000"/>
          <w:lang w:eastAsia="ru-RU"/>
        </w:rPr>
        <w:t>” for how we define and calculate Total Net Revenue, Adjusted EBITDA, and Adjusted Net Profit as non-IFRS financial measures and reconciliations of these measures to revenue, in the case of Total Net Revenue, and net profit, in the case of Adjusted EBITDA and Adjusted Net Profit.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Segment net revenue attributable to the Payment Services segment decreased by RUB 1,537 million, or 7%, in 2021 compared to the same period of 2020 mainly driven by the decline in average payment net revenue yield (for reasons described above in </w:t>
      </w:r>
      <w:r>
        <w:rPr>
          <w:rFonts w:eastAsia="Times New Roman" w:asciiTheme="majorHAnsi" w:hAnsiTheme="majorHAnsi" w:cstheme="majorHAnsi"/>
          <w:i/>
          <w:lang w:eastAsia="ru-RU"/>
        </w:rPr>
        <w:t>Revenue</w:t>
      </w:r>
      <w:r>
        <w:rPr>
          <w:rFonts w:eastAsia="Times New Roman" w:asciiTheme="majorHAnsi" w:hAnsiTheme="majorHAnsi" w:cstheme="majorHAnsi"/>
          <w:lang w:eastAsia="ru-RU"/>
        </w:rPr>
        <w:t>) partially offset by growth of payment volumes by 7.3% (described earlier in comments with respect to Revenue dynamics) and increase of Payment Services other net revenue. Interest revenue increased by 19% or by RUB 347 million compared to 2020. The growth was primarily related to the increase of the debt securities portfolio as well as growth of interest rates on the debt market. Fees from inactive accounts and unclaimed payments decreased by 9%, or RUB 181 million compared to 2020. Other revenue net increased by 95% or by RUB 166 million compared to 2020. Payment Services segment net revenue accounted for 91.3% of Total Segment Net Revenue in 2021.</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Net revenues attributable to the Corporate and Other category increased by RUB 286 million, or 17%, in 2021 compared to the same period in 2020. The growth in the Corporate and Other category net revenue was primarily driven by the increase in interest revenue due to growth of ROWI project portfolio. Corporate and Other category net revenue accounted for 8.7% of Total Net Revenue in 2021.</w:t>
      </w:r>
    </w:p>
    <w:p w:rsidR="009534E2" w:rsidRDefault="003369EB">
      <w:pPr>
        <w:keepNext/>
        <w:spacing w:after="200"/>
        <w:ind w:firstLine="461"/>
        <w:rPr>
          <w:rFonts w:eastAsia="Times New Roman" w:asciiTheme="majorHAnsi" w:hAnsiTheme="majorHAnsi" w:cstheme="majorHAnsi"/>
          <w:iCs/>
        </w:rPr>
      </w:pPr>
      <w:r>
        <w:rPr>
          <w:rFonts w:eastAsia="Times New Roman" w:asciiTheme="majorHAnsi" w:hAnsiTheme="majorHAnsi" w:cstheme="majorHAnsi"/>
          <w:i/>
          <w:iCs/>
          <w:lang w:eastAsia="ru-RU"/>
        </w:rPr>
        <w:t>Selling, general and administrative expenses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Selling, general and administrative expenses for the year ended December 31, 2021 were RUB 3,228 million, an increase of 18%, or RUB 495 million, as compared to the same period in 2020. The increase was primarily a result of higher costs on information and consulting services, and representative and travelling expenses. Information and consulting expenses increased mainly due to (i) advisory services for market research while reviewing company’s strategy, (ii) more expensive insurance of liabilities of Directors and Officers and (iii) additional legal services related to potential M&amp;A activities. Representative and travelling expenses increase year-over-year due to a weakening quarantine limits and increase of various business activities. Changes in other items of administrative expenses are individually insignificant.</w:t>
      </w:r>
    </w:p>
    <w:p w:rsidR="009534E2" w:rsidRDefault="003369EB">
      <w:pPr>
        <w:keepNext/>
        <w:keepLines/>
        <w:spacing w:after="200"/>
        <w:ind w:firstLine="461"/>
        <w:rPr>
          <w:rFonts w:eastAsia="Times New Roman" w:asciiTheme="majorHAnsi" w:hAnsiTheme="majorHAnsi" w:cstheme="majorHAnsi"/>
          <w:iCs/>
        </w:rPr>
      </w:pPr>
      <w:r>
        <w:rPr>
          <w:rFonts w:eastAsia="Times New Roman" w:asciiTheme="majorHAnsi" w:hAnsiTheme="majorHAnsi" w:cstheme="majorHAnsi"/>
          <w:i/>
          <w:iCs/>
          <w:lang w:eastAsia="ru-RU"/>
        </w:rPr>
        <w:t>Personnel expenses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Personnel expenses for the year ended December 31, 2021 were RUB 6,390 million, an increase of 5%, or RUB 282 million, as compared to the same period in 2020. Increase in personnel expenses year over year was driven by a combination of (i) hiring of new employees, and (ii) indexation of existing employees salaries.</w:t>
      </w:r>
    </w:p>
    <w:p w:rsidR="009534E2" w:rsidRDefault="003369EB">
      <w:pPr>
        <w:keepNext/>
        <w:keepLines/>
        <w:spacing w:after="200"/>
        <w:ind w:firstLine="461"/>
        <w:rPr>
          <w:rFonts w:eastAsia="Times New Roman" w:asciiTheme="majorHAnsi" w:hAnsiTheme="majorHAnsi" w:cstheme="majorHAnsi"/>
          <w:sz w:val="24"/>
          <w:szCs w:val="24"/>
        </w:rPr>
      </w:pPr>
      <w:r>
        <w:rPr>
          <w:rFonts w:eastAsia="Times New Roman" w:asciiTheme="majorHAnsi" w:hAnsiTheme="majorHAnsi" w:cstheme="majorHAnsi"/>
          <w:i/>
          <w:iCs/>
          <w:lang w:eastAsia="ru-RU"/>
        </w:rPr>
        <w:t>Depreciation and amortization</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Depreciation for the year ended December 31, 2021 amounted to RUB 1,130 million, an increase of 3% or RUB 29 million compared to the same period in 2020.</w:t>
      </w:r>
    </w:p>
    <w:p w:rsidR="009534E2" w:rsidRDefault="003369EB">
      <w:pPr>
        <w:keepNext/>
        <w:keepLines/>
        <w:spacing w:after="200"/>
        <w:ind w:firstLine="461"/>
        <w:rPr>
          <w:rFonts w:eastAsia="Times New Roman" w:asciiTheme="majorHAnsi" w:hAnsiTheme="majorHAnsi" w:cstheme="majorHAnsi"/>
          <w:iCs/>
        </w:rPr>
      </w:pPr>
      <w:r>
        <w:rPr>
          <w:rFonts w:eastAsia="Times New Roman" w:asciiTheme="majorHAnsi" w:hAnsiTheme="majorHAnsi" w:cstheme="majorHAnsi"/>
          <w:i/>
          <w:iCs/>
          <w:lang w:eastAsia="ru-RU"/>
        </w:rPr>
        <w:t>Credit loss (expenses)/income</w:t>
      </w:r>
    </w:p>
    <w:p w:rsidR="009534E2" w:rsidRDefault="003369EB">
      <w:pPr>
        <w:spacing w:after="200"/>
        <w:ind w:firstLine="461"/>
        <w:rPr>
          <w:rFonts w:eastAsia="Times New Roman" w:asciiTheme="majorHAnsi" w:hAnsiTheme="majorHAnsi" w:cstheme="majorHAnsi"/>
          <w:iCs/>
        </w:rPr>
      </w:pPr>
      <w:r>
        <w:rPr>
          <w:rFonts w:eastAsia="Times New Roman" w:asciiTheme="majorHAnsi" w:hAnsiTheme="majorHAnsi" w:cstheme="majorHAnsi"/>
          <w:lang w:eastAsia="ru-RU"/>
        </w:rPr>
        <w:t>Credit loss expense for the year ended December 31, 2021 was RUB 336 million, an increase of RUB 246 million, compared to credit loss expense of RUB 90 million for the same period in 2020. The increase was predominantly related to further development of ROWI project with growth of its credit portfolio.</w:t>
      </w:r>
    </w:p>
    <w:p w:rsidR="009534E2" w:rsidRDefault="003369EB">
      <w:pPr>
        <w:keepNext/>
        <w:keepLines/>
        <w:spacing w:after="200"/>
        <w:ind w:firstLine="461"/>
        <w:rPr>
          <w:rFonts w:eastAsia="Times New Roman" w:asciiTheme="majorHAnsi" w:hAnsiTheme="majorHAnsi" w:cstheme="majorHAnsi"/>
          <w:iCs/>
        </w:rPr>
      </w:pPr>
      <w:r>
        <w:rPr>
          <w:rFonts w:eastAsia="Times New Roman" w:asciiTheme="majorHAnsi" w:hAnsiTheme="majorHAnsi" w:cstheme="majorHAnsi"/>
          <w:i/>
          <w:iCs/>
          <w:lang w:eastAsia="ru-RU"/>
        </w:rPr>
        <w:t>Impairment of non-current assets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Impairment of non-current assets for the year ended December 31, 2021 was RUB 24 million, a decrease of 25%, or RUB 8 million, compared to the same period in 2020. This item represents the impairment of assets related to a number of Group’s venture projects. The Group did not recognize any significant impairment neither in 2020 nor in 2021.</w:t>
      </w:r>
    </w:p>
    <w:p w:rsidR="009534E2" w:rsidRDefault="003369EB">
      <w:pPr>
        <w:keepNext/>
        <w:keepLines/>
        <w:spacing w:after="200"/>
        <w:ind w:firstLine="461"/>
        <w:rPr>
          <w:rFonts w:eastAsia="Times New Roman" w:asciiTheme="majorHAnsi" w:hAnsiTheme="majorHAnsi" w:cstheme="majorHAnsi"/>
          <w:iCs/>
        </w:rPr>
      </w:pPr>
      <w:r>
        <w:rPr>
          <w:rFonts w:eastAsia="Times New Roman" w:asciiTheme="majorHAnsi" w:hAnsiTheme="majorHAnsi" w:cstheme="majorHAnsi"/>
          <w:i/>
          <w:iCs/>
          <w:lang w:eastAsia="ru-RU"/>
        </w:rPr>
        <w:t>Gain on disposal of an associate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In the third quarter of 2021, the Group completed a sale of its 40% stake (45% economic interest) in the capital of its Tochka associate </w:t>
      </w:r>
      <w:r>
        <w:rPr>
          <w:rFonts w:eastAsia="Times New Roman" w:asciiTheme="majorHAnsi" w:hAnsiTheme="majorHAnsi" w:cstheme="majorHAnsi"/>
          <w:i/>
          <w:iCs/>
          <w:lang w:eastAsia="ru-RU"/>
        </w:rPr>
        <w:t>(</w:t>
      </w:r>
      <w:r>
        <w:rPr>
          <w:rFonts w:eastAsia="Times New Roman" w:asciiTheme="majorHAnsi" w:hAnsiTheme="majorHAnsi" w:cstheme="majorHAnsi"/>
          <w:lang w:eastAsia="ru-RU"/>
        </w:rPr>
        <w:t>see Item 10C</w:t>
      </w:r>
      <w:r>
        <w:rPr>
          <w:rFonts w:eastAsia="Times New Roman" w:asciiTheme="majorHAnsi" w:hAnsiTheme="majorHAnsi" w:cstheme="majorHAnsi"/>
          <w:i/>
          <w:iCs/>
          <w:lang w:eastAsia="ru-RU"/>
        </w:rPr>
        <w:t xml:space="preserve"> “Material Contracts, - “Agreement for the transfer the ownership of the of shares related to the project Tochka)</w:t>
      </w:r>
      <w:r>
        <w:rPr>
          <w:rFonts w:eastAsia="Times New Roman" w:asciiTheme="majorHAnsi" w:hAnsiTheme="majorHAnsi" w:cstheme="majorHAnsi"/>
          <w:lang w:eastAsia="ru-RU"/>
        </w:rPr>
        <w:t xml:space="preserve">. Gain on disposal of Tochka associate for the year ended December 31, 2021 was RUB 8,177 million, including (i) base deal amount of RUB 4,947 million, (ii) accrued discounted performance adjustment gain contingent on Tochka’s earnings for the year 2021 in the amount of RUB 4,647 million, (iii) dividends received in 3Q 2021 in the amount of RUB 532 million, and (iv) less carrying amount of disposed investment in the amount of RUB 1,949 million. </w:t>
      </w:r>
    </w:p>
    <w:p w:rsidR="009534E2" w:rsidRDefault="003369EB">
      <w:pPr>
        <w:keepLines/>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consideration for the sale of the stake in Tochka was comprised of a fixed portion and a contingent portion. Dividends paid by Tochka to the Group prior to the sale and the fixed portion of consideration were received during the third quarter of 2021. The contingent portion is expected to be paid in second quarter of 2022. We note that there is a degree of uncertainty regarding the receipt of the contingent portion of the consideration as the buyer decided to approach the Government Commission for approval of such payment. A negative decision of the Commission may postpone or even block the payment and therefore could result in a loss in the amount of up to RUB 4,855 million. See Item 3D</w:t>
      </w:r>
      <w:r>
        <w:rPr>
          <w:rFonts w:eastAsia="Times New Roman" w:asciiTheme="majorHAnsi" w:hAnsiTheme="majorHAnsi" w:cstheme="majorHAnsi"/>
          <w:i/>
          <w:iCs/>
          <w:lang w:eastAsia="ru-RU"/>
        </w:rPr>
        <w:t xml:space="preserve"> “Risk Factors — Risks Related to Our Business and Industry — A decline in the use of cash as a means of payment or a decline in the use of kiosks and terminals may result in a reduced demand for our services”.</w:t>
      </w:r>
    </w:p>
    <w:p w:rsidR="009534E2" w:rsidRDefault="003369EB">
      <w:pPr>
        <w:keepNext/>
        <w:keepLines/>
        <w:spacing w:after="200"/>
        <w:ind w:firstLine="461"/>
        <w:rPr>
          <w:rFonts w:eastAsia="Times New Roman" w:asciiTheme="majorHAnsi" w:hAnsiTheme="majorHAnsi" w:cstheme="majorHAnsi"/>
          <w:iCs/>
        </w:rPr>
      </w:pPr>
      <w:r>
        <w:rPr>
          <w:rFonts w:eastAsia="Times New Roman" w:asciiTheme="majorHAnsi" w:hAnsiTheme="majorHAnsi" w:cstheme="majorHAnsi"/>
          <w:i/>
          <w:iCs/>
          <w:lang w:eastAsia="ru-RU"/>
        </w:rPr>
        <w:t>Share of gain/(loss) of an associate and a joint venture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Share of gain of an associate and a joint venture for the year ended December 31, 2021 was RUB 306 million, a decrease of 54%, or RUB 357 million, compared to the same period in 2020. The gain was primarily related to the income from former equity associate JSC Tochka, and the decrease reflects its sale in the third quarter of 2021.</w:t>
      </w:r>
    </w:p>
    <w:p w:rsidR="009534E2" w:rsidRDefault="003369EB">
      <w:pPr>
        <w:keepNext/>
        <w:keepLines/>
        <w:spacing w:after="200"/>
        <w:ind w:firstLine="461"/>
        <w:rPr>
          <w:rFonts w:eastAsia="Times New Roman" w:asciiTheme="majorHAnsi" w:hAnsiTheme="majorHAnsi" w:cstheme="majorHAnsi"/>
          <w:i/>
          <w:iCs/>
          <w:lang w:eastAsia="ru-RU"/>
        </w:rPr>
      </w:pPr>
      <w:r>
        <w:rPr>
          <w:rFonts w:eastAsia="Times New Roman" w:asciiTheme="majorHAnsi" w:hAnsiTheme="majorHAnsi" w:cstheme="majorHAnsi"/>
          <w:i/>
          <w:iCs/>
          <w:lang w:eastAsia="ru-RU"/>
        </w:rPr>
        <w:t>Foreign exchange gain/(loss), net</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Foreign exchange loss for the year ended December 31, 2021 was RUB 29 million, a decrease of 85%, or RUB 170 million, compared to the same period in 2020. Foreign exchange loss primarily resulted from a revaluation of cash balances, loans issued and guarantee deposits denominated in US dollars that was driven by exchange rate volatility during the year. The main reason for the decrease in foreign exchange loss in 2021 was favorable fluctuation of USD exchange rate in 2021 compared to 2020.</w:t>
      </w:r>
    </w:p>
    <w:p w:rsidR="009534E2" w:rsidRDefault="003369EB">
      <w:pPr>
        <w:keepNext/>
        <w:keepLines/>
        <w:spacing w:after="200"/>
        <w:ind w:firstLine="461"/>
        <w:rPr>
          <w:rFonts w:eastAsia="Times New Roman" w:asciiTheme="majorHAnsi" w:hAnsiTheme="majorHAnsi" w:cstheme="majorHAnsi"/>
          <w:iCs/>
        </w:rPr>
      </w:pPr>
      <w:r>
        <w:rPr>
          <w:rFonts w:eastAsia="Times New Roman" w:asciiTheme="majorHAnsi" w:hAnsiTheme="majorHAnsi" w:cstheme="majorHAnsi"/>
          <w:i/>
          <w:iCs/>
          <w:lang w:eastAsia="ru-RU"/>
        </w:rPr>
        <w:t>Interest income and expenses, net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Interest income and expenses, net for the year ended December 31, 2021 was an income of RUB 92 million, an increase of 235%, or RUB 160 million, compared to the same period in 2020.</w:t>
      </w:r>
    </w:p>
    <w:p w:rsidR="009534E2" w:rsidRDefault="003369EB">
      <w:pPr>
        <w:keepNext/>
        <w:keepLines/>
        <w:spacing w:after="200"/>
        <w:ind w:firstLine="461"/>
        <w:rPr>
          <w:rFonts w:eastAsia="Times New Roman" w:asciiTheme="majorHAnsi" w:hAnsiTheme="majorHAnsi" w:cstheme="majorHAnsi"/>
          <w:iCs/>
        </w:rPr>
      </w:pPr>
      <w:r>
        <w:rPr>
          <w:rFonts w:eastAsia="Times New Roman" w:asciiTheme="majorHAnsi" w:hAnsiTheme="majorHAnsi" w:cstheme="majorHAnsi"/>
          <w:i/>
          <w:iCs/>
          <w:lang w:eastAsia="ru-RU"/>
        </w:rPr>
        <w:t>Other income and expenses, net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Other income, net for the year ended December 31, 2021 was RUB 65 million, compared to other expenses, net of RUB 95 million for the year ended December 31, 2020.</w:t>
      </w:r>
    </w:p>
    <w:p w:rsidR="009534E2" w:rsidRDefault="003369EB">
      <w:pPr>
        <w:keepNext/>
        <w:keepLines/>
        <w:spacing w:after="200"/>
        <w:ind w:firstLine="461"/>
        <w:rPr>
          <w:rFonts w:eastAsia="Times New Roman" w:asciiTheme="majorHAnsi" w:hAnsiTheme="majorHAnsi" w:cstheme="majorHAnsi"/>
          <w:sz w:val="24"/>
          <w:szCs w:val="24"/>
        </w:rPr>
      </w:pPr>
      <w:r>
        <w:rPr>
          <w:rFonts w:eastAsia="Times New Roman" w:asciiTheme="majorHAnsi" w:hAnsiTheme="majorHAnsi" w:cstheme="majorHAnsi"/>
          <w:i/>
          <w:iCs/>
          <w:lang w:eastAsia="ru-RU"/>
        </w:rPr>
        <w:t>Income tax</w:t>
      </w:r>
    </w:p>
    <w:p w:rsidR="009534E2" w:rsidRDefault="003369EB">
      <w:pPr>
        <w:spacing w:after="200"/>
        <w:ind w:firstLine="461"/>
        <w:rPr>
          <w:rFonts w:eastAsia="Times New Roman" w:asciiTheme="majorHAnsi" w:hAnsiTheme="majorHAnsi" w:cstheme="majorHAnsi"/>
          <w:iCs/>
        </w:rPr>
      </w:pPr>
      <w:r>
        <w:rPr>
          <w:rFonts w:eastAsia="Times New Roman" w:asciiTheme="majorHAnsi" w:hAnsiTheme="majorHAnsi" w:cstheme="majorHAnsi"/>
          <w:iCs/>
          <w:lang w:eastAsia="ru-RU"/>
        </w:rPr>
        <w:t>Income tax for the year ended December 31, 2021 amounted to RUB 3,080 million, a decrease of 1%, or RUB 39 million as compared to the same period in 2020. Our effective tax rate in 2021 was 14.9%, a decrease of 6.8 ppts compared to the same period in 2020 resulting from a gain from sale of associate which is non-taxable.</w:t>
      </w:r>
    </w:p>
    <w:p w:rsidR="009534E2" w:rsidRDefault="003369EB">
      <w:pPr>
        <w:keepNext/>
        <w:keepLines/>
        <w:spacing w:after="200"/>
        <w:ind w:firstLine="461"/>
        <w:rPr>
          <w:rFonts w:eastAsia="Times New Roman" w:asciiTheme="majorHAnsi" w:hAnsiTheme="majorHAnsi" w:cstheme="majorHAnsi"/>
          <w:iCs/>
        </w:rPr>
      </w:pPr>
      <w:r>
        <w:rPr>
          <w:rFonts w:eastAsia="Times New Roman" w:asciiTheme="majorHAnsi" w:hAnsiTheme="majorHAnsi" w:cstheme="majorHAnsi"/>
          <w:i/>
          <w:iCs/>
          <w:lang w:eastAsia="ru-RU"/>
        </w:rPr>
        <w:t>Segment Net Profit</w:t>
      </w:r>
    </w:p>
    <w:p w:rsidR="009534E2" w:rsidRDefault="003369EB">
      <w:pPr>
        <w:keepNext/>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following table presents our net profit by reportable segment for the periods indicated:</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038"/>
        <w:gridCol w:w="299"/>
        <w:gridCol w:w="1623"/>
        <w:gridCol w:w="298"/>
        <w:gridCol w:w="1622"/>
        <w:gridCol w:w="298"/>
        <w:gridCol w:w="1622"/>
      </w:tblGrid>
      <w:tr w:rsidR="009534E2">
        <w:trPr>
          <w:trHeight w:val="20" w:hRule="exact"/>
          <w:jc w:val="center"/>
        </w:trPr>
        <w:tc>
          <w:tcPr>
            <w:tcW w:w="2332"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bb648e9c_7da6_4e5c_bca8_8df381246410" w:colFirst="0" w:colLast="0" w:id="432"/>
            <w:bookmarkStart w:name="_894a3353_159c_4667_8d4b_aae5826f0c12" w:colFirst="1" w:colLast="1" w:id="433"/>
            <w:bookmarkStart w:name="_78561dbf_0e31_4f2f_9843_9a73ccf23c76" w:colFirst="2" w:colLast="2" w:id="434"/>
            <w:bookmarkStart w:name="_afd09ef6_f620_4b4b_8a31_86b8fd9fe3d1" w:colFirst="3" w:colLast="3" w:id="435"/>
            <w:bookmarkStart w:name="_3f90b739_a2de_4486_b0fe_f18458e83e8a" w:colFirst="4" w:colLast="4" w:id="436"/>
            <w:bookmarkStart w:name="_a5efc7fb_3d34_441d_a9e3_ff6f01eb97f3" w:colFirst="5" w:colLast="5" w:id="437"/>
            <w:bookmarkStart w:name="_8fe61fb9_7ebb_4c33_b4bd_a35c46b24a1a" w:colFirst="6" w:colLast="6" w:id="438"/>
            <w:bookmarkStart w:name="_85559cef_e306_46f3_9b93_6a7cf2668907" w:id="439"/>
          </w:p>
        </w:tc>
        <w:tc>
          <w:tcPr>
            <w:tcW w:w="13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5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3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5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3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5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23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b69bd12e_ea98_440c_a6c7_fabc8ad04523" w:id="440"/>
            <w:bookmarkEnd w:id="432"/>
            <w:bookmarkEnd w:id="433"/>
            <w:bookmarkEnd w:id="434"/>
            <w:bookmarkEnd w:id="435"/>
            <w:bookmarkEnd w:id="436"/>
            <w:bookmarkEnd w:id="437"/>
            <w:bookmarkEnd w:id="438"/>
          </w:p>
        </w:tc>
        <w:tc>
          <w:tcPr>
            <w:tcW w:w="138"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2529" w:type="pct"/>
            <w:gridSpan w:val="5"/>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Year ended December 31,</w:t>
            </w:r>
          </w:p>
        </w:tc>
      </w:tr>
      <w:tr w:rsidR="009534E2">
        <w:trPr>
          <w:jc w:val="center"/>
        </w:trPr>
        <w:tc>
          <w:tcPr>
            <w:tcW w:w="23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b4d726c4_92d7_47f4_9bd2_3ecc66049dbc" w:id="441"/>
            <w:bookmarkEnd w:id="440"/>
          </w:p>
        </w:tc>
        <w:tc>
          <w:tcPr>
            <w:tcW w:w="138"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75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2019</w:t>
            </w:r>
          </w:p>
        </w:tc>
        <w:tc>
          <w:tcPr>
            <w:tcW w:w="138"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75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38"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75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r>
      <w:tr w:rsidR="009534E2">
        <w:trPr>
          <w:jc w:val="center"/>
        </w:trPr>
        <w:tc>
          <w:tcPr>
            <w:tcW w:w="233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9deda9a0_315b_4ab4_b0c1_2cb7901f683f" w:id="442"/>
            <w:bookmarkEnd w:id="441"/>
          </w:p>
        </w:tc>
        <w:tc>
          <w:tcPr>
            <w:tcW w:w="138"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751"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c>
          <w:tcPr>
            <w:tcW w:w="138"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751"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c>
          <w:tcPr>
            <w:tcW w:w="138"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751"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r>
      <w:tr w:rsidR="009534E2">
        <w:trPr>
          <w:jc w:val="center"/>
        </w:trPr>
        <w:tc>
          <w:tcPr>
            <w:tcW w:w="23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5588efb6_976d_4722_8e1d_b9cad7cad810" w:id="443"/>
            <w:bookmarkEnd w:id="442"/>
            <w:r>
              <w:rPr>
                <w:rFonts w:eastAsia="Times New Roman" w:asciiTheme="majorHAnsi" w:hAnsiTheme="majorHAnsi" w:cstheme="majorHAnsi"/>
                <w:color w:val="000000"/>
              </w:rPr>
              <w:t>Payment Services</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12,105</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12,608</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10,971</w:t>
            </w:r>
          </w:p>
        </w:tc>
      </w:tr>
      <w:tr w:rsidR="009534E2">
        <w:trPr>
          <w:jc w:val="center"/>
        </w:trPr>
        <w:tc>
          <w:tcPr>
            <w:tcW w:w="2332"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173e42bd_d22f_494a_ade0_04463be3fe74" w:id="444"/>
            <w:bookmarkEnd w:id="443"/>
            <w:r>
              <w:rPr>
                <w:rFonts w:eastAsia="Times New Roman" w:asciiTheme="majorHAnsi" w:hAnsiTheme="majorHAnsi" w:cstheme="majorHAnsi"/>
                <w:color w:val="000000"/>
              </w:rPr>
              <w:t>Consumer Financial Services</w:t>
            </w:r>
          </w:p>
        </w:tc>
        <w:tc>
          <w:tcPr>
            <w:tcW w:w="13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(1,981)</w:t>
            </w:r>
          </w:p>
        </w:tc>
        <w:tc>
          <w:tcPr>
            <w:tcW w:w="13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(793)</w:t>
            </w:r>
          </w:p>
        </w:tc>
        <w:tc>
          <w:tcPr>
            <w:tcW w:w="13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332"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46fad941_2a91_4dd7_bd73_dcd171fa17c8" w:id="445"/>
            <w:bookmarkEnd w:id="444"/>
            <w:r>
              <w:rPr>
                <w:rFonts w:eastAsia="Times New Roman" w:asciiTheme="majorHAnsi" w:hAnsiTheme="majorHAnsi" w:cstheme="majorHAnsi"/>
                <w:color w:val="000000"/>
              </w:rPr>
              <w:t>Rocketbank</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(2,317)</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(781)</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332"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052581e7_601c_409f_ad34_c6a925a94b30" w:id="446"/>
            <w:bookmarkEnd w:id="445"/>
            <w:r>
              <w:rPr>
                <w:rFonts w:eastAsia="Times New Roman" w:asciiTheme="majorHAnsi" w:hAnsiTheme="majorHAnsi" w:cstheme="majorHAnsi"/>
                <w:color w:val="000000"/>
              </w:rPr>
              <w:t>Corporate and Other</w:t>
            </w:r>
          </w:p>
        </w:tc>
        <w:tc>
          <w:tcPr>
            <w:tcW w:w="13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(1,128)</w:t>
            </w:r>
          </w:p>
        </w:tc>
        <w:tc>
          <w:tcPr>
            <w:tcW w:w="13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(730)</w:t>
            </w:r>
          </w:p>
        </w:tc>
        <w:tc>
          <w:tcPr>
            <w:tcW w:w="13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(1,377)</w:t>
            </w:r>
          </w:p>
        </w:tc>
      </w:tr>
      <w:tr w:rsidR="009534E2">
        <w:trPr>
          <w:jc w:val="center"/>
        </w:trPr>
        <w:tc>
          <w:tcPr>
            <w:tcW w:w="233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b13e6b8d_a85c_4975_93f3_5eb919dc919a" w:id="447"/>
            <w:bookmarkEnd w:id="446"/>
            <w:r>
              <w:rPr>
                <w:rFonts w:eastAsia="Times New Roman" w:asciiTheme="majorHAnsi" w:hAnsiTheme="majorHAnsi" w:cstheme="majorHAnsi"/>
                <w:color w:val="000000"/>
              </w:rPr>
              <w:t xml:space="preserve">Total Segment Net Profit </w:t>
            </w:r>
            <w:r>
              <w:rPr>
                <w:rFonts w:eastAsia="Times New Roman" w:asciiTheme="majorHAnsi" w:hAnsiTheme="majorHAnsi" w:cstheme="majorHAnsi"/>
                <w:color w:val="000000"/>
                <w:vertAlign w:val="superscript"/>
              </w:rPr>
              <w:t>(1)</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6,679</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10,304</w:t>
            </w:r>
          </w:p>
        </w:tc>
        <w:tc>
          <w:tcPr>
            <w:tcW w:w="13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75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9,594</w:t>
            </w:r>
          </w:p>
        </w:tc>
      </w:tr>
    </w:tbl>
    <w:bookmarkEnd w:id="439"/>
    <w:bookmarkEnd w:id="447"/>
    <w:p w:rsidR="009534E2" w:rsidRDefault="00EC0AE1">
      <w:pPr>
        <w:tabs>
          <w:tab w:val="left" w:pos="479"/>
        </w:tabs>
        <w:ind w:left="461" w:hanging="461"/>
        <w:rPr>
          <w:rFonts w:eastAsia="Times New Roman" w:asciiTheme="majorHAnsi" w:hAnsiTheme="majorHAnsi" w:cstheme="majorHAnsi"/>
          <w:u w:val="single"/>
        </w:rPr>
      </w:pPr>
      <w:r>
        <w:rPr>
          <w:rFonts w:eastAsia="Times New Roman" w:asciiTheme="majorHAnsi" w:hAnsiTheme="majorHAnsi" w:cstheme="majorHAnsi"/>
          <w:sz w:val="8"/>
          <w:szCs w:val="8"/>
          <w:lang w:eastAsia="ru-RU"/>
        </w:rPr>
        <w:pict w14:anchorId="334A6D41">
          <v:rect id="_x0000_i1044" style="width:135pt;height:1.5pt" o:hr="t" o:hrstd="t" o:hrnoshade="t" o:hrpct="250" fillcolor="black" stroked="f"/>
        </w:pict>
      </w:r>
    </w:p>
    <w:p w:rsidR="009534E2" w:rsidRDefault="003369EB">
      <w:pPr>
        <w:tabs>
          <w:tab w:val="left" w:pos="479"/>
        </w:tabs>
        <w:spacing w:after="200"/>
        <w:ind w:left="461" w:hanging="461"/>
        <w:rPr>
          <w:rFonts w:eastAsia="Times New Roman" w:asciiTheme="majorHAnsi" w:hAnsiTheme="majorHAnsi" w:cstheme="majorHAnsi"/>
        </w:rPr>
      </w:pPr>
      <w:r>
        <w:rPr>
          <w:rFonts w:eastAsia="Times New Roman" w:asciiTheme="majorHAnsi" w:hAnsiTheme="majorHAnsi" w:cstheme="majorHAnsi"/>
          <w:lang w:val="ru-RU" w:eastAsia="ru-RU"/>
        </w:rPr>
        <w:t>(</w:t>
      </w:r>
      <w:r>
        <w:rPr>
          <w:rFonts w:eastAsia="Times New Roman" w:asciiTheme="majorHAnsi" w:hAnsiTheme="majorHAnsi" w:cstheme="majorHAnsi"/>
          <w:lang w:eastAsia="ru-RU"/>
        </w:rPr>
        <w:t>1</w:t>
      </w:r>
      <w:r>
        <w:rPr>
          <w:rFonts w:eastAsia="Times New Roman" w:asciiTheme="majorHAnsi" w:hAnsiTheme="majorHAnsi" w:cstheme="majorHAnsi"/>
          <w:lang w:val="ru-RU" w:eastAsia="ru-RU"/>
        </w:rPr>
        <w:t>)</w:t>
      </w:r>
      <w:r>
        <w:rPr>
          <w:rFonts w:eastAsia="Times New Roman" w:asciiTheme="majorHAnsi" w:hAnsiTheme="majorHAnsi" w:cstheme="majorHAnsi"/>
          <w:lang w:val="ru-RU" w:eastAsia="ru-RU"/>
        </w:rPr>
        <w:tab/>
      </w:r>
      <w:r>
        <w:rPr>
          <w:rFonts w:eastAsia="Times New Roman" w:asciiTheme="majorHAnsi" w:hAnsiTheme="majorHAnsi" w:cstheme="majorHAnsi"/>
          <w:lang w:eastAsia="ru-RU"/>
        </w:rPr>
        <w:t>For the periods indicated above Total Segment Net Profit is equal to Total Adjusted Net Profit. See “</w:t>
      </w:r>
      <w:r>
        <w:rPr>
          <w:rFonts w:eastAsia="Times New Roman" w:asciiTheme="majorHAnsi" w:hAnsiTheme="majorHAnsi" w:cstheme="majorHAnsi"/>
          <w:bCs/>
          <w:i/>
          <w:iCs/>
          <w:color w:val="000000"/>
          <w:lang w:eastAsia="ru-RU"/>
        </w:rPr>
        <w:t xml:space="preserve">Operating Results </w:t>
      </w:r>
      <w:r>
        <w:rPr>
          <w:rFonts w:eastAsia="Times New Roman" w:asciiTheme="majorHAnsi" w:hAnsiTheme="majorHAnsi" w:cstheme="majorHAnsi"/>
          <w:i/>
          <w:iCs/>
          <w:color w:val="000000"/>
          <w:lang w:eastAsia="ru-RU"/>
        </w:rPr>
        <w:t xml:space="preserve">— </w:t>
      </w:r>
      <w:r>
        <w:rPr>
          <w:rFonts w:eastAsia="Times New Roman" w:asciiTheme="majorHAnsi" w:hAnsiTheme="majorHAnsi" w:cstheme="majorHAnsi"/>
          <w:bCs/>
          <w:i/>
          <w:iCs/>
          <w:color w:val="000000"/>
          <w:lang w:eastAsia="ru-RU"/>
        </w:rPr>
        <w:t xml:space="preserve">Key Measures of Financial and Operational Performance </w:t>
      </w:r>
      <w:r>
        <w:rPr>
          <w:rFonts w:eastAsia="Times New Roman" w:asciiTheme="majorHAnsi" w:hAnsiTheme="majorHAnsi" w:cstheme="majorHAnsi"/>
          <w:i/>
          <w:iCs/>
          <w:color w:val="000000"/>
          <w:lang w:eastAsia="ru-RU"/>
        </w:rPr>
        <w:t>— Financial Measures</w:t>
      </w:r>
      <w:r>
        <w:rPr>
          <w:rFonts w:eastAsia="Times New Roman" w:asciiTheme="majorHAnsi" w:hAnsiTheme="majorHAnsi" w:cstheme="majorHAnsi"/>
          <w:lang w:eastAsia="ru-RU"/>
        </w:rPr>
        <w:t>” for how we define and calculate Total Net Revenue, Adjusted EBITDA, and Adjusted Net Profit as non-IFRS financial measures and reconciliations of these measures to revenue, in the case of Total Net Revenue, and net profit, in the case of Adjusted EBITDA and Adjusted Net Profit.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Segment net profit attributable to the Payment Services segment decreased by RUB 1,637 million, or 13%, in 2021 compared to the same period in 2020. The decrease was primarily driven by net revenue decline in the respective segment.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Net loss attributable to the Corporate and Other category increased by RUB 647 million, or 89%, in 2021 compared to the same period in 2020 mainly due to decreased contribution from JSC Tochka associate via equity pick up (followed by sale of our stake in the project in the third quarter 2021), additional advisory services costs for market research procured in connection with company’s strategy review, increased costs for insurance of Directors and Officers and higher income tax expenses.</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bookmarkStart w:name="_3cfa33c5_5c86_46c9_a0cb_43004004ec92" w:id="448"/>
      <w:bookmarkStart w:name="_1db6db8c_3f76_40f6_ba04_9e44902811b7" w:id="449"/>
      <w:bookmarkEnd w:id="448"/>
      <w:bookmarkEnd w:id="449"/>
      <w:r>
        <w:rPr>
          <w:rFonts w:eastAsia="Times New Roman" w:asciiTheme="majorHAnsi" w:hAnsiTheme="majorHAnsi" w:cstheme="majorHAnsi"/>
          <w:b/>
          <w:bCs/>
          <w:lang w:val="ru-RU" w:eastAsia="ru-RU"/>
        </w:rPr>
        <w:t>B.</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Liquidity and capital resources</w:t>
      </w:r>
      <w:bookmarkStart w:name="BLiquidityandcapitalresources_513436" w:id="450"/>
      <w:bookmarkEnd w:id="450"/>
    </w:p>
    <w:p w:rsidR="009534E2" w:rsidRDefault="003369EB">
      <w:pPr>
        <w:spacing w:after="200"/>
        <w:ind w:firstLine="459"/>
        <w:rPr>
          <w:rFonts w:eastAsia="Times New Roman" w:asciiTheme="majorHAnsi" w:hAnsiTheme="majorHAnsi" w:cstheme="majorHAnsi"/>
          <w:lang w:eastAsia="ru-RU"/>
        </w:rPr>
      </w:pPr>
      <w:r>
        <w:rPr>
          <w:rFonts w:eastAsia="Times New Roman" w:asciiTheme="majorHAnsi" w:hAnsiTheme="majorHAnsi" w:cstheme="majorHAnsi"/>
          <w:lang w:eastAsia="ru-RU"/>
        </w:rPr>
        <w:t>Our principal sources of liquidity are cash and cash equivalents (including QIWI Wallet balances), cash receivable from agents, deposits issued to merchants, proceeds from issuance of publicly traded bonds and revenues generated from our operations.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Our balance of cash and cash equivalents as of December 31, 2022 was RUB 47,462 million compared to RUB 33,033 million as of December 31, 2021 and RUB 47,382 million as of December 31, 2020. Cash and cash equivalents comprise predominantly of cash at banks and short-term deposits with an original maturity of three months or less. The increase in cash and cash equivalents was caused by increased profits, non-payments of dividends and increased clients' balances in Qiwi Bank including the Tochka branch.</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Our principal needs for liquidity have been, and will likely continue to be, customer accounts and amounts due to banks, payables to merchants, money remittances and e-wallets accounts payable, deposits received from agents and other working capital items, capital expenditures and acquisitions. We believe that our liquidity is sufficient to meet our current obligation as well as for financing our short- and midterm needs. Such needs may include, but are not limited to, funding the expansion of our ROWI project and corresponding factoring and loans portfolio, funding of lending-based products that are currently being tested and piloted as part of the effort to expand the product offering of our Payment Services Segment. We expect to fund the outstanding factoring portfolio primarily by our accumulated cash, through credit lines that we get from other banks and through debt markets. In 2020, we placed our debut RUB 5 billion bonds issue, which we utilized to fund ROWI activities as well as our other projects. Shall our view in respect of our sources of liquidity change or shall our ability to attract customers’ or agents’ funds deteriorate we may seek to raise additional liquidity (through the capital or debt markets or through bank financing) in order to fund the abovementioned projects as well as fund or finance other potential projects that we may seek to develop in the future.</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As of December 31, 2022, customer accounts and amounts due to banks, payables to merchants, money remittances and e-wallets accounts payable, deposits received from agents, were RUB 34,856 million, compared to RUB 28,114 million as of December 31, 2021 and RUB 39,220 million as of December 31, 2020. The increase as of December 31, 2022 compared to December 31, 2021 mainly due to increase of customers and amounts due to banks and due to increase in payables to merchants as a result of increased payment volume. The decrease as of December 31, 2021 compared to December 31, 2020 was a result of CBR restrictions imposed in December 2020 and Rocketbank closing process. The total change in other items was insignificant.</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An important part of our credit risk management and payment settlement strategy relies on cash we receive from agents in advance for payments made through the kiosks. When a payment is made through a kiosk, we offset these deposits against the payments we make to the merchant. For certain agents with whom we have long and reliable relationships, we provide limited credit support in the form of overdrafts for payment processing. Some of our counterparties (primarily the Big Three MNOs and certain payment systems) request that we make deposits with them in relation to payments processed through our system. Whenever a customer makes a payment to a merchant with whom we have made a deposit, that payment gets offset against the deposit held with the respective merchant.</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As of December 31, 2022, cash receivable from agents and deposits issued to merchants were RUB 10,816 million, compared to RUB 6,190 million as of December 31, 2021 and RUB 6,830 million as of December 31, 2020. The increase in increase in cash receivable from agents and deposits issued to merchants as of December 31, 2022 compared to the year ended December 31, 2021 was due to increased payment volume.  The decrease in cash receivable from agents and deposit issued as of December 31, 2021 as compared to the year ended December 31, 2020 was mostly caused by replacement of certain deposits with guarantees.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In the current geopolitical environment, Russian authorities have introduced capital-control measures that prevent currency outflows. Such measures affect our ability to transfer funds from our Russian subsidiaries to our Cypriot parent company, QIWI plc. Although most of our assets are located in Russia, most of our contractual obligations are performed in Russia and QIWI plc has enough reserves in its accounts to fulfil its commitments, we are still taking such capital-control measures into account when considering distribution of dividends and other cash expenditures. For further detail on the impact of geopolitical developments in Russia on our operations and financial condition, see Item 5A “</w:t>
      </w:r>
      <w:r>
        <w:rPr>
          <w:rFonts w:eastAsia="Times New Roman" w:asciiTheme="majorHAnsi" w:hAnsiTheme="majorHAnsi" w:cstheme="majorHAnsi"/>
          <w:i/>
          <w:iCs/>
          <w:lang w:eastAsia="ru-RU"/>
        </w:rPr>
        <w:t>Operating Results – Impact of geopolitical developments in Russia and related sanctions</w:t>
      </w:r>
      <w:r>
        <w:rPr>
          <w:rFonts w:eastAsia="Times New Roman" w:asciiTheme="majorHAnsi" w:hAnsiTheme="majorHAnsi" w:cstheme="majorHAnsi"/>
          <w:lang w:eastAsia="ru-RU"/>
        </w:rPr>
        <w:t>”.</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Capital Expenditures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Our capital expenditures primarily relate to acquisition of IT equipment for our processing systems and purchase of software that we use in operations.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Capital expenditures for the year ended December 31, 2022 were RUB 465 million and consisted of: (i) RUB 228 million related to the purchase of computer software; (ii) RUB 162 million related to the purchases of the hardware for processing and data centers; (iii) RUB 63 million related to workplace improvement and other office equipment; (iv) RUB 7 million related to the purchase of other intangible assets; (v) RUB 5 million related to purchases of leasehold improvements.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Capital expenditures for the year ended December 31, 2021 were RUB 532 million and consisted of: (i) RUB 220 million related to the purchases of the hardware for processing and data centers; (ii) RUB 212 million related to the purchase of computer software; (iii) RUB 90 million related to workplace improvement and other office equipment purchase; (iv) RUB 10 million related to the leasehold improvements.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Capital expenditures for the year ended December 31, 2020 were RUB 436 million and consisted of: (i) RUB 185 million related to the purchases of the hardware for processing and data centers; (ii) RUB 148 million related to the purchase of computer software; (iii) RUB 61 million related to workplace improvement and other office equipment purchase; (iv) RUB 64 million related to the purchase of other hard- and software.</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As of December 31, 2022, we had no material capital expenditure commitments.</w:t>
      </w:r>
    </w:p>
    <w:p w:rsidR="009534E2" w:rsidRDefault="003369EB">
      <w:pPr>
        <w:keepNext/>
        <w:keepLines/>
        <w:spacing w:after="200"/>
        <w:rPr>
          <w:rFonts w:eastAsia="Times New Roman" w:asciiTheme="majorHAnsi" w:hAnsiTheme="majorHAnsi" w:cstheme="majorHAnsi"/>
          <w:bCs/>
        </w:rPr>
      </w:pPr>
      <w:r>
        <w:rPr>
          <w:rFonts w:eastAsia="Times New Roman" w:asciiTheme="majorHAnsi" w:hAnsiTheme="majorHAnsi" w:cstheme="majorHAnsi"/>
          <w:b/>
          <w:bCs/>
          <w:lang w:eastAsia="ru-RU"/>
        </w:rPr>
        <w:t>Off-balance sheet arrangements</w:t>
      </w:r>
    </w:p>
    <w:p w:rsidR="009534E2" w:rsidRDefault="003369EB">
      <w:pPr>
        <w:keepNext/>
        <w:keepLines/>
        <w:spacing w:after="200"/>
        <w:ind w:firstLine="460"/>
        <w:rPr>
          <w:rFonts w:eastAsia="Times New Roman" w:asciiTheme="majorHAnsi" w:hAnsiTheme="majorHAnsi" w:cstheme="majorHAnsi"/>
          <w:bCs/>
        </w:rPr>
      </w:pPr>
      <w:r>
        <w:rPr>
          <w:rFonts w:eastAsia="Times New Roman" w:asciiTheme="majorHAnsi" w:hAnsiTheme="majorHAnsi" w:cstheme="majorHAnsi"/>
          <w:b/>
          <w:bCs/>
          <w:lang w:eastAsia="ru-RU"/>
        </w:rPr>
        <w:t>Guarantees issued</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As part of our operations we issue performance and financial guarantees to non-related parties for a term of up to five years at market rate. The total amount of guarantees issued as of December 31, 2022 was RUB 82,653 million, up from RUB 46,631 million as of December 31, 2021.The growth of the amount of bank guarantees outstanding resulted from the development of the digital bank guarantees services of ROWI project focused on providing digital bank guarantees to different legal entities participating in public procurement procedures (primarily small and medium enterprises).</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bCs/>
          <w:lang w:eastAsia="ru-RU"/>
        </w:rPr>
        <w:t>Tabular disclosure of contractual obligations</w:t>
      </w:r>
    </w:p>
    <w:p w:rsidR="009534E2" w:rsidRDefault="003369EB">
      <w:pPr>
        <w:keepNext/>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The following table sets forth our contractual obligations as of December 31, 2022: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343"/>
        <w:gridCol w:w="221"/>
        <w:gridCol w:w="871"/>
        <w:gridCol w:w="220"/>
        <w:gridCol w:w="870"/>
        <w:gridCol w:w="220"/>
        <w:gridCol w:w="870"/>
        <w:gridCol w:w="220"/>
        <w:gridCol w:w="870"/>
        <w:gridCol w:w="220"/>
        <w:gridCol w:w="875"/>
      </w:tblGrid>
      <w:tr w:rsidR="009534E2">
        <w:trPr>
          <w:trHeight w:val="20" w:hRule="exact"/>
        </w:trPr>
        <w:tc>
          <w:tcPr>
            <w:tcW w:w="2473" w:type="pct"/>
            <w:tcBorders>
              <w:top w:val="nil"/>
              <w:left w:val="nil"/>
              <w:bottom w:val="nil"/>
              <w:right w:val="nil"/>
            </w:tcBorders>
            <w:vAlign w:val="bottom"/>
          </w:tcPr>
          <w:p w:rsidR="009534E2" w:rsidRDefault="009534E2">
            <w:pPr>
              <w:keepNext/>
              <w:keepLines/>
              <w:rPr>
                <w:rFonts w:asciiTheme="majorHAnsi" w:hAnsiTheme="majorHAnsi" w:cstheme="majorHAnsi"/>
                <w:sz w:val="2"/>
              </w:rPr>
            </w:pPr>
            <w:bookmarkStart w:name="_25f0034a_32ea_401d_96bd_e695e5cbc036" w:colFirst="0" w:colLast="0" w:id="451"/>
            <w:bookmarkStart w:name="_05121d1e_7722_4846_ae3b_69239f36c514" w:colFirst="1" w:colLast="1" w:id="452"/>
            <w:bookmarkStart w:name="_09ccf296_372c_4853_9650_df75a4e00d76" w:colFirst="2" w:colLast="2" w:id="453"/>
            <w:bookmarkStart w:name="_fabf302d_8053_41c6_8daf_f08a63e98bee" w:colFirst="3" w:colLast="3" w:id="454"/>
            <w:bookmarkStart w:name="_e2bcc255_dad9_4a11_a9fe_59404f75d2a4" w:colFirst="4" w:colLast="4" w:id="455"/>
            <w:bookmarkStart w:name="_9a422437_16f6_482d_a3c0_70e383116395" w:colFirst="5" w:colLast="5" w:id="456"/>
            <w:bookmarkStart w:name="_8b11d50a_91a2_4bab_92c0_59ecd46cc60d" w:colFirst="6" w:colLast="6" w:id="457"/>
            <w:bookmarkStart w:name="_ee9b66c4_0fa2_4e43_bdba_c8a2e5b5fc76" w:colFirst="7" w:colLast="7" w:id="458"/>
            <w:bookmarkStart w:name="_f83f2585_3a62_4506_a3ac_e2844b00a08b" w:colFirst="8" w:colLast="8" w:id="459"/>
            <w:bookmarkStart w:name="_a2a930b5_cf75_4610_9076_6dbd8857f8f4" w:colFirst="9" w:colLast="9" w:id="460"/>
            <w:bookmarkStart w:name="_1ecf4530_ab5f_40d2_92dd_dc5f20cfb45c" w:colFirst="10" w:colLast="10" w:id="461"/>
            <w:bookmarkStart w:name="_d6d15258_0ef3_4fa2_8cbd_2f722e493f51" w:id="462"/>
          </w:p>
        </w:tc>
        <w:tc>
          <w:tcPr>
            <w:tcW w:w="102"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102"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102"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102"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102"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r>
      <w:tr w:rsidR="009534E2">
        <w:tc>
          <w:tcPr>
            <w:tcW w:w="2473" w:type="pct"/>
            <w:tcBorders>
              <w:top w:val="nil"/>
              <w:left w:val="nil"/>
              <w:bottom w:val="nil"/>
              <w:right w:val="nil"/>
              <w:tl2br w:val="nil"/>
              <w:tr2bl w:val="nil"/>
            </w:tcBorders>
            <w:shd w:val="clear" w:color="auto" w:fill="auto"/>
            <w:vAlign w:val="bottom"/>
          </w:tcPr>
          <w:p w:rsidR="009534E2" w:rsidRDefault="009534E2">
            <w:pPr>
              <w:keepNext/>
              <w:keepLines/>
              <w:rPr>
                <w:rFonts w:asciiTheme="majorHAnsi" w:hAnsiTheme="majorHAnsi" w:cstheme="majorHAnsi"/>
                <w:color w:val="000000"/>
                <w:sz w:val="16"/>
              </w:rPr>
            </w:pPr>
            <w:bookmarkStart w:name="_0172b82f_0d0f_437a_9c69_f83bc1e35b47" w:id="463"/>
            <w:bookmarkEnd w:id="451"/>
            <w:bookmarkEnd w:id="452"/>
            <w:bookmarkEnd w:id="453"/>
            <w:bookmarkEnd w:id="454"/>
            <w:bookmarkEnd w:id="455"/>
            <w:bookmarkEnd w:id="456"/>
            <w:bookmarkEnd w:id="457"/>
            <w:bookmarkEnd w:id="458"/>
            <w:bookmarkEnd w:id="459"/>
            <w:bookmarkEnd w:id="460"/>
            <w:bookmarkEnd w:id="461"/>
          </w:p>
        </w:tc>
        <w:tc>
          <w:tcPr>
            <w:tcW w:w="102"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color w:val="000000"/>
                <w:sz w:val="16"/>
              </w:rPr>
            </w:pPr>
          </w:p>
        </w:tc>
        <w:tc>
          <w:tcPr>
            <w:tcW w:w="102"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color w:val="000000"/>
                <w:sz w:val="16"/>
              </w:rPr>
            </w:pPr>
          </w:p>
        </w:tc>
        <w:tc>
          <w:tcPr>
            <w:tcW w:w="102"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color w:val="000000"/>
                <w:sz w:val="16"/>
              </w:rPr>
            </w:pPr>
          </w:p>
        </w:tc>
        <w:tc>
          <w:tcPr>
            <w:tcW w:w="102"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color w:val="000000"/>
                <w:sz w:val="16"/>
              </w:rPr>
            </w:pPr>
          </w:p>
        </w:tc>
        <w:tc>
          <w:tcPr>
            <w:tcW w:w="102"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more</w:t>
            </w:r>
          </w:p>
        </w:tc>
      </w:tr>
      <w:tr w:rsidR="009534E2">
        <w:tc>
          <w:tcPr>
            <w:tcW w:w="2473" w:type="pct"/>
            <w:tcBorders>
              <w:top w:val="nil"/>
              <w:left w:val="nil"/>
              <w:bottom w:val="nil"/>
              <w:right w:val="nil"/>
              <w:tl2br w:val="nil"/>
              <w:tr2bl w:val="nil"/>
            </w:tcBorders>
            <w:shd w:val="clear" w:color="auto" w:fill="auto"/>
            <w:vAlign w:val="bottom"/>
          </w:tcPr>
          <w:p w:rsidR="009534E2" w:rsidRDefault="009534E2">
            <w:pPr>
              <w:keepNext/>
              <w:keepLines/>
              <w:rPr>
                <w:rFonts w:asciiTheme="majorHAnsi" w:hAnsiTheme="majorHAnsi" w:cstheme="majorHAnsi"/>
                <w:color w:val="000000"/>
                <w:sz w:val="16"/>
              </w:rPr>
            </w:pPr>
            <w:bookmarkStart w:name="_41ff3bfa_0883_4e84_8a8a_cf8d01d48c4c" w:id="464"/>
            <w:bookmarkEnd w:id="463"/>
          </w:p>
        </w:tc>
        <w:tc>
          <w:tcPr>
            <w:tcW w:w="102"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b/>
                <w:color w:val="000000"/>
                <w:sz w:val="16"/>
              </w:rPr>
            </w:pPr>
          </w:p>
        </w:tc>
        <w:tc>
          <w:tcPr>
            <w:tcW w:w="102"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less than</w:t>
            </w:r>
          </w:p>
        </w:tc>
        <w:tc>
          <w:tcPr>
            <w:tcW w:w="102"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one to</w:t>
            </w:r>
          </w:p>
        </w:tc>
        <w:tc>
          <w:tcPr>
            <w:tcW w:w="102"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three to</w:t>
            </w:r>
          </w:p>
        </w:tc>
        <w:tc>
          <w:tcPr>
            <w:tcW w:w="102"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than five</w:t>
            </w:r>
          </w:p>
        </w:tc>
      </w:tr>
      <w:tr w:rsidR="009534E2">
        <w:tc>
          <w:tcPr>
            <w:tcW w:w="2473" w:type="pct"/>
            <w:tcBorders>
              <w:top w:val="nil"/>
              <w:left w:val="nil"/>
              <w:bottom w:val="nil"/>
              <w:right w:val="nil"/>
              <w:tl2br w:val="nil"/>
              <w:tr2bl w:val="nil"/>
            </w:tcBorders>
            <w:shd w:val="clear" w:color="auto" w:fill="auto"/>
            <w:vAlign w:val="bottom"/>
          </w:tcPr>
          <w:p w:rsidR="009534E2" w:rsidRDefault="009534E2">
            <w:pPr>
              <w:keepNext/>
              <w:keepLines/>
              <w:rPr>
                <w:rFonts w:asciiTheme="majorHAnsi" w:hAnsiTheme="majorHAnsi" w:cstheme="majorHAnsi"/>
                <w:color w:val="000000"/>
                <w:sz w:val="16"/>
              </w:rPr>
            </w:pPr>
            <w:bookmarkStart w:name="_bdf218d2_995d_4aaf_b6ca_eaca6fe30207" w:id="465"/>
            <w:bookmarkEnd w:id="464"/>
          </w:p>
        </w:tc>
        <w:tc>
          <w:tcPr>
            <w:tcW w:w="102"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w:t>
            </w:r>
          </w:p>
        </w:tc>
        <w:tc>
          <w:tcPr>
            <w:tcW w:w="102"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one year</w:t>
            </w:r>
          </w:p>
        </w:tc>
        <w:tc>
          <w:tcPr>
            <w:tcW w:w="102"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three years</w:t>
            </w:r>
          </w:p>
        </w:tc>
        <w:tc>
          <w:tcPr>
            <w:tcW w:w="102"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five years</w:t>
            </w:r>
          </w:p>
        </w:tc>
        <w:tc>
          <w:tcPr>
            <w:tcW w:w="102"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years</w:t>
            </w:r>
          </w:p>
        </w:tc>
      </w:tr>
      <w:tr w:rsidR="009534E2">
        <w:tc>
          <w:tcPr>
            <w:tcW w:w="2473" w:type="pct"/>
            <w:tcBorders>
              <w:top w:val="nil"/>
              <w:left w:val="nil"/>
              <w:bottom w:val="nil"/>
              <w:right w:val="nil"/>
              <w:tl2br w:val="nil"/>
              <w:tr2bl w:val="nil"/>
            </w:tcBorders>
            <w:shd w:val="clear" w:color="auto" w:fill="auto"/>
            <w:vAlign w:val="bottom"/>
          </w:tcPr>
          <w:p w:rsidR="009534E2" w:rsidRDefault="009534E2">
            <w:pPr>
              <w:keepNext/>
              <w:keepLines/>
              <w:rPr>
                <w:rFonts w:asciiTheme="majorHAnsi" w:hAnsiTheme="majorHAnsi" w:cstheme="majorHAnsi"/>
                <w:color w:val="000000"/>
                <w:sz w:val="16"/>
              </w:rPr>
            </w:pPr>
            <w:bookmarkStart w:name="_534edaba_2f33_41ae_aa79_6e125530043a" w:id="466"/>
            <w:bookmarkEnd w:id="465"/>
          </w:p>
        </w:tc>
        <w:tc>
          <w:tcPr>
            <w:tcW w:w="102"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color w:val="000000"/>
                <w:sz w:val="16"/>
              </w:rPr>
            </w:pPr>
          </w:p>
        </w:tc>
        <w:tc>
          <w:tcPr>
            <w:tcW w:w="2425" w:type="pct"/>
            <w:gridSpan w:val="9"/>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r>
      <w:tr w:rsidR="009534E2">
        <w:tc>
          <w:tcPr>
            <w:tcW w:w="2473" w:type="pct"/>
            <w:tcBorders>
              <w:top w:val="nil"/>
              <w:left w:val="nil"/>
              <w:bottom w:val="nil"/>
              <w:right w:val="nil"/>
              <w:tl2br w:val="nil"/>
              <w:tr2bl w:val="nil"/>
            </w:tcBorders>
            <w:shd w:val="clear" w:color="auto" w:fill="CCEEFF"/>
            <w:vAlign w:val="bottom"/>
          </w:tcPr>
          <w:p w:rsidR="009534E2" w:rsidRDefault="003369EB">
            <w:pPr>
              <w:keepNext/>
              <w:keepLines/>
              <w:rPr>
                <w:rFonts w:asciiTheme="majorHAnsi" w:hAnsiTheme="majorHAnsi" w:cstheme="majorHAnsi"/>
                <w:color w:val="000000"/>
              </w:rPr>
            </w:pPr>
            <w:bookmarkStart w:name="_bdc81cbd_1217_4092_9862_73423fc1dfac" w:id="467"/>
            <w:bookmarkEnd w:id="466"/>
            <w:r>
              <w:rPr>
                <w:rFonts w:eastAsia="Times New Roman" w:asciiTheme="majorHAnsi" w:hAnsiTheme="majorHAnsi" w:cstheme="majorHAnsi"/>
                <w:color w:val="000000"/>
              </w:rPr>
              <w:t>Operating lease obligations</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25</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25</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c>
          <w:tcPr>
            <w:tcW w:w="2473" w:type="pct"/>
            <w:tcBorders>
              <w:top w:val="nil"/>
              <w:left w:val="nil"/>
              <w:bottom w:val="nil"/>
              <w:right w:val="nil"/>
              <w:tl2br w:val="nil"/>
              <w:tr2bl w:val="nil"/>
            </w:tcBorders>
            <w:vAlign w:val="bottom"/>
          </w:tcPr>
          <w:p w:rsidR="009534E2" w:rsidRDefault="003369EB">
            <w:pPr>
              <w:keepNext/>
              <w:keepLines/>
              <w:rPr>
                <w:rFonts w:asciiTheme="majorHAnsi" w:hAnsiTheme="majorHAnsi" w:cstheme="majorHAnsi"/>
                <w:color w:val="000000"/>
              </w:rPr>
            </w:pPr>
            <w:bookmarkStart w:name="_b071f536_b39b_49a0_aaa9_b11c688b4c08" w:id="468"/>
            <w:bookmarkEnd w:id="467"/>
            <w:r>
              <w:rPr>
                <w:rFonts w:eastAsia="Times New Roman" w:asciiTheme="majorHAnsi" w:hAnsiTheme="majorHAnsi" w:cstheme="majorHAnsi"/>
                <w:color w:val="000000"/>
              </w:rPr>
              <w:t>Unused limits on loans</w:t>
            </w:r>
          </w:p>
        </w:tc>
        <w:tc>
          <w:tcPr>
            <w:tcW w:w="102" w:type="pct"/>
            <w:tcBorders>
              <w:top w:val="nil"/>
              <w:left w:val="nil"/>
              <w:bottom w:val="nil"/>
              <w:right w:val="nil"/>
              <w:tl2br w:val="nil"/>
              <w:tr2bl w:val="nil"/>
            </w:tcBorders>
            <w:noWrap/>
            <w:vAlign w:val="bottom"/>
          </w:tcPr>
          <w:p w:rsidR="009534E2" w:rsidRDefault="009534E2">
            <w:pPr>
              <w:keepNext/>
              <w:keepLines/>
              <w:rPr>
                <w:rFonts w:asciiTheme="majorHAnsi" w:hAnsiTheme="majorHAnsi" w:cstheme="majorHAnsi"/>
                <w:color w:val="000000"/>
              </w:rPr>
            </w:pPr>
          </w:p>
        </w:tc>
        <w:tc>
          <w:tcPr>
            <w:tcW w:w="403" w:type="pct"/>
            <w:tcBorders>
              <w:top w:val="nil"/>
              <w:left w:val="nil"/>
              <w:bottom w:val="nil"/>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1,618</w:t>
            </w:r>
          </w:p>
        </w:tc>
        <w:tc>
          <w:tcPr>
            <w:tcW w:w="102" w:type="pct"/>
            <w:tcBorders>
              <w:top w:val="nil"/>
              <w:left w:val="nil"/>
              <w:bottom w:val="nil"/>
              <w:right w:val="nil"/>
              <w:tl2br w:val="nil"/>
              <w:tr2bl w:val="nil"/>
            </w:tcBorders>
            <w:noWrap/>
            <w:vAlign w:val="bottom"/>
          </w:tcPr>
          <w:p w:rsidR="009534E2" w:rsidRDefault="009534E2">
            <w:pPr>
              <w:keepNext/>
              <w:keepLines/>
              <w:rPr>
                <w:rFonts w:asciiTheme="majorHAnsi" w:hAnsiTheme="majorHAnsi" w:cstheme="majorHAnsi"/>
                <w:color w:val="000000"/>
              </w:rPr>
            </w:pPr>
          </w:p>
        </w:tc>
        <w:tc>
          <w:tcPr>
            <w:tcW w:w="403" w:type="pct"/>
            <w:tcBorders>
              <w:top w:val="nil"/>
              <w:left w:val="nil"/>
              <w:bottom w:val="nil"/>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1,618</w:t>
            </w:r>
          </w:p>
        </w:tc>
        <w:tc>
          <w:tcPr>
            <w:tcW w:w="102" w:type="pct"/>
            <w:tcBorders>
              <w:top w:val="nil"/>
              <w:left w:val="nil"/>
              <w:bottom w:val="nil"/>
              <w:right w:val="nil"/>
              <w:tl2br w:val="nil"/>
              <w:tr2bl w:val="nil"/>
            </w:tcBorders>
            <w:noWrap/>
            <w:vAlign w:val="bottom"/>
          </w:tcPr>
          <w:p w:rsidR="009534E2" w:rsidRDefault="009534E2">
            <w:pPr>
              <w:keepNext/>
              <w:keepLines/>
              <w:rPr>
                <w:rFonts w:asciiTheme="majorHAnsi" w:hAnsiTheme="majorHAnsi" w:cstheme="majorHAnsi"/>
                <w:color w:val="000000"/>
              </w:rPr>
            </w:pPr>
          </w:p>
        </w:tc>
        <w:tc>
          <w:tcPr>
            <w:tcW w:w="403" w:type="pct"/>
            <w:tcBorders>
              <w:top w:val="nil"/>
              <w:left w:val="nil"/>
              <w:bottom w:val="nil"/>
              <w:right w:val="nil"/>
              <w:tl2br w:val="nil"/>
              <w:tr2bl w:val="nil"/>
            </w:tcBorders>
            <w:noWrap/>
            <w:vAlign w:val="bottom"/>
          </w:tcPr>
          <w:p w:rsidR="009534E2" w:rsidRDefault="009534E2">
            <w:pPr>
              <w:keepNext/>
              <w:keepLines/>
              <w:jc w:val="right"/>
              <w:rPr>
                <w:rFonts w:asciiTheme="majorHAnsi" w:hAnsiTheme="majorHAnsi" w:cstheme="majorHAnsi"/>
                <w:color w:val="000000"/>
              </w:rPr>
            </w:pPr>
          </w:p>
        </w:tc>
        <w:tc>
          <w:tcPr>
            <w:tcW w:w="102" w:type="pct"/>
            <w:tcBorders>
              <w:top w:val="nil"/>
              <w:left w:val="nil"/>
              <w:bottom w:val="nil"/>
              <w:right w:val="nil"/>
              <w:tl2br w:val="nil"/>
              <w:tr2bl w:val="nil"/>
            </w:tcBorders>
            <w:noWrap/>
            <w:vAlign w:val="bottom"/>
          </w:tcPr>
          <w:p w:rsidR="009534E2" w:rsidRDefault="009534E2">
            <w:pPr>
              <w:keepNext/>
              <w:keepLines/>
              <w:rPr>
                <w:rFonts w:asciiTheme="majorHAnsi" w:hAnsiTheme="majorHAnsi" w:cstheme="majorHAnsi"/>
                <w:color w:val="000000"/>
              </w:rPr>
            </w:pPr>
          </w:p>
        </w:tc>
        <w:tc>
          <w:tcPr>
            <w:tcW w:w="403" w:type="pct"/>
            <w:tcBorders>
              <w:top w:val="nil"/>
              <w:left w:val="nil"/>
              <w:bottom w:val="nil"/>
              <w:right w:val="nil"/>
              <w:tl2br w:val="nil"/>
              <w:tr2bl w:val="nil"/>
            </w:tcBorders>
            <w:noWrap/>
            <w:vAlign w:val="bottom"/>
          </w:tcPr>
          <w:p w:rsidR="009534E2" w:rsidRDefault="009534E2">
            <w:pPr>
              <w:keepNext/>
              <w:keepLines/>
              <w:jc w:val="right"/>
              <w:rPr>
                <w:rFonts w:asciiTheme="majorHAnsi" w:hAnsiTheme="majorHAnsi" w:cstheme="majorHAnsi"/>
                <w:color w:val="000000"/>
              </w:rPr>
            </w:pPr>
          </w:p>
        </w:tc>
        <w:tc>
          <w:tcPr>
            <w:tcW w:w="102" w:type="pct"/>
            <w:tcBorders>
              <w:top w:val="nil"/>
              <w:left w:val="nil"/>
              <w:bottom w:val="nil"/>
              <w:right w:val="nil"/>
              <w:tl2br w:val="nil"/>
              <w:tr2bl w:val="nil"/>
            </w:tcBorders>
            <w:noWrap/>
            <w:vAlign w:val="bottom"/>
          </w:tcPr>
          <w:p w:rsidR="009534E2" w:rsidRDefault="009534E2">
            <w:pPr>
              <w:keepNext/>
              <w:keepLines/>
              <w:rPr>
                <w:rFonts w:asciiTheme="majorHAnsi" w:hAnsiTheme="majorHAnsi" w:cstheme="majorHAnsi"/>
                <w:color w:val="000000"/>
              </w:rPr>
            </w:pPr>
          </w:p>
        </w:tc>
        <w:tc>
          <w:tcPr>
            <w:tcW w:w="403" w:type="pct"/>
            <w:tcBorders>
              <w:top w:val="nil"/>
              <w:left w:val="nil"/>
              <w:bottom w:val="nil"/>
              <w:right w:val="nil"/>
              <w:tl2br w:val="nil"/>
              <w:tr2bl w:val="nil"/>
            </w:tcBorders>
            <w:noWrap/>
            <w:vAlign w:val="bottom"/>
          </w:tcPr>
          <w:p w:rsidR="009534E2" w:rsidRDefault="009534E2">
            <w:pPr>
              <w:keepNext/>
              <w:keepLines/>
              <w:jc w:val="right"/>
              <w:rPr>
                <w:rFonts w:asciiTheme="majorHAnsi" w:hAnsiTheme="majorHAnsi" w:cstheme="majorHAnsi"/>
                <w:color w:val="000000"/>
              </w:rPr>
            </w:pPr>
          </w:p>
        </w:tc>
      </w:tr>
      <w:tr w:rsidR="009534E2">
        <w:tc>
          <w:tcPr>
            <w:tcW w:w="2473" w:type="pct"/>
            <w:tcBorders>
              <w:top w:val="nil"/>
              <w:left w:val="nil"/>
              <w:bottom w:val="nil"/>
              <w:right w:val="nil"/>
              <w:tl2br w:val="nil"/>
              <w:tr2bl w:val="nil"/>
            </w:tcBorders>
            <w:shd w:val="clear" w:color="auto" w:fill="CCEEFF"/>
            <w:vAlign w:val="bottom"/>
          </w:tcPr>
          <w:p w:rsidR="009534E2" w:rsidRDefault="003369EB">
            <w:pPr>
              <w:keepNext/>
              <w:keepLines/>
              <w:rPr>
                <w:rFonts w:asciiTheme="majorHAnsi" w:hAnsiTheme="majorHAnsi" w:cstheme="majorHAnsi"/>
                <w:color w:val="000000"/>
              </w:rPr>
            </w:pPr>
            <w:bookmarkStart w:name="_2496a980_7d86_406d_8ae9_3dc888ccd100" w:id="469"/>
            <w:bookmarkEnd w:id="468"/>
            <w:r>
              <w:rPr>
                <w:rFonts w:eastAsia="Times New Roman" w:asciiTheme="majorHAnsi" w:hAnsiTheme="majorHAnsi" w:cstheme="majorHAnsi"/>
                <w:color w:val="000000"/>
              </w:rPr>
              <w:t>Total contractual obligations</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1,643</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1,643</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bookmarkEnd w:id="462"/>
      <w:bookmarkEnd w:id="469"/>
    </w:tbl>
    <w:p w:rsidR="009534E2" w:rsidRDefault="009534E2">
      <w:pPr>
        <w:rPr>
          <w:rFonts w:eastAsia="Times New Roman" w:asciiTheme="majorHAnsi" w:hAnsiTheme="majorHAnsi" w:cstheme="majorHAnsi"/>
          <w:lang w:eastAsia="ru-RU"/>
        </w:rPr>
      </w:pPr>
    </w:p>
    <w:p w:rsidR="009534E2" w:rsidRDefault="003369EB">
      <w:pPr>
        <w:keepNext/>
        <w:keepLines/>
        <w:spacing w:after="200"/>
        <w:rPr>
          <w:rFonts w:eastAsia="Times New Roman" w:asciiTheme="majorHAnsi" w:hAnsiTheme="majorHAnsi" w:cstheme="majorHAnsi"/>
          <w:sz w:val="24"/>
          <w:szCs w:val="24"/>
        </w:rPr>
      </w:pPr>
      <w:bookmarkStart w:name="_890c8c1b_3c69_418e_8af0_a00e6edb6c42" w:id="470"/>
      <w:bookmarkEnd w:id="470"/>
      <w:r>
        <w:rPr>
          <w:rFonts w:eastAsia="Times New Roman" w:asciiTheme="majorHAnsi" w:hAnsiTheme="majorHAnsi" w:cstheme="majorHAnsi"/>
          <w:b/>
          <w:bCs/>
          <w:lang w:eastAsia="ru-RU"/>
        </w:rPr>
        <w:t>Cash Flow</w:t>
      </w:r>
    </w:p>
    <w:p w:rsidR="009534E2" w:rsidRDefault="003369EB">
      <w:pPr>
        <w:keepNext/>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The following table summarizes our cash flows for the years ended December 31, 2020, 2021 and 2022:</w:t>
      </w:r>
    </w:p>
    <w:tbl>
      <w:tblPr>
        <w:tblW w:w="4000"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357"/>
        <w:gridCol w:w="221"/>
        <w:gridCol w:w="873"/>
        <w:gridCol w:w="221"/>
        <w:gridCol w:w="873"/>
        <w:gridCol w:w="221"/>
        <w:gridCol w:w="874"/>
      </w:tblGrid>
      <w:tr w:rsidR="009534E2">
        <w:trPr>
          <w:trHeight w:val="20" w:hRule="exact"/>
        </w:trPr>
        <w:tc>
          <w:tcPr>
            <w:tcW w:w="3100"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5c68ad62_1639_416c_bb5a_cdb29c6ad184" w:id="471"/>
            <w:bookmarkStart w:name="_7426aa02_3e6b_477d_a050_93ea45a08aac" w:colFirst="0" w:colLast="0" w:id="472"/>
            <w:bookmarkStart w:name="_00550e44_7eb0_4938_a2ff_ac17da91fb41" w:colFirst="1" w:colLast="1" w:id="473"/>
            <w:bookmarkStart w:name="_8b305c0e_ad4e_409e_9a9d_a64aee0ec3b4" w:colFirst="2" w:colLast="2" w:id="474"/>
            <w:bookmarkStart w:name="_e19cf054_d566_4794_8e95_38e0219d1e4b" w:colFirst="3" w:colLast="3" w:id="475"/>
            <w:bookmarkStart w:name="_2198a882_50bc_445b_8f99_43970e81640a" w:colFirst="4" w:colLast="4" w:id="476"/>
            <w:bookmarkStart w:name="_466bda6c_95f8_46f6_bc64_011de1c335ac" w:colFirst="5" w:colLast="5" w:id="477"/>
            <w:bookmarkStart w:name="_8088e581_0429_4dbe_aeed_e83404a1942a" w:colFirst="6" w:colLast="6" w:id="478"/>
            <w:bookmarkStart w:name="_4ee2cdbd_5ee9_45ac_b721_d96f298b5820" w:id="479"/>
            <w:bookmarkEnd w:id="471"/>
          </w:p>
        </w:tc>
        <w:tc>
          <w:tcPr>
            <w:tcW w:w="12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0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2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0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2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0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c>
          <w:tcPr>
            <w:tcW w:w="3100"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a4da6239_eaed_4c25_972b_5510d1a6275d" w:id="480"/>
            <w:bookmarkEnd w:id="472"/>
            <w:bookmarkEnd w:id="473"/>
            <w:bookmarkEnd w:id="474"/>
            <w:bookmarkEnd w:id="475"/>
            <w:bookmarkEnd w:id="476"/>
            <w:bookmarkEnd w:id="477"/>
            <w:bookmarkEnd w:id="478"/>
          </w:p>
        </w:tc>
        <w:tc>
          <w:tcPr>
            <w:tcW w:w="128"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1772" w:type="pct"/>
            <w:gridSpan w:val="5"/>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w:t>
            </w:r>
          </w:p>
        </w:tc>
      </w:tr>
      <w:tr w:rsidR="009534E2">
        <w:tc>
          <w:tcPr>
            <w:tcW w:w="3100"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cf340a2e_0afb_416e_bfc3_6ad02498dd9c" w:id="481"/>
            <w:bookmarkEnd w:id="480"/>
          </w:p>
        </w:tc>
        <w:tc>
          <w:tcPr>
            <w:tcW w:w="128"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0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28"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0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28"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0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c>
          <w:tcPr>
            <w:tcW w:w="3100"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a1554f4e_b3f7_410b_b1f9_c548e446d739" w:id="482"/>
            <w:bookmarkEnd w:id="481"/>
          </w:p>
        </w:tc>
        <w:tc>
          <w:tcPr>
            <w:tcW w:w="128"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1772" w:type="pct"/>
            <w:gridSpan w:val="5"/>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r>
      <w:tr w:rsidR="009534E2">
        <w:tc>
          <w:tcPr>
            <w:tcW w:w="3100"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372a548f_acd9_4d68_b6a8_93d732f460bf" w:id="483"/>
            <w:bookmarkEnd w:id="482"/>
            <w:r>
              <w:rPr>
                <w:rFonts w:eastAsia="Times New Roman" w:asciiTheme="majorHAnsi" w:hAnsiTheme="majorHAnsi" w:cstheme="majorHAnsi"/>
                <w:color w:val="000000"/>
              </w:rPr>
              <w:t>Net cash flow generated from/(used in) operating activities</w:t>
            </w:r>
          </w:p>
        </w:tc>
        <w:tc>
          <w:tcPr>
            <w:tcW w:w="12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6,102</w:t>
            </w:r>
          </w:p>
        </w:tc>
        <w:tc>
          <w:tcPr>
            <w:tcW w:w="12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(4,510)</w:t>
            </w:r>
          </w:p>
        </w:tc>
        <w:tc>
          <w:tcPr>
            <w:tcW w:w="12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14,891</w:t>
            </w:r>
          </w:p>
        </w:tc>
      </w:tr>
      <w:tr w:rsidR="009534E2">
        <w:tc>
          <w:tcPr>
            <w:tcW w:w="3100"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197bb776_867b_4413_8bc1_3cf3f71b3578" w:id="484"/>
            <w:bookmarkEnd w:id="483"/>
            <w:r>
              <w:rPr>
                <w:rFonts w:eastAsia="Times New Roman" w:asciiTheme="majorHAnsi" w:hAnsiTheme="majorHAnsi" w:cstheme="majorHAnsi"/>
                <w:color w:val="000000"/>
              </w:rPr>
              <w:t>Net cash generated from/(used in) in investing activities</w:t>
            </w:r>
          </w:p>
        </w:tc>
        <w:tc>
          <w:tcPr>
            <w:tcW w:w="12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(1,479)</w:t>
            </w:r>
          </w:p>
        </w:tc>
        <w:tc>
          <w:tcPr>
            <w:tcW w:w="12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(2,236)</w:t>
            </w:r>
          </w:p>
        </w:tc>
        <w:tc>
          <w:tcPr>
            <w:tcW w:w="12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1,204</w:t>
            </w:r>
          </w:p>
        </w:tc>
      </w:tr>
      <w:tr w:rsidR="009534E2">
        <w:tc>
          <w:tcPr>
            <w:tcW w:w="3100"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303e6976_c547_4100_9d2f_9681ec501e2e" w:id="485"/>
            <w:bookmarkEnd w:id="484"/>
            <w:r>
              <w:rPr>
                <w:rFonts w:eastAsia="Times New Roman" w:asciiTheme="majorHAnsi" w:hAnsiTheme="majorHAnsi" w:cstheme="majorHAnsi"/>
                <w:color w:val="000000"/>
              </w:rPr>
              <w:t>Net cash used in financing activities</w:t>
            </w:r>
          </w:p>
        </w:tc>
        <w:tc>
          <w:tcPr>
            <w:tcW w:w="12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(287)</w:t>
            </w:r>
          </w:p>
        </w:tc>
        <w:tc>
          <w:tcPr>
            <w:tcW w:w="12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(7,417)</w:t>
            </w:r>
          </w:p>
        </w:tc>
        <w:tc>
          <w:tcPr>
            <w:tcW w:w="12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(1,216)</w:t>
            </w:r>
          </w:p>
        </w:tc>
      </w:tr>
      <w:tr w:rsidR="009534E2">
        <w:tc>
          <w:tcPr>
            <w:tcW w:w="3100"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11447553_abd4_4803_b3a2_03bab4c2ea2a" w:id="486"/>
            <w:bookmarkEnd w:id="485"/>
            <w:r>
              <w:rPr>
                <w:rFonts w:eastAsia="Times New Roman" w:asciiTheme="majorHAnsi" w:hAnsiTheme="majorHAnsi" w:cstheme="majorHAnsi"/>
                <w:color w:val="000000"/>
              </w:rPr>
              <w:t>Effect of exchange rate changes on cash and cash equivalents</w:t>
            </w:r>
          </w:p>
        </w:tc>
        <w:tc>
          <w:tcPr>
            <w:tcW w:w="12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945</w:t>
            </w:r>
          </w:p>
        </w:tc>
        <w:tc>
          <w:tcPr>
            <w:tcW w:w="12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(186)</w:t>
            </w:r>
          </w:p>
        </w:tc>
        <w:tc>
          <w:tcPr>
            <w:tcW w:w="12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(450)</w:t>
            </w:r>
          </w:p>
        </w:tc>
      </w:tr>
      <w:tr w:rsidR="009534E2">
        <w:tc>
          <w:tcPr>
            <w:tcW w:w="3100"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472b529e_c35a_4031_b1f0_1396130c383e" w:id="487"/>
            <w:bookmarkEnd w:id="486"/>
            <w:r>
              <w:rPr>
                <w:rFonts w:eastAsia="Times New Roman" w:asciiTheme="majorHAnsi" w:hAnsiTheme="majorHAnsi" w:cstheme="majorHAnsi"/>
                <w:color w:val="000000"/>
              </w:rPr>
              <w:t>Net increase/(decrease) in cash and cash equivalents</w:t>
            </w:r>
          </w:p>
        </w:tc>
        <w:tc>
          <w:tcPr>
            <w:tcW w:w="12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5,281</w:t>
            </w:r>
          </w:p>
        </w:tc>
        <w:tc>
          <w:tcPr>
            <w:tcW w:w="12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(14,349)</w:t>
            </w:r>
          </w:p>
        </w:tc>
        <w:tc>
          <w:tcPr>
            <w:tcW w:w="12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14,429</w:t>
            </w:r>
          </w:p>
        </w:tc>
      </w:tr>
      <w:tr w:rsidR="009534E2">
        <w:tc>
          <w:tcPr>
            <w:tcW w:w="3100"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5d23ab11_1ff2_4e62_8fd7_da331f1133d6" w:id="488"/>
            <w:bookmarkEnd w:id="487"/>
            <w:r>
              <w:rPr>
                <w:rFonts w:eastAsia="Times New Roman" w:asciiTheme="majorHAnsi" w:hAnsiTheme="majorHAnsi" w:cstheme="majorHAnsi"/>
                <w:color w:val="000000"/>
              </w:rPr>
              <w:t>Cash and cash equivalents at the beginning of the period</w:t>
            </w:r>
          </w:p>
        </w:tc>
        <w:tc>
          <w:tcPr>
            <w:tcW w:w="12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42,101</w:t>
            </w:r>
          </w:p>
        </w:tc>
        <w:tc>
          <w:tcPr>
            <w:tcW w:w="12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47,382</w:t>
            </w:r>
          </w:p>
        </w:tc>
        <w:tc>
          <w:tcPr>
            <w:tcW w:w="12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33,033</w:t>
            </w:r>
          </w:p>
        </w:tc>
      </w:tr>
      <w:tr w:rsidR="009534E2">
        <w:tc>
          <w:tcPr>
            <w:tcW w:w="3100"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fb38191b_d6d9_4b09_9ec8_fc8620886707" w:id="489"/>
            <w:bookmarkEnd w:id="488"/>
            <w:r>
              <w:rPr>
                <w:rFonts w:eastAsia="Times New Roman" w:asciiTheme="majorHAnsi" w:hAnsiTheme="majorHAnsi" w:cstheme="majorHAnsi"/>
                <w:color w:val="000000"/>
              </w:rPr>
              <w:t>Cash and cash equivalents at the end of the year</w:t>
            </w:r>
          </w:p>
        </w:tc>
        <w:tc>
          <w:tcPr>
            <w:tcW w:w="12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47,382</w:t>
            </w:r>
          </w:p>
        </w:tc>
        <w:tc>
          <w:tcPr>
            <w:tcW w:w="12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33,033</w:t>
            </w:r>
          </w:p>
        </w:tc>
        <w:tc>
          <w:tcPr>
            <w:tcW w:w="12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0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47,462</w:t>
            </w:r>
          </w:p>
        </w:tc>
      </w:tr>
      <w:bookmarkEnd w:id="479"/>
      <w:bookmarkEnd w:id="489"/>
    </w:tbl>
    <w:p w:rsidR="009534E2" w:rsidRDefault="009534E2">
      <w:pPr>
        <w:rPr>
          <w:rFonts w:asciiTheme="majorHAnsi" w:hAnsiTheme="majorHAnsi" w:cstheme="majorHAnsi"/>
        </w:rPr>
      </w:pP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i/>
          <w:iCs/>
          <w:lang w:eastAsia="ru-RU"/>
        </w:rPr>
        <w:t>Cash flows from operating activities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Net cash generated from operating activities for the year ended December 31, 2022 was 14,891 million, compared to cash outflows of RUB 4,510 million for the same period in 2021. The dynamic of net cash flow from operating activities resulted from higher operating profit earned and growth of Tochka’s branch customers base and its balances.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Net cash used in operating activities for the year ended December 31, 2021 was 4,510 million, compared to cash inflows of RUB 6,102 million for the same period in 2020. The dynamic of net cash flow from operating activities resulted from significant increase of loans portfolio by RUB 5,501 million driven by ROWI project growth. In 2020 positive cash inflow was due to proceeds received from the sale of the SOVEST project loan portfolio.</w:t>
      </w:r>
    </w:p>
    <w:p w:rsidR="009534E2" w:rsidRDefault="003369EB">
      <w:pPr>
        <w:keepNext/>
        <w:keepLines/>
        <w:spacing w:after="200"/>
        <w:rPr>
          <w:rFonts w:eastAsia="Times New Roman" w:asciiTheme="majorHAnsi" w:hAnsiTheme="majorHAnsi" w:cstheme="majorHAnsi"/>
          <w:i/>
          <w:iCs/>
        </w:rPr>
      </w:pPr>
      <w:r>
        <w:rPr>
          <w:rFonts w:eastAsia="Times New Roman" w:asciiTheme="majorHAnsi" w:hAnsiTheme="majorHAnsi" w:cstheme="majorHAnsi"/>
          <w:i/>
          <w:iCs/>
        </w:rPr>
        <w:t>Cash flows generated from/ used in investing activities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Net cash generated from investing activities for the year ended December 31, 2022 was RUB 1,204 million, compared to outflows of RUB 2,236 million for the same period in 2021. This increase in net cash flow was driven by the lower treasury operations for purchases of publicly traded debt securities in 2022.</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rPr>
        <w:t>Net cash used in investing activities for the year ended December 31, 2021 was RUB 2,236 million, compared to RUB 1,479 million for the same period in 2020. This increase in net cash outflow was driven by the treasury operations for purchases of publicly traded debt securities, and was partly offset by cash inflows received from the sale of an equity associate.</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i/>
          <w:iCs/>
          <w:lang w:eastAsia="ru-RU"/>
        </w:rPr>
        <w:t>Cash flows used in financing activities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Net cash used in financing activities for the year ended December 31, 2022 was RUB 1,216 million, compared to RUB 7,417 million for the same period in 2021. The decrease in net cash outflow was primarily driven by no dividends paid to shareholders of the Group during the 2022. In 2021 the dividends paid amounted 5,211 million.</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Net cash used in financing activities for the year ended December 31, 2021 was RUB 7,417 million, compared to RUB 287 million for the same period in 2020. The increase in net cash outflow was primarily driven by the issuance of RUB 5 billion unsecured bonds in 2020 while in 2021 RUB 1,9 billion of debts was repaid.</w:t>
      </w:r>
    </w:p>
    <w:p w:rsidR="009534E2" w:rsidRDefault="003369EB">
      <w:pPr>
        <w:keepNext/>
        <w:keepLines/>
        <w:spacing w:after="200"/>
        <w:rPr>
          <w:rFonts w:eastAsia="Times New Roman" w:asciiTheme="majorHAnsi" w:hAnsiTheme="majorHAnsi" w:cstheme="majorHAnsi"/>
          <w:bCs/>
        </w:rPr>
      </w:pPr>
      <w:r>
        <w:rPr>
          <w:rFonts w:eastAsia="Times New Roman" w:asciiTheme="majorHAnsi" w:hAnsiTheme="majorHAnsi" w:cstheme="majorHAnsi"/>
          <w:b/>
          <w:bCs/>
          <w:lang w:eastAsia="ru-RU"/>
        </w:rPr>
        <w:t>Borrowings</w:t>
      </w:r>
    </w:p>
    <w:p w:rsidR="009534E2" w:rsidRDefault="003369EB">
      <w:pPr>
        <w:keepNext/>
        <w:spacing w:after="200"/>
        <w:ind w:firstLine="426"/>
        <w:rPr>
          <w:rFonts w:eastAsia="Times New Roman" w:asciiTheme="majorHAnsi" w:hAnsiTheme="majorHAnsi" w:cstheme="majorHAnsi"/>
          <w:lang w:eastAsia="ru-RU"/>
        </w:rPr>
      </w:pPr>
      <w:r>
        <w:rPr>
          <w:rFonts w:eastAsia="Times New Roman" w:asciiTheme="majorHAnsi" w:hAnsiTheme="majorHAnsi" w:cstheme="majorHAnsi"/>
          <w:lang w:eastAsia="ru-RU"/>
        </w:rPr>
        <w:t>As of December 31, 2022, and December 31, 2021, our debt consisted of the following:</w:t>
      </w:r>
    </w:p>
    <w:tbl>
      <w:tblPr>
        <w:tblW w:w="4500"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877"/>
        <w:gridCol w:w="160"/>
        <w:gridCol w:w="805"/>
        <w:gridCol w:w="160"/>
        <w:gridCol w:w="1150"/>
        <w:gridCol w:w="267"/>
        <w:gridCol w:w="1395"/>
        <w:gridCol w:w="160"/>
        <w:gridCol w:w="1293"/>
        <w:gridCol w:w="160"/>
        <w:gridCol w:w="1293"/>
      </w:tblGrid>
      <w:tr w:rsidR="009534E2">
        <w:trPr>
          <w:trHeight w:val="20" w:hRule="exact"/>
        </w:trPr>
        <w:tc>
          <w:tcPr>
            <w:tcW w:w="2136"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8f54483e_1546_45bf_80db_6c549af59956" w:id="490"/>
            <w:bookmarkStart w:name="_2b7877f1_156d_4b93_ae10_0b2ad1aa4a01" w:colFirst="0" w:colLast="0" w:id="491"/>
            <w:bookmarkStart w:name="_0aed1c30_5ca6_4df3_bae8_ed3ccb73f848" w:colFirst="1" w:colLast="1" w:id="492"/>
            <w:bookmarkStart w:name="_02657834_3639_42ff_a6d7_7a4a6c3f35e9" w:colFirst="2" w:colLast="2" w:id="493"/>
            <w:bookmarkStart w:name="_847f2845_4175_422e_a649_b734fa85b0e4" w:colFirst="3" w:colLast="3" w:id="494"/>
            <w:bookmarkStart w:name="_85055eb0_855b_4313_a6d6_7be60e12b095" w:colFirst="4" w:colLast="4" w:id="495"/>
            <w:bookmarkStart w:name="_08304eef_f6d3_4f44_aac3_9a4d91614023" w:colFirst="5" w:colLast="5" w:id="496"/>
            <w:bookmarkStart w:name="_c77781b8_6bba_4ce4_bd0d_674cb0848600" w:colFirst="6" w:colLast="6" w:id="497"/>
            <w:bookmarkStart w:name="_9b16e7b1_3720_4cf6_82c4_76778e019a87" w:colFirst="7" w:colLast="7" w:id="498"/>
            <w:bookmarkStart w:name="_dcf2f9ab_ad86_4b74_bb15_590ff86e3190" w:colFirst="8" w:colLast="8" w:id="499"/>
            <w:bookmarkStart w:name="_ae4c5d64_5220_4291_bdf9_1ebfb39cf5f8" w:colFirst="9" w:colLast="9" w:id="500"/>
            <w:bookmarkStart w:name="_4967795d_71f8_4a15_9c08_5bf4a5f59cad" w:colFirst="10" w:colLast="10" w:id="501"/>
            <w:bookmarkStart w:name="_e526d980_181f_49ed_a942_f4ede5ea9b27" w:id="502"/>
            <w:bookmarkEnd w:id="490"/>
          </w:p>
        </w:tc>
        <w:tc>
          <w:tcPr>
            <w:tcW w:w="8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46"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46"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1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1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1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c>
          <w:tcPr>
            <w:tcW w:w="2136"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b/>
                <w:color w:val="000000"/>
                <w:sz w:val="16"/>
              </w:rPr>
            </w:pPr>
            <w:bookmarkStart w:name="_33376835_0df6_47c1_ba44_72d4ff189ab3" w:id="503"/>
            <w:bookmarkEnd w:id="491"/>
            <w:bookmarkEnd w:id="492"/>
            <w:bookmarkEnd w:id="493"/>
            <w:bookmarkEnd w:id="494"/>
            <w:bookmarkEnd w:id="495"/>
            <w:bookmarkEnd w:id="496"/>
            <w:bookmarkEnd w:id="497"/>
            <w:bookmarkEnd w:id="498"/>
            <w:bookmarkEnd w:id="499"/>
            <w:bookmarkEnd w:id="500"/>
            <w:bookmarkEnd w:id="501"/>
          </w:p>
        </w:tc>
        <w:tc>
          <w:tcPr>
            <w:tcW w:w="88"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446"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8"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46"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8"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11"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8"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11"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c>
          <w:tcPr>
            <w:tcW w:w="88"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11"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r>
      <w:tr w:rsidR="009534E2">
        <w:tc>
          <w:tcPr>
            <w:tcW w:w="2136"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b/>
                <w:color w:val="000000"/>
                <w:sz w:val="16"/>
              </w:rPr>
            </w:pPr>
            <w:bookmarkStart w:name="_2ab44578_c5ea_41ad_84cd_08aa1de557ef" w:id="504"/>
            <w:bookmarkEnd w:id="503"/>
          </w:p>
        </w:tc>
        <w:tc>
          <w:tcPr>
            <w:tcW w:w="88"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46"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Credit limit</w:t>
            </w:r>
          </w:p>
        </w:tc>
        <w:tc>
          <w:tcPr>
            <w:tcW w:w="88"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46"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Interest rate</w:t>
            </w:r>
          </w:p>
        </w:tc>
        <w:tc>
          <w:tcPr>
            <w:tcW w:w="88"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11"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Maturity</w:t>
            </w:r>
          </w:p>
        </w:tc>
        <w:tc>
          <w:tcPr>
            <w:tcW w:w="88"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11"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2021</w:t>
            </w:r>
          </w:p>
        </w:tc>
        <w:tc>
          <w:tcPr>
            <w:tcW w:w="88"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11"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2022</w:t>
            </w:r>
          </w:p>
        </w:tc>
      </w:tr>
      <w:tr w:rsidR="009534E2">
        <w:tc>
          <w:tcPr>
            <w:tcW w:w="2136"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b/>
                <w:color w:val="000000"/>
                <w:sz w:val="16"/>
              </w:rPr>
            </w:pPr>
            <w:bookmarkStart w:name="_9468db17_a55b_4370_9f63_de3d034b0111" w:id="505"/>
            <w:bookmarkEnd w:id="504"/>
          </w:p>
        </w:tc>
        <w:tc>
          <w:tcPr>
            <w:tcW w:w="88"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446"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8"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446"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8"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sz w:val="16"/>
              </w:rPr>
            </w:pPr>
          </w:p>
        </w:tc>
        <w:tc>
          <w:tcPr>
            <w:tcW w:w="511"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8"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1110"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(in RUB millions)</w:t>
            </w:r>
          </w:p>
        </w:tc>
      </w:tr>
      <w:tr w:rsidR="009534E2">
        <w:tc>
          <w:tcPr>
            <w:tcW w:w="2136"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b/>
                <w:color w:val="000000"/>
              </w:rPr>
            </w:pPr>
            <w:bookmarkStart w:name="_2dc834ab_4ae1_49b0_876f_460c2767dab5" w:id="506"/>
            <w:bookmarkEnd w:id="505"/>
            <w:r>
              <w:rPr>
                <w:rFonts w:eastAsia="Times New Roman" w:asciiTheme="majorHAnsi" w:hAnsiTheme="majorHAnsi" w:cstheme="majorHAnsi"/>
                <w:b/>
                <w:color w:val="000000"/>
              </w:rPr>
              <w:t>Current interest-bearing debt</w:t>
            </w:r>
          </w:p>
        </w:tc>
        <w:tc>
          <w:tcPr>
            <w:tcW w:w="88"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46" w:type="pct"/>
            <w:tcBorders>
              <w:top w:val="nil"/>
              <w:left w:val="nil"/>
              <w:bottom w:val="nil"/>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w:t>
            </w:r>
          </w:p>
        </w:tc>
        <w:tc>
          <w:tcPr>
            <w:tcW w:w="88"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46"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88"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nil"/>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w:t>
            </w:r>
          </w:p>
        </w:tc>
        <w:tc>
          <w:tcPr>
            <w:tcW w:w="88"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nil"/>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w:t>
            </w:r>
          </w:p>
        </w:tc>
        <w:tc>
          <w:tcPr>
            <w:tcW w:w="88"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nil"/>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w:t>
            </w:r>
          </w:p>
        </w:tc>
      </w:tr>
      <w:tr w:rsidR="009534E2">
        <w:tc>
          <w:tcPr>
            <w:tcW w:w="2136" w:type="pct"/>
            <w:tcBorders>
              <w:top w:val="nil"/>
              <w:left w:val="nil"/>
              <w:bottom w:val="nil"/>
              <w:right w:val="nil"/>
              <w:tl2br w:val="nil"/>
              <w:tr2bl w:val="nil"/>
            </w:tcBorders>
            <w:vAlign w:val="bottom"/>
          </w:tcPr>
          <w:p w:rsidR="009534E2" w:rsidRDefault="003369EB">
            <w:pPr>
              <w:rPr>
                <w:rFonts w:asciiTheme="majorHAnsi" w:hAnsiTheme="majorHAnsi" w:cstheme="majorHAnsi"/>
                <w:color w:val="000000"/>
              </w:rPr>
            </w:pPr>
            <w:bookmarkStart w:name="_b6c56f51_21b2_4379_8ccb_6c7b143cbd75" w:id="507"/>
            <w:bookmarkEnd w:id="506"/>
            <w:r>
              <w:rPr>
                <w:rFonts w:eastAsia="Times New Roman" w:asciiTheme="majorHAnsi" w:hAnsiTheme="majorHAnsi" w:cstheme="majorHAnsi"/>
                <w:color w:val="000000"/>
              </w:rPr>
              <w:t>Bank’ revolving credit facility</w:t>
            </w:r>
          </w:p>
        </w:tc>
        <w:tc>
          <w:tcPr>
            <w:tcW w:w="88"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46"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460</w:t>
            </w:r>
          </w:p>
        </w:tc>
        <w:tc>
          <w:tcPr>
            <w:tcW w:w="88"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46" w:type="pct"/>
            <w:tcBorders>
              <w:top w:val="nil"/>
              <w:left w:val="nil"/>
              <w:bottom w:val="nil"/>
              <w:right w:val="nil"/>
              <w:tl2br w:val="nil"/>
              <w:tr2bl w:val="nil"/>
            </w:tcBorders>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Up to 13% (1)</w:t>
            </w:r>
          </w:p>
        </w:tc>
        <w:tc>
          <w:tcPr>
            <w:tcW w:w="88" w:type="pct"/>
            <w:tcBorders>
              <w:top w:val="nil"/>
              <w:left w:val="nil"/>
              <w:bottom w:val="nil"/>
              <w:right w:val="nil"/>
              <w:tl2br w:val="nil"/>
              <w:tr2bl w:val="nil"/>
            </w:tcBorders>
            <w:noWrap/>
            <w:vAlign w:val="bottom"/>
          </w:tcPr>
          <w:p w:rsidR="009534E2" w:rsidRDefault="009534E2">
            <w:pPr>
              <w:rPr>
                <w:rFonts w:asciiTheme="majorHAnsi" w:hAnsiTheme="majorHAnsi" w:cstheme="majorHAnsi"/>
                <w:color w:val="000000"/>
              </w:rPr>
            </w:pPr>
          </w:p>
        </w:tc>
        <w:tc>
          <w:tcPr>
            <w:tcW w:w="511"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June 30, 2023</w:t>
            </w:r>
          </w:p>
        </w:tc>
        <w:tc>
          <w:tcPr>
            <w:tcW w:w="88"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8"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c>
          <w:tcPr>
            <w:tcW w:w="2136" w:type="pct"/>
            <w:tcBorders>
              <w:top w:val="nil"/>
              <w:left w:val="nil"/>
              <w:bottom w:val="nil"/>
              <w:right w:val="nil"/>
              <w:tl2br w:val="nil"/>
              <w:tr2bl w:val="nil"/>
            </w:tcBorders>
            <w:shd w:val="clear" w:color="auto" w:fill="CCEEFF"/>
            <w:vAlign w:val="bottom"/>
          </w:tcPr>
          <w:p w:rsidR="009534E2" w:rsidRDefault="009534E2">
            <w:pPr>
              <w:rPr>
                <w:rFonts w:asciiTheme="majorHAnsi" w:hAnsiTheme="majorHAnsi" w:cstheme="majorHAnsi"/>
                <w:color w:val="000000"/>
              </w:rPr>
            </w:pPr>
            <w:bookmarkStart w:name="_f14bb45a_b2ac_49df_992b_0b14cae34aab" w:id="508"/>
            <w:bookmarkEnd w:id="507"/>
          </w:p>
        </w:tc>
        <w:tc>
          <w:tcPr>
            <w:tcW w:w="88"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446" w:type="pct"/>
            <w:tcBorders>
              <w:top w:val="nil"/>
              <w:left w:val="nil"/>
              <w:bottom w:val="nil"/>
              <w:right w:val="nil"/>
              <w:tl2br w:val="nil"/>
              <w:tr2bl w:val="nil"/>
            </w:tcBorders>
            <w:shd w:val="clear" w:color="auto" w:fill="CCEEFF"/>
            <w:noWrap/>
            <w:vAlign w:val="bottom"/>
          </w:tcPr>
          <w:p w:rsidR="009534E2" w:rsidRDefault="009534E2">
            <w:pPr>
              <w:jc w:val="right"/>
              <w:rPr>
                <w:rFonts w:asciiTheme="majorHAnsi" w:hAnsiTheme="majorHAnsi" w:cstheme="majorHAnsi"/>
                <w:color w:val="000000"/>
              </w:rPr>
            </w:pPr>
          </w:p>
        </w:tc>
        <w:tc>
          <w:tcPr>
            <w:tcW w:w="88"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446" w:type="pct"/>
            <w:tcBorders>
              <w:top w:val="nil"/>
              <w:left w:val="nil"/>
              <w:bottom w:val="nil"/>
              <w:right w:val="nil"/>
              <w:tl2br w:val="nil"/>
              <w:tr2bl w:val="nil"/>
            </w:tcBorders>
            <w:shd w:val="clear" w:color="auto" w:fill="CCEEFF"/>
            <w:noWrap/>
            <w:vAlign w:val="bottom"/>
          </w:tcPr>
          <w:p w:rsidR="009534E2" w:rsidRDefault="009534E2">
            <w:pPr>
              <w:jc w:val="center"/>
              <w:rPr>
                <w:rFonts w:asciiTheme="majorHAnsi" w:hAnsiTheme="majorHAnsi" w:cstheme="majorHAnsi"/>
                <w:color w:val="000000"/>
              </w:rPr>
            </w:pPr>
          </w:p>
        </w:tc>
        <w:tc>
          <w:tcPr>
            <w:tcW w:w="88"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511"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88"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511" w:type="pct"/>
            <w:tcBorders>
              <w:top w:val="nil"/>
              <w:left w:val="nil"/>
              <w:bottom w:val="single" w:color="000000" w:sz="4" w:space="0"/>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8"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511" w:type="pct"/>
            <w:tcBorders>
              <w:top w:val="nil"/>
              <w:left w:val="nil"/>
              <w:bottom w:val="single" w:color="000000" w:sz="4" w:space="0"/>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c>
          <w:tcPr>
            <w:tcW w:w="2136" w:type="pct"/>
            <w:tcBorders>
              <w:top w:val="nil"/>
              <w:left w:val="nil"/>
              <w:bottom w:val="nil"/>
              <w:right w:val="nil"/>
              <w:tl2br w:val="nil"/>
              <w:tr2bl w:val="nil"/>
            </w:tcBorders>
            <w:vAlign w:val="bottom"/>
          </w:tcPr>
          <w:p w:rsidR="009534E2" w:rsidRDefault="003369EB">
            <w:pPr>
              <w:rPr>
                <w:rFonts w:asciiTheme="majorHAnsi" w:hAnsiTheme="majorHAnsi" w:cstheme="majorHAnsi"/>
                <w:b/>
                <w:color w:val="000000"/>
              </w:rPr>
            </w:pPr>
            <w:bookmarkStart w:name="_bc51c589_c38b_496c_a4c4_652d0e68bd78" w:id="509"/>
            <w:bookmarkEnd w:id="508"/>
            <w:r>
              <w:rPr>
                <w:rFonts w:eastAsia="Times New Roman" w:asciiTheme="majorHAnsi" w:hAnsiTheme="majorHAnsi" w:cstheme="majorHAnsi"/>
                <w:b/>
                <w:color w:val="000000"/>
              </w:rPr>
              <w:t>Non-current interest-bearing debt</w:t>
            </w:r>
          </w:p>
        </w:tc>
        <w:tc>
          <w:tcPr>
            <w:tcW w:w="88"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46" w:type="pct"/>
            <w:tcBorders>
              <w:top w:val="nil"/>
              <w:left w:val="nil"/>
              <w:bottom w:val="nil"/>
              <w:right w:val="nil"/>
              <w:tl2br w:val="nil"/>
              <w:tr2bl w:val="nil"/>
            </w:tcBorders>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w:t>
            </w:r>
          </w:p>
        </w:tc>
        <w:tc>
          <w:tcPr>
            <w:tcW w:w="88"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46" w:type="pct"/>
            <w:tcBorders>
              <w:top w:val="nil"/>
              <w:left w:val="nil"/>
              <w:bottom w:val="nil"/>
              <w:right w:val="nil"/>
              <w:tl2br w:val="nil"/>
              <w:tr2bl w:val="nil"/>
            </w:tcBorders>
            <w:noWrap/>
            <w:vAlign w:val="bottom"/>
          </w:tcPr>
          <w:p w:rsidR="009534E2" w:rsidRDefault="003369EB">
            <w:pPr>
              <w:ind w:left="360"/>
              <w:rPr>
                <w:rFonts w:asciiTheme="majorHAnsi" w:hAnsiTheme="majorHAnsi" w:cstheme="majorHAnsi"/>
                <w:color w:val="000000"/>
              </w:rPr>
            </w:pPr>
            <w:r>
              <w:rPr>
                <w:rFonts w:eastAsia="Times New Roman" w:asciiTheme="majorHAnsi" w:hAnsiTheme="majorHAnsi" w:cstheme="majorHAnsi"/>
                <w:color w:val="000000"/>
              </w:rPr>
              <w:t>  </w:t>
            </w:r>
          </w:p>
        </w:tc>
        <w:tc>
          <w:tcPr>
            <w:tcW w:w="88" w:type="pct"/>
            <w:tcBorders>
              <w:top w:val="nil"/>
              <w:left w:val="nil"/>
              <w:bottom w:val="nil"/>
              <w:right w:val="nil"/>
              <w:tl2br w:val="nil"/>
              <w:tr2bl w:val="nil"/>
            </w:tcBorders>
            <w:noWrap/>
            <w:vAlign w:val="bottom"/>
          </w:tcPr>
          <w:p w:rsidR="009534E2" w:rsidRDefault="009534E2">
            <w:pPr>
              <w:rPr>
                <w:rFonts w:asciiTheme="majorHAnsi" w:hAnsiTheme="majorHAnsi" w:cstheme="majorHAnsi"/>
                <w:color w:val="000000"/>
              </w:rPr>
            </w:pPr>
          </w:p>
        </w:tc>
        <w:tc>
          <w:tcPr>
            <w:tcW w:w="511" w:type="pct"/>
            <w:tcBorders>
              <w:top w:val="nil"/>
              <w:left w:val="nil"/>
              <w:bottom w:val="nil"/>
              <w:right w:val="nil"/>
              <w:tl2br w:val="nil"/>
              <w:tr2bl w:val="nil"/>
            </w:tcBorders>
            <w:noWrap/>
            <w:vAlign w:val="bottom"/>
          </w:tcPr>
          <w:p w:rsidR="009534E2" w:rsidRDefault="009534E2">
            <w:pPr>
              <w:rPr>
                <w:rFonts w:asciiTheme="majorHAnsi" w:hAnsiTheme="majorHAnsi" w:cstheme="majorHAnsi"/>
                <w:color w:val="000000"/>
              </w:rPr>
            </w:pPr>
          </w:p>
        </w:tc>
        <w:tc>
          <w:tcPr>
            <w:tcW w:w="88"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nil"/>
              <w:right w:val="nil"/>
              <w:tl2br w:val="nil"/>
              <w:tr2bl w:val="nil"/>
            </w:tcBorders>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w:t>
            </w:r>
          </w:p>
        </w:tc>
        <w:tc>
          <w:tcPr>
            <w:tcW w:w="88"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nil"/>
              <w:right w:val="nil"/>
              <w:tl2br w:val="nil"/>
              <w:tr2bl w:val="nil"/>
            </w:tcBorders>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w:t>
            </w:r>
          </w:p>
        </w:tc>
      </w:tr>
      <w:tr w:rsidR="009534E2">
        <w:tc>
          <w:tcPr>
            <w:tcW w:w="2136" w:type="pct"/>
            <w:tcBorders>
              <w:top w:val="nil"/>
              <w:left w:val="nil"/>
              <w:bottom w:val="nil"/>
              <w:right w:val="nil"/>
              <w:tl2br w:val="nil"/>
              <w:tr2bl w:val="nil"/>
            </w:tcBorders>
            <w:shd w:val="clear" w:color="auto" w:fill="CCEEFF"/>
            <w:vAlign w:val="bottom"/>
          </w:tcPr>
          <w:p w:rsidR="009534E2" w:rsidRDefault="009534E2">
            <w:pPr>
              <w:rPr>
                <w:rFonts w:asciiTheme="majorHAnsi" w:hAnsiTheme="majorHAnsi" w:cstheme="majorHAnsi"/>
                <w:color w:val="000000"/>
              </w:rPr>
            </w:pPr>
            <w:bookmarkStart w:name="_4d61e070_6f2f_4f44_9026_f2c0820dc173" w:id="510"/>
            <w:bookmarkEnd w:id="509"/>
          </w:p>
        </w:tc>
        <w:tc>
          <w:tcPr>
            <w:tcW w:w="88"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446" w:type="pct"/>
            <w:tcBorders>
              <w:top w:val="nil"/>
              <w:left w:val="nil"/>
              <w:bottom w:val="nil"/>
              <w:right w:val="nil"/>
              <w:tl2br w:val="nil"/>
              <w:tr2bl w:val="nil"/>
            </w:tcBorders>
            <w:shd w:val="clear" w:color="auto" w:fill="CCEEFF"/>
            <w:noWrap/>
            <w:vAlign w:val="bottom"/>
          </w:tcPr>
          <w:p w:rsidR="009534E2" w:rsidRDefault="009534E2">
            <w:pPr>
              <w:jc w:val="right"/>
              <w:rPr>
                <w:rFonts w:asciiTheme="majorHAnsi" w:hAnsiTheme="majorHAnsi" w:cstheme="majorHAnsi"/>
                <w:color w:val="000000"/>
              </w:rPr>
            </w:pPr>
          </w:p>
        </w:tc>
        <w:tc>
          <w:tcPr>
            <w:tcW w:w="88"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446" w:type="pct"/>
            <w:tcBorders>
              <w:top w:val="nil"/>
              <w:left w:val="nil"/>
              <w:bottom w:val="nil"/>
              <w:right w:val="nil"/>
              <w:tl2br w:val="nil"/>
              <w:tr2bl w:val="nil"/>
            </w:tcBorders>
            <w:shd w:val="clear" w:color="auto" w:fill="CCEEFF"/>
            <w:noWrap/>
            <w:vAlign w:val="bottom"/>
          </w:tcPr>
          <w:p w:rsidR="009534E2" w:rsidRDefault="009534E2">
            <w:pPr>
              <w:ind w:right="360"/>
              <w:jc w:val="right"/>
              <w:rPr>
                <w:rFonts w:asciiTheme="majorHAnsi" w:hAnsiTheme="majorHAnsi" w:cstheme="majorHAnsi"/>
                <w:color w:val="000000"/>
              </w:rPr>
            </w:pPr>
          </w:p>
        </w:tc>
        <w:tc>
          <w:tcPr>
            <w:tcW w:w="88"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511"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88"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511" w:type="pct"/>
            <w:tcBorders>
              <w:top w:val="nil"/>
              <w:left w:val="nil"/>
              <w:bottom w:val="nil"/>
              <w:right w:val="nil"/>
              <w:tl2br w:val="nil"/>
              <w:tr2bl w:val="nil"/>
            </w:tcBorders>
            <w:shd w:val="clear" w:color="auto" w:fill="CCEEFF"/>
            <w:noWrap/>
            <w:vAlign w:val="bottom"/>
          </w:tcPr>
          <w:p w:rsidR="009534E2" w:rsidRDefault="009534E2">
            <w:pPr>
              <w:jc w:val="right"/>
              <w:rPr>
                <w:rFonts w:asciiTheme="majorHAnsi" w:hAnsiTheme="majorHAnsi" w:cstheme="majorHAnsi"/>
                <w:color w:val="000000"/>
              </w:rPr>
            </w:pPr>
          </w:p>
        </w:tc>
        <w:tc>
          <w:tcPr>
            <w:tcW w:w="88"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511" w:type="pct"/>
            <w:tcBorders>
              <w:top w:val="nil"/>
              <w:left w:val="nil"/>
              <w:bottom w:val="nil"/>
              <w:right w:val="nil"/>
              <w:tl2br w:val="nil"/>
              <w:tr2bl w:val="nil"/>
            </w:tcBorders>
            <w:shd w:val="clear" w:color="auto" w:fill="CCEEFF"/>
            <w:noWrap/>
            <w:vAlign w:val="bottom"/>
          </w:tcPr>
          <w:p w:rsidR="009534E2" w:rsidRDefault="009534E2">
            <w:pPr>
              <w:jc w:val="right"/>
              <w:rPr>
                <w:rFonts w:asciiTheme="majorHAnsi" w:hAnsiTheme="majorHAnsi" w:cstheme="majorHAnsi"/>
                <w:color w:val="000000"/>
              </w:rPr>
            </w:pPr>
          </w:p>
        </w:tc>
      </w:tr>
      <w:tr w:rsidR="009534E2">
        <w:tc>
          <w:tcPr>
            <w:tcW w:w="2136" w:type="pct"/>
            <w:tcBorders>
              <w:top w:val="nil"/>
              <w:left w:val="nil"/>
              <w:bottom w:val="nil"/>
              <w:right w:val="nil"/>
              <w:tl2br w:val="nil"/>
              <w:tr2bl w:val="nil"/>
            </w:tcBorders>
            <w:vAlign w:val="bottom"/>
          </w:tcPr>
          <w:p w:rsidR="009534E2" w:rsidRDefault="003369EB">
            <w:pPr>
              <w:rPr>
                <w:rFonts w:asciiTheme="majorHAnsi" w:hAnsiTheme="majorHAnsi" w:cstheme="majorHAnsi"/>
                <w:color w:val="000000"/>
              </w:rPr>
            </w:pPr>
            <w:bookmarkStart w:name="_6320485e_06a1_4ad1_8d9e_7000850a4be3" w:id="511"/>
            <w:bookmarkEnd w:id="510"/>
            <w:r>
              <w:rPr>
                <w:rFonts w:eastAsia="Times New Roman" w:asciiTheme="majorHAnsi" w:hAnsiTheme="majorHAnsi" w:cstheme="majorHAnsi"/>
                <w:color w:val="000000"/>
              </w:rPr>
              <w:t>Bonds issued</w:t>
            </w:r>
          </w:p>
        </w:tc>
        <w:tc>
          <w:tcPr>
            <w:tcW w:w="88"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46"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5,000</w:t>
            </w:r>
          </w:p>
        </w:tc>
        <w:tc>
          <w:tcPr>
            <w:tcW w:w="88"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46" w:type="pct"/>
            <w:tcBorders>
              <w:top w:val="nil"/>
              <w:left w:val="nil"/>
              <w:bottom w:val="nil"/>
              <w:right w:val="nil"/>
              <w:tl2br w:val="nil"/>
              <w:tr2bl w:val="nil"/>
            </w:tcBorders>
            <w:noWrap/>
            <w:vAlign w:val="bottom"/>
          </w:tcPr>
          <w:p w:rsidR="009534E2" w:rsidRDefault="003369EB">
            <w:pPr>
              <w:ind w:right="58"/>
              <w:jc w:val="center"/>
              <w:rPr>
                <w:rFonts w:asciiTheme="majorHAnsi" w:hAnsiTheme="majorHAnsi" w:cstheme="majorHAnsi"/>
                <w:color w:val="000000"/>
              </w:rPr>
            </w:pPr>
            <w:r>
              <w:rPr>
                <w:rFonts w:eastAsia="Times New Roman" w:asciiTheme="majorHAnsi" w:hAnsiTheme="majorHAnsi" w:cstheme="majorHAnsi"/>
                <w:color w:val="000000"/>
              </w:rPr>
              <w:t>9.3</w:t>
            </w:r>
          </w:p>
        </w:tc>
        <w:tc>
          <w:tcPr>
            <w:tcW w:w="88"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October 10, 2023</w:t>
            </w:r>
          </w:p>
        </w:tc>
        <w:tc>
          <w:tcPr>
            <w:tcW w:w="88"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single" w:color="000000" w:sz="4" w:space="0"/>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4,734</w:t>
            </w:r>
          </w:p>
        </w:tc>
        <w:tc>
          <w:tcPr>
            <w:tcW w:w="88"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single" w:color="000000" w:sz="4" w:space="0"/>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3,922</w:t>
            </w:r>
          </w:p>
        </w:tc>
      </w:tr>
      <w:tr w:rsidR="009534E2">
        <w:tc>
          <w:tcPr>
            <w:tcW w:w="2136"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b/>
                <w:color w:val="000000"/>
              </w:rPr>
            </w:pPr>
            <w:bookmarkStart w:name="_97b18167_60ba_48f5_af96_1e329187b8a5" w:id="512"/>
            <w:bookmarkEnd w:id="511"/>
            <w:r>
              <w:rPr>
                <w:rFonts w:eastAsia="Times New Roman" w:asciiTheme="majorHAnsi" w:hAnsiTheme="majorHAnsi" w:cstheme="majorHAnsi"/>
                <w:b/>
                <w:color w:val="000000"/>
              </w:rPr>
              <w:t>Total debt</w:t>
            </w:r>
          </w:p>
        </w:tc>
        <w:tc>
          <w:tcPr>
            <w:tcW w:w="88"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b/>
                <w:color w:val="000000"/>
              </w:rPr>
            </w:pPr>
          </w:p>
        </w:tc>
        <w:tc>
          <w:tcPr>
            <w:tcW w:w="446" w:type="pct"/>
            <w:tcBorders>
              <w:top w:val="nil"/>
              <w:left w:val="nil"/>
              <w:bottom w:val="nil"/>
              <w:right w:val="nil"/>
              <w:tl2br w:val="nil"/>
              <w:tr2bl w:val="nil"/>
            </w:tcBorders>
            <w:shd w:val="clear" w:color="auto" w:fill="CCEEFF"/>
            <w:noWrap/>
            <w:vAlign w:val="bottom"/>
          </w:tcPr>
          <w:p w:rsidR="009534E2" w:rsidRDefault="009534E2">
            <w:pPr>
              <w:jc w:val="right"/>
              <w:rPr>
                <w:rFonts w:asciiTheme="majorHAnsi" w:hAnsiTheme="majorHAnsi" w:cstheme="majorHAnsi"/>
                <w:b/>
                <w:color w:val="000000"/>
              </w:rPr>
            </w:pPr>
          </w:p>
        </w:tc>
        <w:tc>
          <w:tcPr>
            <w:tcW w:w="88"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b/>
                <w:color w:val="000000"/>
              </w:rPr>
            </w:pPr>
          </w:p>
        </w:tc>
        <w:tc>
          <w:tcPr>
            <w:tcW w:w="446"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88"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511" w:type="pct"/>
            <w:tcBorders>
              <w:top w:val="nil"/>
              <w:left w:val="nil"/>
              <w:bottom w:val="nil"/>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w:t>
            </w:r>
          </w:p>
        </w:tc>
        <w:tc>
          <w:tcPr>
            <w:tcW w:w="88"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single" w:color="000000" w:sz="4" w:space="0"/>
              <w:right w:val="nil"/>
              <w:tl2br w:val="nil"/>
              <w:tr2bl w:val="nil"/>
            </w:tcBorders>
            <w:shd w:val="clear" w:color="auto" w:fill="CCEEFF"/>
            <w:noWrap/>
            <w:vAlign w:val="bottom"/>
          </w:tcPr>
          <w:p w:rsidR="009534E2" w:rsidRDefault="003369EB">
            <w:pPr>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4,734</w:t>
            </w:r>
          </w:p>
        </w:tc>
        <w:tc>
          <w:tcPr>
            <w:tcW w:w="88"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single" w:color="000000" w:sz="4" w:space="0"/>
              <w:right w:val="nil"/>
              <w:tl2br w:val="nil"/>
              <w:tr2bl w:val="nil"/>
            </w:tcBorders>
            <w:shd w:val="clear" w:color="auto" w:fill="CCEEFF"/>
            <w:noWrap/>
            <w:vAlign w:val="bottom"/>
          </w:tcPr>
          <w:p w:rsidR="009534E2" w:rsidRDefault="003369EB">
            <w:pPr>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3,922</w:t>
            </w:r>
          </w:p>
        </w:tc>
      </w:tr>
      <w:tr w:rsidR="009534E2">
        <w:tc>
          <w:tcPr>
            <w:tcW w:w="2136" w:type="pct"/>
            <w:tcBorders>
              <w:top w:val="nil"/>
              <w:left w:val="nil"/>
              <w:bottom w:val="nil"/>
              <w:right w:val="nil"/>
              <w:tl2br w:val="nil"/>
              <w:tr2bl w:val="nil"/>
            </w:tcBorders>
            <w:vAlign w:val="bottom"/>
          </w:tcPr>
          <w:p w:rsidR="009534E2" w:rsidRDefault="003369EB">
            <w:pPr>
              <w:ind w:left="120"/>
              <w:rPr>
                <w:rFonts w:asciiTheme="majorHAnsi" w:hAnsiTheme="majorHAnsi" w:cstheme="majorHAnsi"/>
                <w:b/>
                <w:i/>
                <w:color w:val="000000"/>
              </w:rPr>
            </w:pPr>
            <w:bookmarkStart w:name="_4ffbcc43_2707_4cf9_8bd0_dfd81e8337b6" w:id="513"/>
            <w:bookmarkEnd w:id="512"/>
            <w:r>
              <w:rPr>
                <w:rFonts w:eastAsia="Times New Roman" w:asciiTheme="majorHAnsi" w:hAnsiTheme="majorHAnsi" w:cstheme="majorHAnsi"/>
                <w:b/>
                <w:i/>
                <w:color w:val="000000"/>
              </w:rPr>
              <w:t>Including short-term portion</w:t>
            </w:r>
          </w:p>
        </w:tc>
        <w:tc>
          <w:tcPr>
            <w:tcW w:w="88" w:type="pct"/>
            <w:tcBorders>
              <w:top w:val="nil"/>
              <w:left w:val="nil"/>
              <w:bottom w:val="nil"/>
              <w:right w:val="nil"/>
              <w:tl2br w:val="nil"/>
              <w:tr2bl w:val="nil"/>
            </w:tcBorders>
            <w:noWrap/>
            <w:vAlign w:val="bottom"/>
          </w:tcPr>
          <w:p w:rsidR="009534E2" w:rsidRDefault="009534E2">
            <w:pPr>
              <w:rPr>
                <w:rFonts w:asciiTheme="majorHAnsi" w:hAnsiTheme="majorHAnsi" w:cstheme="majorHAnsi"/>
                <w:b/>
                <w:i/>
                <w:color w:val="000000"/>
              </w:rPr>
            </w:pPr>
          </w:p>
        </w:tc>
        <w:tc>
          <w:tcPr>
            <w:tcW w:w="446" w:type="pct"/>
            <w:tcBorders>
              <w:top w:val="nil"/>
              <w:left w:val="nil"/>
              <w:bottom w:val="nil"/>
              <w:right w:val="nil"/>
              <w:tl2br w:val="nil"/>
              <w:tr2bl w:val="nil"/>
            </w:tcBorders>
            <w:noWrap/>
            <w:vAlign w:val="bottom"/>
          </w:tcPr>
          <w:p w:rsidR="009534E2" w:rsidRDefault="009534E2">
            <w:pPr>
              <w:jc w:val="right"/>
              <w:rPr>
                <w:rFonts w:asciiTheme="majorHAnsi" w:hAnsiTheme="majorHAnsi" w:cstheme="majorHAnsi"/>
                <w:b/>
                <w:i/>
              </w:rPr>
            </w:pPr>
          </w:p>
        </w:tc>
        <w:tc>
          <w:tcPr>
            <w:tcW w:w="88" w:type="pct"/>
            <w:tcBorders>
              <w:top w:val="nil"/>
              <w:left w:val="nil"/>
              <w:bottom w:val="nil"/>
              <w:right w:val="nil"/>
              <w:tl2br w:val="nil"/>
              <w:tr2bl w:val="nil"/>
            </w:tcBorders>
            <w:noWrap/>
            <w:vAlign w:val="bottom"/>
          </w:tcPr>
          <w:p w:rsidR="009534E2" w:rsidRDefault="009534E2">
            <w:pPr>
              <w:rPr>
                <w:rFonts w:asciiTheme="majorHAnsi" w:hAnsiTheme="majorHAnsi" w:cstheme="majorHAnsi"/>
                <w:b/>
                <w:i/>
              </w:rPr>
            </w:pPr>
          </w:p>
        </w:tc>
        <w:tc>
          <w:tcPr>
            <w:tcW w:w="446" w:type="pct"/>
            <w:tcBorders>
              <w:top w:val="nil"/>
              <w:left w:val="nil"/>
              <w:bottom w:val="nil"/>
              <w:right w:val="nil"/>
              <w:tl2br w:val="nil"/>
              <w:tr2bl w:val="nil"/>
            </w:tcBorders>
            <w:noWrap/>
            <w:vAlign w:val="bottom"/>
          </w:tcPr>
          <w:p w:rsidR="009534E2" w:rsidRDefault="009534E2">
            <w:pPr>
              <w:rPr>
                <w:rFonts w:asciiTheme="majorHAnsi" w:hAnsiTheme="majorHAnsi" w:cstheme="majorHAnsi"/>
              </w:rPr>
            </w:pPr>
          </w:p>
        </w:tc>
        <w:tc>
          <w:tcPr>
            <w:tcW w:w="88" w:type="pct"/>
            <w:tcBorders>
              <w:top w:val="nil"/>
              <w:left w:val="nil"/>
              <w:bottom w:val="nil"/>
              <w:right w:val="nil"/>
              <w:tl2br w:val="nil"/>
              <w:tr2bl w:val="nil"/>
            </w:tcBorders>
            <w:noWrap/>
            <w:vAlign w:val="bottom"/>
          </w:tcPr>
          <w:p w:rsidR="009534E2" w:rsidRDefault="009534E2">
            <w:pPr>
              <w:rPr>
                <w:rFonts w:asciiTheme="majorHAnsi" w:hAnsiTheme="majorHAnsi" w:cstheme="majorHAnsi"/>
              </w:rPr>
            </w:pPr>
          </w:p>
        </w:tc>
        <w:tc>
          <w:tcPr>
            <w:tcW w:w="511" w:type="pct"/>
            <w:tcBorders>
              <w:top w:val="nil"/>
              <w:left w:val="nil"/>
              <w:bottom w:val="nil"/>
              <w:right w:val="nil"/>
              <w:tl2br w:val="nil"/>
              <w:tr2bl w:val="nil"/>
            </w:tcBorders>
            <w:noWrap/>
            <w:vAlign w:val="bottom"/>
          </w:tcPr>
          <w:p w:rsidR="009534E2" w:rsidRDefault="009534E2">
            <w:pPr>
              <w:jc w:val="right"/>
              <w:rPr>
                <w:rFonts w:asciiTheme="majorHAnsi" w:hAnsiTheme="majorHAnsi" w:cstheme="majorHAnsi"/>
              </w:rPr>
            </w:pPr>
          </w:p>
        </w:tc>
        <w:tc>
          <w:tcPr>
            <w:tcW w:w="88" w:type="pct"/>
            <w:tcBorders>
              <w:top w:val="nil"/>
              <w:left w:val="nil"/>
              <w:bottom w:val="nil"/>
              <w:right w:val="nil"/>
              <w:tl2br w:val="nil"/>
              <w:tr2bl w:val="nil"/>
            </w:tcBorders>
            <w:noWrap/>
            <w:vAlign w:val="bottom"/>
          </w:tcPr>
          <w:p w:rsidR="009534E2" w:rsidRDefault="003369EB">
            <w:pPr>
              <w:rPr>
                <w:rFonts w:asciiTheme="majorHAnsi" w:hAnsiTheme="majorHAnsi" w:cstheme="majorHAnsi"/>
              </w:rPr>
            </w:pPr>
            <w:r>
              <w:rPr>
                <w:rFonts w:eastAsia="Times New Roman" w:asciiTheme="majorHAnsi" w:hAnsiTheme="majorHAnsi" w:cstheme="majorHAnsi"/>
              </w:rPr>
              <w:t> </w:t>
            </w:r>
          </w:p>
        </w:tc>
        <w:tc>
          <w:tcPr>
            <w:tcW w:w="511" w:type="pct"/>
            <w:tcBorders>
              <w:top w:val="nil"/>
              <w:left w:val="nil"/>
              <w:bottom w:val="single" w:color="000000" w:sz="4" w:space="0"/>
              <w:right w:val="nil"/>
              <w:tl2br w:val="nil"/>
              <w:tr2bl w:val="nil"/>
            </w:tcBorders>
            <w:noWrap/>
            <w:vAlign w:val="bottom"/>
          </w:tcPr>
          <w:p w:rsidR="009534E2" w:rsidRDefault="003369EB">
            <w:pPr>
              <w:ind w:right="60"/>
              <w:jc w:val="right"/>
              <w:rPr>
                <w:rFonts w:asciiTheme="majorHAnsi" w:hAnsiTheme="majorHAnsi" w:cstheme="majorHAnsi"/>
                <w:b/>
                <w:i/>
              </w:rPr>
            </w:pPr>
            <w:r>
              <w:rPr>
                <w:rFonts w:eastAsia="Times New Roman" w:asciiTheme="majorHAnsi" w:hAnsiTheme="majorHAnsi" w:cstheme="majorHAnsi"/>
                <w:b/>
                <w:i/>
              </w:rPr>
              <w:t xml:space="preserve"> 86</w:t>
            </w:r>
          </w:p>
        </w:tc>
        <w:tc>
          <w:tcPr>
            <w:tcW w:w="88" w:type="pct"/>
            <w:tcBorders>
              <w:top w:val="nil"/>
              <w:left w:val="nil"/>
              <w:bottom w:val="nil"/>
              <w:right w:val="nil"/>
              <w:tl2br w:val="nil"/>
              <w:tr2bl w:val="nil"/>
            </w:tcBorders>
            <w:noWrap/>
            <w:vAlign w:val="bottom"/>
          </w:tcPr>
          <w:p w:rsidR="009534E2" w:rsidRDefault="003369EB">
            <w:pPr>
              <w:rPr>
                <w:rFonts w:asciiTheme="majorHAnsi" w:hAnsiTheme="majorHAnsi" w:cstheme="majorHAnsi"/>
              </w:rPr>
            </w:pPr>
            <w:r>
              <w:rPr>
                <w:rFonts w:eastAsia="Times New Roman" w:asciiTheme="majorHAnsi" w:hAnsiTheme="majorHAnsi" w:cstheme="majorHAnsi"/>
              </w:rPr>
              <w:t> </w:t>
            </w:r>
          </w:p>
        </w:tc>
        <w:tc>
          <w:tcPr>
            <w:tcW w:w="511" w:type="pct"/>
            <w:tcBorders>
              <w:top w:val="nil"/>
              <w:left w:val="nil"/>
              <w:bottom w:val="single" w:color="000000" w:sz="4" w:space="0"/>
              <w:right w:val="nil"/>
              <w:tl2br w:val="nil"/>
              <w:tr2bl w:val="nil"/>
            </w:tcBorders>
            <w:noWrap/>
            <w:vAlign w:val="bottom"/>
          </w:tcPr>
          <w:p w:rsidR="009534E2" w:rsidRDefault="003369EB">
            <w:pPr>
              <w:ind w:right="60"/>
              <w:jc w:val="right"/>
              <w:rPr>
                <w:rFonts w:asciiTheme="majorHAnsi" w:hAnsiTheme="majorHAnsi" w:cstheme="majorHAnsi"/>
                <w:b/>
                <w:i/>
              </w:rPr>
            </w:pPr>
            <w:r>
              <w:rPr>
                <w:rFonts w:eastAsia="Times New Roman" w:asciiTheme="majorHAnsi" w:hAnsiTheme="majorHAnsi" w:cstheme="majorHAnsi"/>
                <w:b/>
                <w:i/>
              </w:rPr>
              <w:t xml:space="preserve"> 3,922</w:t>
            </w:r>
          </w:p>
        </w:tc>
      </w:tr>
    </w:tbl>
    <w:bookmarkEnd w:id="502"/>
    <w:bookmarkEnd w:id="513"/>
    <w:p w:rsidR="009534E2" w:rsidRDefault="00EC0AE1">
      <w:pPr>
        <w:tabs>
          <w:tab w:val="left" w:pos="1055"/>
        </w:tabs>
        <w:ind w:left="461" w:hanging="461"/>
        <w:rPr>
          <w:rFonts w:eastAsia="Times New Roman" w:asciiTheme="majorHAnsi" w:hAnsiTheme="majorHAnsi" w:cstheme="majorHAnsi"/>
          <w:u w:val="single"/>
        </w:rPr>
      </w:pPr>
      <w:r>
        <w:rPr>
          <w:rFonts w:eastAsia="Times New Roman" w:asciiTheme="majorHAnsi" w:hAnsiTheme="majorHAnsi" w:cstheme="majorHAnsi"/>
          <w:sz w:val="8"/>
          <w:szCs w:val="8"/>
          <w:lang w:eastAsia="ru-RU"/>
        </w:rPr>
        <w:pict w14:anchorId="494E175A">
          <v:rect id="_x0000_i1045" style="width:135pt;height:1.5pt" o:hr="t" o:hrstd="t" o:hrnoshade="t" o:hrpct="250" fillcolor="black" stroked="f"/>
        </w:pict>
      </w:r>
    </w:p>
    <w:p w:rsidR="009534E2" w:rsidRDefault="003369EB">
      <w:pPr>
        <w:tabs>
          <w:tab w:val="left" w:pos="1055"/>
        </w:tabs>
        <w:ind w:left="461" w:hanging="461"/>
        <w:rPr>
          <w:rFonts w:eastAsia="Times New Roman" w:asciiTheme="majorHAnsi" w:hAnsiTheme="majorHAnsi" w:cstheme="majorHAnsi"/>
          <w:lang w:eastAsia="ru-RU"/>
        </w:rPr>
      </w:pPr>
      <w:r>
        <w:rPr>
          <w:rFonts w:eastAsia="Times New Roman" w:asciiTheme="majorHAnsi" w:hAnsiTheme="majorHAnsi" w:cstheme="majorHAnsi"/>
        </w:rPr>
        <w:t>(1)</w:t>
      </w:r>
      <w:r>
        <w:rPr>
          <w:rFonts w:eastAsia="Times New Roman" w:asciiTheme="majorHAnsi" w:hAnsiTheme="majorHAnsi" w:cstheme="majorHAnsi"/>
        </w:rPr>
        <w:tab/>
      </w:r>
      <w:r>
        <w:rPr>
          <w:rFonts w:eastAsia="Times New Roman" w:asciiTheme="majorHAnsi" w:hAnsiTheme="majorHAnsi" w:cstheme="majorHAnsi"/>
          <w:lang w:eastAsia="ru-RU"/>
        </w:rPr>
        <w:t>The agreement stipulated the right of a lender to increase the interest rate in case the covenants are violated. The Group was in compliance with all covenants as of December 31, 2022.</w:t>
      </w:r>
    </w:p>
    <w:p w:rsidR="009534E2" w:rsidRDefault="009534E2">
      <w:pPr>
        <w:tabs>
          <w:tab w:val="left" w:pos="1055"/>
        </w:tabs>
        <w:ind w:left="461" w:hanging="461"/>
        <w:rPr>
          <w:rFonts w:eastAsia="Times New Roman" w:asciiTheme="majorHAnsi" w:hAnsiTheme="majorHAnsi" w:cstheme="majorHAnsi"/>
          <w:lang w:eastAsia="ru-RU"/>
        </w:rPr>
      </w:pPr>
    </w:p>
    <w:p w:rsidR="009534E2" w:rsidRDefault="003369EB">
      <w:pPr>
        <w:spacing w:after="200"/>
        <w:ind w:firstLine="426"/>
        <w:rPr>
          <w:rFonts w:eastAsia="Times New Roman" w:asciiTheme="majorHAnsi" w:hAnsiTheme="majorHAnsi" w:cstheme="majorHAnsi"/>
          <w:lang w:eastAsia="ru-RU"/>
        </w:rPr>
      </w:pPr>
      <w:r>
        <w:rPr>
          <w:rFonts w:eastAsia="Times New Roman" w:asciiTheme="majorHAnsi" w:hAnsiTheme="majorHAnsi" w:cstheme="majorHAnsi"/>
          <w:lang w:eastAsia="ru-RU"/>
        </w:rPr>
        <w:t>In October 2020 we issued unsecured bonds in the principal amount of RUB 5 billion with a fixed nominal interest rate of 8.4% (issuing costs amounted to RUB 83 million, so that effective interest rate comprised 9.3%). The bonds mature in 2023. Certain of our Group companies are subject to various covenants pursuant to the terms of these bonds. As of December 31, 2022, and December 31, 2021, we were in compliance with all such covenants. Under the terms of the bonds, in the event of a breach of certain covenants the bondholders have the right to request that the company, JSC QIWI and Sette FZ-LLC purchase their Bonds at their nominal value plus any interest accrued but not yet paid and, in certain instances, a default interest. The proceeds from the bond placement are used to finance our ROWI project as well as for other projects.</w:t>
      </w:r>
    </w:p>
    <w:p w:rsidR="009534E2" w:rsidRDefault="003369EB">
      <w:pPr>
        <w:spacing w:after="200"/>
        <w:ind w:firstLine="426"/>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Interest expense with respect to the entirety of our debt amounted to RUB 360 million in 2022 compared to RUB 501 million in 2021. </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C.</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Research</w:t>
      </w:r>
      <w:r>
        <w:rPr>
          <w:rFonts w:eastAsia="Times New Roman" w:asciiTheme="majorHAnsi" w:hAnsiTheme="majorHAnsi" w:cstheme="majorHAnsi"/>
          <w:b/>
          <w:bCs/>
          <w:lang w:eastAsia="ru-RU"/>
        </w:rPr>
        <w:t xml:space="preserve"> and development, patents and licenses, etc.</w:t>
      </w:r>
      <w:bookmarkStart w:name="CResearchanddevelopmentpatentsandlicense" w:id="514"/>
      <w:bookmarkEnd w:id="514"/>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See Item 4B “</w:t>
      </w:r>
      <w:r>
        <w:rPr>
          <w:rFonts w:eastAsia="Times New Roman" w:asciiTheme="majorHAnsi" w:hAnsiTheme="majorHAnsi" w:cstheme="majorHAnsi"/>
          <w:i/>
          <w:iCs/>
          <w:lang w:eastAsia="ru-RU"/>
        </w:rPr>
        <w:t>Business Overview — Intellectual Property</w:t>
      </w:r>
      <w:r>
        <w:rPr>
          <w:rFonts w:eastAsia="Times New Roman" w:asciiTheme="majorHAnsi" w:hAnsiTheme="majorHAnsi" w:cstheme="majorHAnsi"/>
          <w:lang w:eastAsia="ru-RU"/>
        </w:rPr>
        <w:t>.”</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D.</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Trend information</w:t>
      </w:r>
      <w:bookmarkStart w:name="DTrendinformation_369026" w:id="515"/>
      <w:bookmarkEnd w:id="515"/>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In 2022, our Payment Services segment payment volumes increased due to higher number of operations via our CONTACT money remittance payment system, onboarding of new merchants and aggregators, increase of payment volume using QIWI Wallet for numerous types of services, and growing payment volume from our product offering for self-employed and peer-to-peer operations. We also observed an increase of Payment Services segment net revenue yield mainly driven by a combination of terminated low-margin TSUPIS operations since October 2021, lower third-party processing commissions for payment operations, improved economics of payouts on the taxi market post acquisition of Taxiaggregator SaaS platform, increased share of operations with higher commissions on currency conversion, and higher interest income driven by a higher Central Bank base rate. A combination of higher payment volumes and improved net revenue yield resulted into higher Payment Services segment net revenue year over year (see Item 5A </w:t>
      </w:r>
      <w:r>
        <w:rPr>
          <w:rFonts w:eastAsia="Times New Roman" w:asciiTheme="majorHAnsi" w:hAnsiTheme="majorHAnsi" w:cstheme="majorHAnsi"/>
          <w:i/>
          <w:iCs/>
          <w:lang w:eastAsia="ru-RU"/>
        </w:rPr>
        <w:t>“Operating Measures”)</w:t>
      </w:r>
      <w:r>
        <w:rPr>
          <w:rFonts w:eastAsia="Times New Roman" w:asciiTheme="majorHAnsi" w:hAnsiTheme="majorHAnsi" w:cstheme="majorHAnsi"/>
          <w:lang w:eastAsia="ru-RU"/>
        </w:rPr>
        <w: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Our volumes and revenues in the Payment Services segment were also affected by other factors including the implementation of additional know-your-client and anti-money laundering measures, regulatory changes in the betting market and long-lasting implications of the COVID-19 outbreak resulting in various "shelter-in-place" regulations, lockdowns, bans on international travel, cancellations of public events, and supply chain disruptions. The coronavirus pandemic is still ongoing, and significant quarantine restrictions may still be used or implemented. The full impact of the COVID-19 pandemic on the global economy is difficult to predict due to the lack of clarity on how long it could be expected to last. See also </w:t>
      </w:r>
      <w:r>
        <w:rPr>
          <w:rFonts w:eastAsia="Times New Roman" w:asciiTheme="majorHAnsi" w:hAnsiTheme="majorHAnsi" w:cstheme="majorHAnsi"/>
          <w:i/>
          <w:iCs/>
          <w:lang w:eastAsia="ru-RU"/>
        </w:rPr>
        <w:t>“–  Impact of COVID-19”</w:t>
      </w:r>
      <w:r>
        <w:rPr>
          <w:rFonts w:eastAsia="Times New Roman" w:asciiTheme="majorHAnsi" w:hAnsiTheme="majorHAnsi" w:cstheme="majorHAnsi"/>
          <w:lang w:eastAsia="ru-RU"/>
        </w:rPr>
        <w:t>.</w:t>
      </w:r>
    </w:p>
    <w:p w:rsidR="009534E2" w:rsidRDefault="003369EB">
      <w:pPr>
        <w:spacing w:after="200"/>
        <w:ind w:firstLine="461"/>
        <w:rPr>
          <w:rFonts w:eastAsia="Times New Roman" w:asciiTheme="majorHAnsi" w:hAnsiTheme="majorHAnsi" w:cstheme="majorHAnsi"/>
          <w:iCs/>
        </w:rPr>
      </w:pPr>
      <w:r>
        <w:rPr>
          <w:rFonts w:eastAsia="Times New Roman" w:asciiTheme="majorHAnsi" w:hAnsiTheme="majorHAnsi" w:cstheme="majorHAnsi"/>
          <w:lang w:eastAsia="ru-RU"/>
        </w:rPr>
        <w:t>In December 2020, following the routine scheduled audit of Qiwi Bank, the CBR introduced certain restrictions on Qiwi Bank’s operations, including, effective from December 2020, the suspension or limitation of most types of payments to foreign merchants and money transfers to pre-paid cards from corporate accounts. The restrictions introduced by the CBR have substantially affected our business, financial condition, and results of operations, primarily through decreasing the e-commerce and money remittance volumes, and as a result, our revenues and profits.</w:t>
      </w:r>
      <w:r>
        <w:rPr>
          <w:rFonts w:eastAsia="Times New Roman" w:asciiTheme="majorHAnsi" w:hAnsiTheme="majorHAnsi" w:cstheme="majorHAnsi"/>
          <w:iCs/>
          <w:lang w:eastAsia="ru-RU"/>
        </w:rPr>
        <w:t xml:space="preserve"> We worked closely with the CBR to remediate the identified deficiencies and violations and eliminate the restrictions that have been imposed. As a result of such cooperation, all restrictions with respect to QIWI expired in May, 2021, although this did not result in full restoration of the respective volumes. There can be no assurance that no new restrictions will be adopted.in the future.</w:t>
      </w:r>
    </w:p>
    <w:p w:rsidR="009534E2" w:rsidRDefault="003369EB">
      <w:pPr>
        <w:spacing w:after="200"/>
        <w:ind w:firstLine="461"/>
        <w:rPr>
          <w:rFonts w:eastAsia="Times New Roman" w:asciiTheme="majorHAnsi" w:hAnsiTheme="majorHAnsi" w:cstheme="majorHAnsi"/>
          <w:sz w:val="22"/>
        </w:rPr>
      </w:pPr>
      <w:r>
        <w:rPr>
          <w:rFonts w:eastAsia="Times New Roman" w:asciiTheme="majorHAnsi" w:hAnsiTheme="majorHAnsi" w:cstheme="majorHAnsi"/>
          <w:lang w:eastAsia="ru-RU"/>
        </w:rPr>
        <w:t>Our results have also been affected by regulatory changes in the betting market landscape. In December 2020, a new law was adopted, creating the Unified Interactive Bets Accounting Center's role. We made public proposal to serve as the single Interactive Bets Accounting Center pursuant by the new regulatory regime but our bid was not successful. In October 2021, the newly-appointed Unified Interactive Bets Accounting Center replaced QIWI TSUPIS. As a result, we lost the ability to generate volume and income directly related to TSUPIS business in Russia starting from 4Q 2021, although we retained betting revenues generated from QIWI Wallet services, including commissions for betting accounts top-ups and winning payouts. The combined betting stream represented 26% (or RUB 351.6 billion) of Payment Services segment payment volumes and 38% (or RUB 5,225 million) of Payment Services segment payment net revenue for 9M 2021. QIWI’s TSUPIS business and related acquiring services for 9M 2021 accounted 23% (or RUB 3,246 million) of Payment Services segment payment net revenue.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In September 2021, the Central Bank of Russia introduced heightened scrutiny recommendations with respect to peer-to-peer transactions with a view to eradicate such transactions which de-facto represent payments for various illicit or improper services. These recommendations require financial institutions such as ourselves to track transactions that are deemed suspicious under the various criteria imposed by the recommendations, cancel such suspicious transactions under certain circumstances and terminate relationships with the relevant clients carrying out such transactions. Started from 2022, CBR collects from credit institutions specialized reports focused specifically on their peer-to-peer transactions. Due to the broad scope of suspiciousness criteria, in practice suspicious transactions may be difficult to distinguish from legitimate peer-to-peer transfers, and it is likely that certain bona fide operations that do not involve anything illegal or improper may also be affected as the market participants, including our company, seek to institute controls aimed at compliance with the new guidelines. It may be expected that the volume of the peer-to-peer transfers in Russia generally (and our respective volumes in particular) will deteriorate as a result of these measures (see Item 3D Risk Factors “ – </w:t>
      </w:r>
      <w:r>
        <w:rPr>
          <w:rFonts w:eastAsia="Times New Roman" w:asciiTheme="majorHAnsi" w:hAnsiTheme="majorHAnsi" w:cstheme="majorHAnsi"/>
          <w:i/>
          <w:iCs/>
          <w:lang w:eastAsia="ru-RU"/>
        </w:rPr>
        <w:t>Our services have been and may continue to be used for fraudulent, illegal or improper purposes, which could expose us to additional liability and harm our business</w:t>
      </w:r>
      <w:r>
        <w:rPr>
          <w:rFonts w:eastAsia="Times New Roman" w:asciiTheme="majorHAnsi" w:hAnsiTheme="majorHAnsi" w:cstheme="majorHAnsi"/>
          <w:lang w:eastAsia="ru-RU"/>
        </w:rPr>
        <w: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The Ukraine crisis, which started in late 2013 and escalated into a major military conflict between Russia and Ukraine in February 2022, has had a devastating effect on Russian relations with the West. In response to the Ukraine crisis, Ukraine, the European Union and the United States (as well as numerous other countries such as Switzerland, Japan, Norway, Canada and Australia) have passed a variety of economic sanctions against numerous Russian banks, other companies, private individuals, and whole sectors of Russian economy, as well as “sectoral” sanctions affecting specified types of transactions with named participants in certain industries, including named Russian financial institutions. During 2022, we saw the imposition of severe measures that have hitherto been unprecedented.</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These sanctions have had and will continue to have the effect of damaging the Russian economy. In addition, the introduction of further economic,trade or other sanctions remains highly likely as the conflict in Ukraine develops. We cannot predict the full impact of these matters on our business and results of operations, due to the fact that the related developments are highly unpredictable and occur swiftly, often with little notice. While the current scope of sanctions does not target QIWI directly, there can be no assurance that additional sanctions affecting our company will not be imposed. You are urged to read these observations in conjunction with the information provided elsewhere in this annual report (see Item 3D “</w:t>
      </w:r>
      <w:r>
        <w:rPr>
          <w:rFonts w:eastAsia="Times New Roman" w:asciiTheme="majorHAnsi" w:hAnsiTheme="majorHAnsi" w:cstheme="majorHAnsi"/>
          <w:i/>
          <w:iCs/>
          <w:lang w:eastAsia="ru-RU"/>
        </w:rPr>
        <w:t>Risk Factors – The conflict between Russia and Ukraine, and particularly its 2022 escalation, the US, EU, UK and other countries’ sanctions that have been imposed in connection therewith, the resulting negative implications on the Russian economy, and the measures that are being adopted by Russia in response, could adversely impact our operations and financial condition</w:t>
      </w:r>
      <w:r>
        <w:rPr>
          <w:rFonts w:eastAsia="Times New Roman" w:asciiTheme="majorHAnsi" w:hAnsiTheme="majorHAnsi" w:cstheme="majorHAnsi"/>
          <w:lang w:eastAsia="ru-RU"/>
        </w:rPr>
        <w:t xml:space="preserve">”, Item 5A “– </w:t>
      </w:r>
      <w:r>
        <w:rPr>
          <w:rFonts w:eastAsia="Times New Roman" w:asciiTheme="majorHAnsi" w:hAnsiTheme="majorHAnsi" w:cstheme="majorHAnsi"/>
          <w:i/>
          <w:iCs/>
          <w:lang w:eastAsia="ru-RU"/>
        </w:rPr>
        <w:t>Impact of geopolitical developments in Russia and related sanctions</w:t>
      </w:r>
      <w:r>
        <w:rPr>
          <w:rFonts w:eastAsia="Times New Roman" w:asciiTheme="majorHAnsi" w:hAnsiTheme="majorHAnsi" w:cstheme="majorHAnsi"/>
          <w:lang w:eastAsia="ru-RU"/>
        </w:rPr>
        <w:t>”, and Note 31 “</w:t>
      </w:r>
      <w:r>
        <w:rPr>
          <w:rFonts w:eastAsia="Times New Roman" w:asciiTheme="majorHAnsi" w:hAnsiTheme="majorHAnsi" w:cstheme="majorHAnsi"/>
          <w:i/>
          <w:iCs/>
          <w:lang w:eastAsia="ru-RU"/>
        </w:rPr>
        <w:t>Events after the reporting date</w:t>
      </w:r>
      <w:r>
        <w:rPr>
          <w:rFonts w:eastAsia="Times New Roman" w:asciiTheme="majorHAnsi" w:hAnsiTheme="majorHAnsi" w:cstheme="majorHAnsi"/>
          <w:lang w:eastAsia="ru-RU"/>
        </w:rPr>
        <w:t>” of the audited consolidated financial statements included in this annual report).</w:t>
      </w:r>
    </w:p>
    <w:p w:rsidR="009534E2" w:rsidRDefault="003369EB">
      <w:pPr>
        <w:spacing w:after="200"/>
        <w:ind w:firstLine="426"/>
        <w:rPr>
          <w:rFonts w:eastAsia="Times New Roman" w:asciiTheme="majorHAnsi" w:hAnsiTheme="majorHAnsi" w:cstheme="majorHAnsi"/>
        </w:rPr>
      </w:pPr>
      <w:r>
        <w:rPr>
          <w:rFonts w:eastAsia="Times New Roman" w:asciiTheme="majorHAnsi" w:hAnsiTheme="majorHAnsi" w:cstheme="majorHAnsi"/>
          <w:lang w:eastAsia="ru-RU"/>
        </w:rPr>
        <w:t>As a result of these factors, our growth potential may be significantly affected during 2023. Please see also Item 3D “</w:t>
      </w:r>
      <w:r>
        <w:rPr>
          <w:rFonts w:eastAsia="Times New Roman" w:asciiTheme="majorHAnsi" w:hAnsiTheme="majorHAnsi" w:cstheme="majorHAnsi"/>
          <w:i/>
          <w:iCs/>
          <w:lang w:eastAsia="ru-RU"/>
        </w:rPr>
        <w:t>Risk Factors</w:t>
      </w:r>
      <w:r>
        <w:rPr>
          <w:rFonts w:eastAsia="Times New Roman" w:asciiTheme="majorHAnsi" w:hAnsiTheme="majorHAnsi" w:cstheme="majorHAnsi"/>
          <w:lang w:eastAsia="ru-RU"/>
        </w:rPr>
        <w:t>."</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eastAsia="ru-RU"/>
        </w:rPr>
        <w:t>E.</w:t>
      </w:r>
      <w:r>
        <w:rPr>
          <w:rFonts w:eastAsia="Times New Roman" w:asciiTheme="majorHAnsi" w:hAnsiTheme="majorHAnsi" w:cstheme="majorHAnsi"/>
          <w:sz w:val="24"/>
          <w:szCs w:val="24"/>
          <w:lang w:eastAsia="ru-RU"/>
        </w:rPr>
        <w:tab/>
      </w:r>
      <w:r>
        <w:rPr>
          <w:rFonts w:eastAsia="Times New Roman" w:asciiTheme="majorHAnsi" w:hAnsiTheme="majorHAnsi" w:cstheme="majorHAnsi"/>
          <w:b/>
          <w:bCs/>
          <w:lang w:eastAsia="ru-RU"/>
        </w:rPr>
        <w:t>Critical Accounting Estimates</w:t>
      </w:r>
      <w:bookmarkStart w:name="ECriticalAccountingEstimates_525036" w:id="516"/>
      <w:bookmarkEnd w:id="516"/>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The preparation of consolidated financial statements in conformity with IFRS requires management to make judgments, estimates and assumptions that affect the reported amounts of assets and liabilities, disclosures of contingent assets and liabilities at the reporting dates and the reported amounts of revenues and expenses during the reporting periods. However, uncertainty about these assumptions and estimates could result in outcomes that require a material adjustment to the carrying amount of the asset or liability affected in future periods. The most significant judgments relate to the recognition of control, joint control or significant influence over entities. The most significant estimates and assumptions relate to determination of the fair values of assets acquired and liabilities assumed in business combinations, useful life of intangible assets, impairment of goodwill and intangible assets, impairment of financial assets, uncertain position over risk assessment, fair values of assets and liabilities acquired in business combinations, ECL measurement. We have based our estimates on historical experience and on various other assumptions that we believe to be reasonable under the circumstances, the results of which form the basis for making judgments about the carrying values of assets and liabilities that are not readily apparent from other sources. Actual results may materially differ from these estimates under different assumptions or conditions.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Critical accounting estimates are those estimates made in accordance with generally accepted accounting principles that involve a significant level of estimation uncertainty and have had or are reasonably likely to have a material impact on the financial condition or results of operations. We believe that the following critical accounting estimates are the most sensitive and require more significant estimates and assumptions used in the preparation of our consolidated financial statements. You should read the following descriptions of critical accounting estimates, judgments and policies in conjunction with our consolidated financial statements and other disclosures included in this annual report.</w:t>
      </w:r>
    </w:p>
    <w:p w:rsidR="009534E2" w:rsidRDefault="003369EB">
      <w:pPr>
        <w:keepNext/>
        <w:keepLines/>
        <w:spacing w:after="200"/>
        <w:rPr>
          <w:rFonts w:eastAsia="Times New Roman" w:asciiTheme="majorHAnsi" w:hAnsiTheme="majorHAnsi" w:cstheme="majorHAnsi"/>
          <w:bCs/>
          <w:iCs/>
        </w:rPr>
      </w:pPr>
      <w:r>
        <w:rPr>
          <w:rFonts w:eastAsia="Times New Roman" w:asciiTheme="majorHAnsi" w:hAnsiTheme="majorHAnsi" w:cstheme="majorHAnsi"/>
          <w:b/>
          <w:bCs/>
          <w:i/>
          <w:iCs/>
          <w:lang w:eastAsia="ru-RU"/>
        </w:rPr>
        <w:t>Recognition of control, joint control, or significant influence over entities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In assessing business combination, we analyze all relevant terms and conditions of management of the acquired or newly established entities and exercise judgment in deciding whether we have control, joint control, or significant influence over them. As a result, certain acquisitions where our share is over 50% may not be recognized as consolidated subsidiaries and vice versa.</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i/>
          <w:iCs/>
          <w:lang w:eastAsia="ru-RU"/>
        </w:rPr>
        <w:t>Fair values of assets and liabilities acquired in business combinations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We recognize separately, at the acquisition date, the identifiable assets, liabilities and contingent liabilities acquired or assumed in the business combination at their fair values, which involves estimates. Such estimates are based on valuation techniques, which require considerable judgment in forecasting future cash flows and developing other assumptions.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i/>
          <w:iCs/>
          <w:lang w:eastAsia="ru-RU"/>
        </w:rPr>
        <w:t>Impairment of goodwill and intangible assets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rPr>
        <w:t>Impairment exists when the carrying value of an asset or cash generating unit exceeds its recoverable amount, which is the higher of its fair value less costs of disposal and its value in use. The fair value less costs of disposal calculation is based on available data from binding sales transactions, conducted at arm’s length, for similar assets or observable market prices less incremental costs of disposing of the asset. The value in use calculation, which is the main method for CGU level, is based on a DCF model. The cash flows are derived from the budget for the next three years and do not include restructuring activities that the Group is not yet committed to or significant future investments that will enhance the performance of the assets of the CGU being tested. The recoverable amount is sensitive to the discount rate used for the DCF model as well as the expected future cash-inflows and the growth rate used for extrapolation purposes. These estimates are most relevant to goodwill and other intangibles with indefinite useful lives recognised by the Group.</w:t>
      </w:r>
    </w:p>
    <w:p w:rsidR="009534E2" w:rsidRDefault="003369EB">
      <w:pPr>
        <w:keepNext/>
        <w:keepLines/>
        <w:spacing w:after="200"/>
        <w:rPr>
          <w:rFonts w:eastAsia="Times New Roman" w:asciiTheme="majorHAnsi" w:hAnsiTheme="majorHAnsi" w:cstheme="majorHAnsi"/>
          <w:b/>
          <w:bCs/>
          <w:i/>
          <w:iCs/>
          <w:lang w:eastAsia="ru-RU"/>
        </w:rPr>
      </w:pPr>
      <w:r>
        <w:rPr>
          <w:rFonts w:eastAsia="Times New Roman" w:asciiTheme="majorHAnsi" w:hAnsiTheme="majorHAnsi" w:cstheme="majorHAnsi"/>
          <w:b/>
          <w:bCs/>
          <w:i/>
          <w:iCs/>
          <w:lang w:eastAsia="ru-RU"/>
        </w:rPr>
        <w:t>ECL measurement</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We record an allowance for ECLs for financial guarantees, all loans, loan commitments and other debt financial assets not held at FVPL. The ECL allowance is based on the credit losses expected to arise over the life of the asset (the lifetime expected credit loss or LTECL), unless there has been no significant increase in credit risk since origination, in which case, the allowance is based on the 12 months’ expected credit loss (12mECL). The 12mECL is the portion of LTECL that represents the ECLs that result from default events on a financial instrument that are possible within the 12 months after the reporting date. Both LTECL and 12mECL are calculated on either an individual basis or a collective basis, depending on the nature of the underlying portfolio of financial instruments.</w:t>
      </w:r>
    </w:p>
    <w:p w:rsidR="009534E2" w:rsidRDefault="003369EB">
      <w:pPr>
        <w:keepNext/>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ECLs are based on the difference between the contractual cash flows due in accordance with the contract and all the cash flows that the Group expects to receive. The shortfall is then discounted at an approximation to the asset’s original effective interest rate. The mechanics of the ECL calculations are outlined below and the key elements are as follows:</w:t>
      </w:r>
    </w:p>
    <w:p w:rsidR="009534E2" w:rsidRDefault="003369EB">
      <w:pPr>
        <w:tabs>
          <w:tab w:val="left" w:pos="711"/>
        </w:tabs>
        <w:spacing w:after="200"/>
        <w:ind w:left="714" w:hanging="714"/>
        <w:rPr>
          <w:rFonts w:eastAsia="Times New Roman" w:asciiTheme="majorHAnsi" w:hAnsiTheme="majorHAnsi" w:cstheme="majorHAnsi"/>
          <w:lang w:eastAsia="ru-RU"/>
        </w:rPr>
      </w:pPr>
      <w:r>
        <w:rPr>
          <w:rFonts w:eastAsia="Times New Roman" w:asciiTheme="majorHAnsi" w:hAnsiTheme="majorHAnsi" w:cstheme="majorHAnsi"/>
        </w:rPr>
        <w:t>PD</w:t>
      </w:r>
      <w:r>
        <w:rPr>
          <w:rFonts w:eastAsia="Times New Roman" w:asciiTheme="majorHAnsi" w:hAnsiTheme="majorHAnsi" w:cstheme="majorHAnsi"/>
          <w:lang w:eastAsia="ru-RU"/>
        </w:rPr>
        <w:tab/>
      </w:r>
      <w:r>
        <w:rPr>
          <w:rFonts w:eastAsia="Times New Roman" w:asciiTheme="majorHAnsi" w:hAnsiTheme="majorHAnsi" w:cstheme="majorHAnsi"/>
        </w:rPr>
        <w:t>The Probability of Default is an estimate of the likelihood of default over a given time horizon. A default may only happen at a certain time over the assessed period, if the facility has not been previously derecognized and is still in the portfolio.</w:t>
      </w:r>
    </w:p>
    <w:p w:rsidR="009534E2" w:rsidRDefault="003369EB">
      <w:pPr>
        <w:tabs>
          <w:tab w:val="left" w:pos="711"/>
        </w:tabs>
        <w:spacing w:after="200"/>
        <w:ind w:left="714" w:hanging="714"/>
        <w:rPr>
          <w:rFonts w:eastAsia="Times New Roman" w:asciiTheme="majorHAnsi" w:hAnsiTheme="majorHAnsi" w:cstheme="majorHAnsi"/>
          <w:lang w:eastAsia="ru-RU"/>
        </w:rPr>
      </w:pPr>
      <w:r>
        <w:rPr>
          <w:rFonts w:eastAsia="Times New Roman" w:asciiTheme="majorHAnsi" w:hAnsiTheme="majorHAnsi" w:cstheme="majorHAnsi"/>
        </w:rPr>
        <w:t>EAD</w:t>
      </w:r>
      <w:r>
        <w:rPr>
          <w:rFonts w:eastAsia="Times New Roman" w:asciiTheme="majorHAnsi" w:hAnsiTheme="majorHAnsi" w:cstheme="majorHAnsi"/>
          <w:lang w:eastAsia="ru-RU"/>
        </w:rPr>
        <w:tab/>
      </w:r>
      <w:r>
        <w:rPr>
          <w:rFonts w:eastAsia="Times New Roman" w:asciiTheme="majorHAnsi" w:hAnsiTheme="majorHAnsi" w:cstheme="majorHAnsi"/>
        </w:rPr>
        <w:t>The Exposure at Default is an estimate of the exposure at a future default date, taking into account expected changes in the exposure after the reporting date, including repayments of principal and interest, whether scheduled by contract or otherwise, expected drawdowns on committed facilities, and accrued interest from missed payments.</w:t>
      </w:r>
    </w:p>
    <w:p w:rsidR="009534E2" w:rsidRDefault="003369EB">
      <w:pPr>
        <w:tabs>
          <w:tab w:val="left" w:pos="711"/>
        </w:tabs>
        <w:spacing w:after="200"/>
        <w:ind w:left="720" w:hanging="720"/>
        <w:rPr>
          <w:rFonts w:eastAsia="Times New Roman" w:asciiTheme="majorHAnsi" w:hAnsiTheme="majorHAnsi" w:cstheme="majorHAnsi"/>
          <w:lang w:eastAsia="ru-RU"/>
        </w:rPr>
      </w:pPr>
      <w:r>
        <w:rPr>
          <w:rFonts w:eastAsia="Times New Roman" w:asciiTheme="majorHAnsi" w:hAnsiTheme="majorHAnsi" w:cstheme="majorHAnsi"/>
        </w:rPr>
        <w:t>LGD</w:t>
      </w:r>
      <w:r>
        <w:rPr>
          <w:rFonts w:eastAsia="Times New Roman" w:asciiTheme="majorHAnsi" w:hAnsiTheme="majorHAnsi" w:cstheme="majorHAnsi"/>
          <w:lang w:eastAsia="ru-RU"/>
        </w:rPr>
        <w:tab/>
      </w:r>
      <w:r>
        <w:rPr>
          <w:rFonts w:eastAsia="Times New Roman" w:asciiTheme="majorHAnsi" w:hAnsiTheme="majorHAnsi" w:cstheme="majorHAnsi"/>
        </w:rPr>
        <w:t>The Loss Given Default is an estimate of the loss arising in the case where a default occurs at a given time. It is based on the difference between the contractual cash flows due and those that the lender would expect to receive, including from the realization of any collateral. It is usually expressed as a percentage of the EAD.</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For other financial assets (i.e., cash in banks, loans and debt instruments) and financial liabilities (i.e., financial guarantees and credit related commitments) we have established a policy to perform an assessment, at the end of each reporting period, of whether a financial instrument’s credit risk has increased significantly since initial recognition, by considering the change in the risk of default occurring over the remaining life of the financial instrument.</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In all cases, we consider that there has been a significant increase in credit risk when contractual payments are more than 30 days past due. We consider a financial asset in default when contractual payment are 90 days past due (except for  debt securities and accounts/deposits within financial institutions of 14 days). However, in certain cases, we may also consider a financial asset to be in default when internal or external information indicates that we are unlikely to receive the outstanding contractual amounts in full before taking into account any credit enhancements held by us.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For Trade and other receivables, we have applied the standard’s simplified approach and have calculated ECLs based on lifetime expected credit losses. We have established a provision matrix that is based on our historical credit loss experience, adjusted for forward-looking factors specific to the debtors and the economic environment.</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For factoring and performance loans and its undrawn credit commitments ELC calculation we use internal historical loans loss rates statistics for assessment of probabilities of default. The loss given default is an estimate of the loss arising in the case where a default occurs at a given time and is based on internal statistics.</w:t>
      </w:r>
    </w:p>
    <w:p w:rsidR="009534E2" w:rsidRDefault="003369EB">
      <w:pPr>
        <w:keepNext/>
        <w:keepLines/>
        <w:spacing w:after="200"/>
        <w:rPr>
          <w:rFonts w:eastAsia="Times New Roman" w:asciiTheme="majorHAnsi" w:hAnsiTheme="majorHAnsi" w:cstheme="majorHAnsi"/>
          <w:bCs/>
          <w:iCs/>
        </w:rPr>
      </w:pPr>
      <w:r>
        <w:rPr>
          <w:rFonts w:eastAsia="Times New Roman" w:asciiTheme="majorHAnsi" w:hAnsiTheme="majorHAnsi" w:cstheme="majorHAnsi"/>
          <w:b/>
          <w:bCs/>
          <w:i/>
          <w:iCs/>
          <w:lang w:eastAsia="ru-RU"/>
        </w:rPr>
        <w:t>Uncertainty over risk assessment</w:t>
      </w:r>
    </w:p>
    <w:p w:rsidR="009534E2" w:rsidRDefault="003369EB">
      <w:pPr>
        <w:spacing w:after="200"/>
        <w:ind w:firstLine="460"/>
        <w:rPr>
          <w:rFonts w:eastAsia="Times New Roman" w:asciiTheme="majorHAnsi" w:hAnsiTheme="majorHAnsi" w:cstheme="majorHAnsi"/>
          <w:bCs/>
        </w:rPr>
      </w:pPr>
      <w:r>
        <w:rPr>
          <w:rFonts w:eastAsia="Times New Roman" w:asciiTheme="majorHAnsi" w:hAnsiTheme="majorHAnsi" w:cstheme="majorHAnsi"/>
          <w:lang w:eastAsia="ru-RU"/>
        </w:rPr>
        <w:t>We disclosed possible and accrued probable risks in respect of currency, customs, tax and other regulatory positions. Our management estimates the amount of risk based on its interpretation of the relevant legislation, in accordance with the current industry practice and in conformity with its estimation of probability, which requires considerable judgment.</w:t>
      </w:r>
    </w:p>
    <w:p w:rsidR="009534E2" w:rsidRDefault="003369EB">
      <w:pPr>
        <w:keepNext/>
        <w:spacing w:after="200"/>
        <w:ind w:left="1008" w:hanging="1008"/>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6.</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eastAsia="ru-RU"/>
        </w:rPr>
        <w:t>Directors, Senior Management and Employees</w:t>
      </w:r>
      <w:bookmarkStart w:name="ITEM6DirectorsSeniorManagementandEmploye" w:id="517"/>
      <w:bookmarkEnd w:id="517"/>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A.</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Directors and Senior Management</w:t>
      </w:r>
      <w:bookmarkStart w:name="ADirectorsandSeniorManagement_195268" w:id="518"/>
      <w:bookmarkEnd w:id="518"/>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Directors and Executive Officers</w:t>
      </w:r>
    </w:p>
    <w:p w:rsidR="009534E2" w:rsidRDefault="003369EB">
      <w:pPr>
        <w:keepNext/>
        <w:keepLines/>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following table sets forth information regarding our directors and executive officers as of the date of this annual report.</w:t>
      </w:r>
    </w:p>
    <w:tbl>
      <w:tblPr>
        <w:tblW w:w="5000" w:type="pct"/>
        <w:tblCellMar>
          <w:left w:w="0" w:type="dxa"/>
          <w:right w:w="0" w:type="dxa"/>
        </w:tblCellMar>
        <w:tblLook w:val="04A0" w:firstRow="1" w:lastRow="0" w:firstColumn="1" w:lastColumn="0" w:noHBand="0" w:noVBand="1"/>
      </w:tblPr>
      <w:tblGrid>
        <w:gridCol w:w="3773"/>
        <w:gridCol w:w="201"/>
        <w:gridCol w:w="527"/>
        <w:gridCol w:w="359"/>
        <w:gridCol w:w="5810"/>
        <w:gridCol w:w="130"/>
      </w:tblGrid>
      <w:tr w:rsidR="009534E2">
        <w:tc>
          <w:tcPr>
            <w:tcW w:w="1747" w:type="pct"/>
            <w:tcBorders>
              <w:bottom w:val="single" w:color="auto" w:sz="4" w:space="0"/>
            </w:tcBorders>
            <w:shd w:val="clear" w:color="auto" w:fill="auto"/>
            <w:vAlign w:val="bottom"/>
            <w:hideMark/>
          </w:tcPr>
          <w:p w:rsidR="009534E2" w:rsidRDefault="003369EB">
            <w:pPr>
              <w:keepNext/>
              <w:rPr>
                <w:rFonts w:eastAsia="Times New Roman" w:asciiTheme="majorHAnsi" w:hAnsiTheme="majorHAnsi" w:cstheme="majorHAnsi"/>
              </w:rPr>
            </w:pPr>
            <w:bookmarkStart w:name="_51d2b84e_c846_4122_bd9d_94992ccb26ea" w:id="519"/>
            <w:bookmarkStart w:name="_9f94afd2_4844_4663_ab88_9a9081e35c07" w:id="520"/>
            <w:bookmarkEnd w:id="519"/>
            <w:r>
              <w:rPr>
                <w:rFonts w:eastAsia="Times New Roman" w:asciiTheme="majorHAnsi" w:hAnsiTheme="majorHAnsi" w:cstheme="majorHAnsi"/>
                <w:b/>
                <w:lang w:val="ru-RU" w:eastAsia="ru-RU"/>
              </w:rPr>
              <w:t>Name</w:t>
            </w:r>
          </w:p>
        </w:tc>
        <w:tc>
          <w:tcPr>
            <w:tcW w:w="93" w:type="pct"/>
            <w:shd w:val="clear" w:color="auto" w:fill="auto"/>
            <w:noWrap/>
            <w:vAlign w:val="bottom"/>
            <w:hideMark/>
          </w:tcPr>
          <w:p w:rsidR="009534E2" w:rsidRDefault="003369EB">
            <w:pPr>
              <w:keepNext/>
              <w:rPr>
                <w:rFonts w:eastAsia="Times New Roman" w:asciiTheme="majorHAnsi" w:hAnsiTheme="majorHAnsi" w:cstheme="majorHAnsi"/>
                <w:b/>
                <w:lang w:val="ru-RU" w:eastAsia="ru-RU"/>
              </w:rPr>
            </w:pPr>
            <w:r>
              <w:rPr>
                <w:rFonts w:eastAsia="Times New Roman" w:asciiTheme="majorHAnsi" w:hAnsiTheme="majorHAnsi" w:cstheme="majorHAnsi"/>
                <w:b/>
                <w:lang w:val="ru-RU" w:eastAsia="ru-RU"/>
              </w:rPr>
              <w:t>    </w:t>
            </w:r>
          </w:p>
        </w:tc>
        <w:tc>
          <w:tcPr>
            <w:tcW w:w="244" w:type="pct"/>
            <w:tcBorders>
              <w:bottom w:val="single" w:color="auto" w:sz="4" w:space="0"/>
            </w:tcBorders>
            <w:shd w:val="clear" w:color="auto" w:fill="auto"/>
            <w:vAlign w:val="bottom"/>
            <w:hideMark/>
          </w:tcPr>
          <w:p w:rsidR="009534E2" w:rsidRDefault="003369EB">
            <w:pPr>
              <w:keepNext/>
              <w:jc w:val="center"/>
              <w:rPr>
                <w:rFonts w:eastAsia="Times New Roman" w:asciiTheme="majorHAnsi" w:hAnsiTheme="majorHAnsi" w:cstheme="majorHAnsi"/>
              </w:rPr>
            </w:pPr>
            <w:r>
              <w:rPr>
                <w:rFonts w:eastAsia="Times New Roman" w:asciiTheme="majorHAnsi" w:hAnsiTheme="majorHAnsi" w:cstheme="majorHAnsi"/>
                <w:b/>
                <w:lang w:val="ru-RU" w:eastAsia="ru-RU"/>
              </w:rPr>
              <w:t>Age</w:t>
            </w:r>
          </w:p>
        </w:tc>
        <w:tc>
          <w:tcPr>
            <w:tcW w:w="166" w:type="pct"/>
            <w:shd w:val="clear" w:color="auto" w:fill="auto"/>
            <w:noWrap/>
            <w:vAlign w:val="bottom"/>
            <w:hideMark/>
          </w:tcPr>
          <w:p w:rsidR="009534E2" w:rsidRDefault="003369EB">
            <w:pPr>
              <w:keepNext/>
              <w:rPr>
                <w:rFonts w:eastAsia="Times New Roman" w:asciiTheme="majorHAnsi" w:hAnsiTheme="majorHAnsi" w:cstheme="majorHAnsi"/>
                <w:b/>
                <w:lang w:val="ru-RU" w:eastAsia="ru-RU"/>
              </w:rPr>
            </w:pPr>
            <w:r>
              <w:rPr>
                <w:rFonts w:eastAsia="Times New Roman" w:asciiTheme="majorHAnsi" w:hAnsiTheme="majorHAnsi" w:cstheme="majorHAnsi"/>
                <w:b/>
                <w:lang w:val="ru-RU" w:eastAsia="ru-RU"/>
              </w:rPr>
              <w:t>    </w:t>
            </w:r>
          </w:p>
        </w:tc>
        <w:tc>
          <w:tcPr>
            <w:tcW w:w="2690" w:type="pct"/>
            <w:tcBorders>
              <w:bottom w:val="single" w:color="auto" w:sz="4" w:space="0"/>
            </w:tcBorders>
            <w:shd w:val="clear" w:color="auto" w:fill="auto"/>
            <w:vAlign w:val="bottom"/>
            <w:hideMark/>
          </w:tcPr>
          <w:p w:rsidR="009534E2" w:rsidRDefault="003369EB">
            <w:pPr>
              <w:keepNext/>
              <w:rPr>
                <w:rFonts w:eastAsia="Times New Roman" w:asciiTheme="majorHAnsi" w:hAnsiTheme="majorHAnsi" w:cstheme="majorHAnsi"/>
              </w:rPr>
            </w:pPr>
            <w:r>
              <w:rPr>
                <w:rFonts w:eastAsia="Times New Roman" w:asciiTheme="majorHAnsi" w:hAnsiTheme="majorHAnsi" w:cstheme="majorHAnsi"/>
                <w:b/>
                <w:lang w:val="ru-RU" w:eastAsia="ru-RU"/>
              </w:rPr>
              <w:t>Position</w:t>
            </w:r>
          </w:p>
        </w:tc>
        <w:tc>
          <w:tcPr>
            <w:tcW w:w="60" w:type="pct"/>
            <w:shd w:val="clear" w:color="auto" w:fill="auto"/>
            <w:noWrap/>
            <w:vAlign w:val="bottom"/>
            <w:hideMark/>
          </w:tcPr>
          <w:p w:rsidR="009534E2" w:rsidRDefault="003369EB">
            <w:pPr>
              <w:keepNext/>
              <w:rPr>
                <w:rFonts w:eastAsia="Times New Roman" w:asciiTheme="majorHAnsi" w:hAnsiTheme="majorHAnsi" w:cstheme="majorHAnsi"/>
                <w:b/>
                <w:lang w:val="ru-RU" w:eastAsia="ru-RU"/>
              </w:rPr>
            </w:pPr>
            <w:r>
              <w:rPr>
                <w:rFonts w:eastAsia="Times New Roman" w:asciiTheme="majorHAnsi" w:hAnsiTheme="majorHAnsi" w:cstheme="majorHAnsi"/>
                <w:b/>
                <w:lang w:val="ru-RU" w:eastAsia="ru-RU"/>
              </w:rPr>
              <w:t> </w:t>
            </w:r>
          </w:p>
        </w:tc>
      </w:tr>
      <w:tr w:rsidR="009534E2">
        <w:tc>
          <w:tcPr>
            <w:tcW w:w="1747" w:type="pct"/>
            <w:tcBorders>
              <w:top w:val="single" w:color="auto" w:sz="4" w:space="0"/>
            </w:tcBorders>
            <w:shd w:val="clear" w:color="auto" w:fill="CCEEFF"/>
            <w:vAlign w:val="bottom"/>
            <w:hideMark/>
          </w:tcPr>
          <w:p w:rsidR="009534E2" w:rsidRDefault="003369EB">
            <w:pPr>
              <w:keepNext/>
              <w:rPr>
                <w:rFonts w:eastAsia="Times New Roman" w:asciiTheme="majorHAnsi" w:hAnsiTheme="majorHAnsi" w:cstheme="majorHAnsi"/>
              </w:rPr>
            </w:pPr>
            <w:bookmarkStart w:name="_b159653f_c210_48c5_ba54_0bbbce692edb" w:id="521"/>
            <w:r>
              <w:rPr>
                <w:rFonts w:eastAsia="Times New Roman" w:asciiTheme="majorHAnsi" w:hAnsiTheme="majorHAnsi" w:cstheme="majorHAnsi"/>
                <w:lang w:val="ru-RU" w:eastAsia="ru-RU"/>
              </w:rPr>
              <w:t>Sergey Solonin</w:t>
            </w:r>
          </w:p>
        </w:tc>
        <w:tc>
          <w:tcPr>
            <w:tcW w:w="93" w:type="pct"/>
            <w:shd w:val="clear" w:color="auto" w:fill="CCEEFF"/>
            <w:noWrap/>
            <w:vAlign w:val="bottom"/>
          </w:tcPr>
          <w:p w:rsidR="009534E2" w:rsidRDefault="009534E2">
            <w:pPr>
              <w:keepNext/>
              <w:rPr>
                <w:rFonts w:eastAsia="Times New Roman" w:asciiTheme="majorHAnsi" w:hAnsiTheme="majorHAnsi" w:cstheme="majorHAnsi"/>
                <w:lang w:val="ru-RU" w:eastAsia="ru-RU"/>
              </w:rPr>
            </w:pPr>
          </w:p>
        </w:tc>
        <w:tc>
          <w:tcPr>
            <w:tcW w:w="244" w:type="pct"/>
            <w:tcBorders>
              <w:top w:val="single" w:color="auto" w:sz="4" w:space="0"/>
            </w:tcBorders>
            <w:shd w:val="clear" w:color="auto" w:fill="CCEEFF"/>
            <w:vAlign w:val="bottom"/>
            <w:hideMark/>
          </w:tcPr>
          <w:p w:rsidR="009534E2" w:rsidRDefault="003369EB">
            <w:pPr>
              <w:keepNext/>
              <w:jc w:val="center"/>
              <w:rPr>
                <w:rFonts w:eastAsia="Times New Roman" w:asciiTheme="majorHAnsi" w:hAnsiTheme="majorHAnsi" w:cstheme="majorHAnsi"/>
              </w:rPr>
            </w:pPr>
            <w:r>
              <w:rPr>
                <w:rFonts w:eastAsia="Times New Roman" w:asciiTheme="majorHAnsi" w:hAnsiTheme="majorHAnsi" w:cstheme="majorHAnsi"/>
                <w:lang w:val="ru-RU" w:eastAsia="ru-RU"/>
              </w:rPr>
              <w:t>4</w:t>
            </w:r>
            <w:r>
              <w:rPr>
                <w:rFonts w:eastAsia="Times New Roman" w:asciiTheme="majorHAnsi" w:hAnsiTheme="majorHAnsi" w:cstheme="majorHAnsi"/>
                <w:lang w:eastAsia="ru-RU"/>
              </w:rPr>
              <w:t>9</w:t>
            </w:r>
          </w:p>
        </w:tc>
        <w:tc>
          <w:tcPr>
            <w:tcW w:w="166" w:type="pct"/>
            <w:shd w:val="clear" w:color="auto" w:fill="CCEEFF"/>
            <w:noWrap/>
            <w:vAlign w:val="bottom"/>
          </w:tcPr>
          <w:p w:rsidR="009534E2" w:rsidRDefault="009534E2">
            <w:pPr>
              <w:keepNext/>
              <w:rPr>
                <w:rFonts w:eastAsia="Times New Roman" w:asciiTheme="majorHAnsi" w:hAnsiTheme="majorHAnsi" w:cstheme="majorHAnsi"/>
                <w:lang w:eastAsia="ru-RU"/>
              </w:rPr>
            </w:pPr>
          </w:p>
        </w:tc>
        <w:tc>
          <w:tcPr>
            <w:tcW w:w="2690" w:type="pct"/>
            <w:tcBorders>
              <w:top w:val="single" w:color="auto" w:sz="4" w:space="0"/>
            </w:tcBorders>
            <w:shd w:val="clear" w:color="auto" w:fill="CCEEFF"/>
            <w:vAlign w:val="bottom"/>
            <w:hideMark/>
          </w:tcPr>
          <w:p w:rsidR="009534E2" w:rsidRDefault="003369EB">
            <w:pPr>
              <w:keepNext/>
              <w:rPr>
                <w:rFonts w:eastAsia="Times New Roman" w:asciiTheme="majorHAnsi" w:hAnsiTheme="majorHAnsi" w:cstheme="majorHAnsi"/>
              </w:rPr>
            </w:pPr>
            <w:r>
              <w:rPr>
                <w:rFonts w:eastAsia="Times New Roman" w:asciiTheme="majorHAnsi" w:hAnsiTheme="majorHAnsi" w:cstheme="majorHAnsi"/>
                <w:lang w:eastAsia="ru-RU"/>
              </w:rPr>
              <w:t>Director, Chairman of the Board</w:t>
            </w:r>
          </w:p>
        </w:tc>
        <w:tc>
          <w:tcPr>
            <w:tcW w:w="60" w:type="pct"/>
            <w:shd w:val="clear" w:color="auto" w:fill="CCEEFF"/>
            <w:noWrap/>
            <w:vAlign w:val="bottom"/>
          </w:tcPr>
          <w:p w:rsidR="009534E2" w:rsidRDefault="009534E2">
            <w:pPr>
              <w:keepNext/>
              <w:rPr>
                <w:rFonts w:eastAsia="Times New Roman" w:asciiTheme="majorHAnsi" w:hAnsiTheme="majorHAnsi" w:cstheme="majorHAnsi"/>
                <w:lang w:eastAsia="ru-RU"/>
              </w:rPr>
            </w:pPr>
          </w:p>
        </w:tc>
      </w:tr>
      <w:bookmarkEnd w:id="521"/>
      <w:tr w:rsidR="009534E2">
        <w:tc>
          <w:tcPr>
            <w:tcW w:w="1747" w:type="pct"/>
            <w:vAlign w:val="bottom"/>
            <w:hideMark/>
          </w:tcPr>
          <w:p w:rsidR="009534E2" w:rsidRDefault="003369EB">
            <w:pPr>
              <w:keepNext/>
              <w:rPr>
                <w:rFonts w:eastAsia="Times New Roman" w:asciiTheme="majorHAnsi" w:hAnsiTheme="majorHAnsi" w:cstheme="majorHAnsi"/>
              </w:rPr>
            </w:pPr>
            <w:r>
              <w:rPr>
                <w:rFonts w:eastAsia="Times New Roman" w:asciiTheme="majorHAnsi" w:hAnsiTheme="majorHAnsi" w:cstheme="majorHAnsi"/>
                <w:lang w:eastAsia="ru-RU"/>
              </w:rPr>
              <w:t>Alexey Blagirev</w:t>
            </w:r>
          </w:p>
        </w:tc>
        <w:tc>
          <w:tcPr>
            <w:tcW w:w="93" w:type="pct"/>
            <w:noWrap/>
            <w:vAlign w:val="bottom"/>
          </w:tcPr>
          <w:p w:rsidR="009534E2" w:rsidRDefault="009534E2">
            <w:pPr>
              <w:keepNext/>
              <w:rPr>
                <w:rFonts w:eastAsia="Times New Roman" w:asciiTheme="majorHAnsi" w:hAnsiTheme="majorHAnsi" w:cstheme="majorHAnsi"/>
                <w:lang w:eastAsia="ru-RU"/>
              </w:rPr>
            </w:pPr>
          </w:p>
        </w:tc>
        <w:tc>
          <w:tcPr>
            <w:tcW w:w="244" w:type="pct"/>
            <w:vAlign w:val="bottom"/>
            <w:hideMark/>
          </w:tcPr>
          <w:p w:rsidR="009534E2" w:rsidRDefault="003369EB">
            <w:pPr>
              <w:keepNext/>
              <w:jc w:val="center"/>
              <w:rPr>
                <w:rFonts w:eastAsia="Times New Roman" w:asciiTheme="majorHAnsi" w:hAnsiTheme="majorHAnsi" w:cstheme="majorHAnsi"/>
              </w:rPr>
            </w:pPr>
            <w:r>
              <w:rPr>
                <w:rFonts w:eastAsia="Times New Roman" w:asciiTheme="majorHAnsi" w:hAnsiTheme="majorHAnsi" w:cstheme="majorHAnsi"/>
                <w:lang w:eastAsia="ru-RU"/>
              </w:rPr>
              <w:t>38</w:t>
            </w:r>
          </w:p>
        </w:tc>
        <w:tc>
          <w:tcPr>
            <w:tcW w:w="166" w:type="pct"/>
            <w:noWrap/>
            <w:vAlign w:val="bottom"/>
          </w:tcPr>
          <w:p w:rsidR="009534E2" w:rsidRDefault="009534E2">
            <w:pPr>
              <w:keepNext/>
              <w:rPr>
                <w:rFonts w:eastAsia="Times New Roman" w:asciiTheme="majorHAnsi" w:hAnsiTheme="majorHAnsi" w:cstheme="majorHAnsi"/>
                <w:lang w:eastAsia="ru-RU"/>
              </w:rPr>
            </w:pPr>
          </w:p>
        </w:tc>
        <w:tc>
          <w:tcPr>
            <w:tcW w:w="2690" w:type="pct"/>
            <w:vAlign w:val="bottom"/>
            <w:hideMark/>
          </w:tcPr>
          <w:p w:rsidR="009534E2" w:rsidRDefault="003369EB">
            <w:pPr>
              <w:keepNext/>
              <w:rPr>
                <w:rFonts w:eastAsia="Times New Roman" w:asciiTheme="majorHAnsi" w:hAnsiTheme="majorHAnsi" w:cstheme="majorHAnsi"/>
              </w:rPr>
            </w:pPr>
            <w:r>
              <w:rPr>
                <w:rFonts w:eastAsia="Times New Roman" w:asciiTheme="majorHAnsi" w:hAnsiTheme="majorHAnsi" w:cstheme="majorHAnsi"/>
                <w:lang w:eastAsia="ru-RU"/>
              </w:rPr>
              <w:t>Independent Director</w:t>
            </w:r>
          </w:p>
        </w:tc>
        <w:tc>
          <w:tcPr>
            <w:tcW w:w="60" w:type="pct"/>
            <w:noWrap/>
            <w:vAlign w:val="bottom"/>
          </w:tcPr>
          <w:p w:rsidR="009534E2" w:rsidRDefault="009534E2">
            <w:pPr>
              <w:keepNext/>
              <w:rPr>
                <w:rFonts w:eastAsia="Times New Roman" w:asciiTheme="majorHAnsi" w:hAnsiTheme="majorHAnsi" w:cstheme="majorHAnsi"/>
                <w:lang w:eastAsia="ru-RU"/>
              </w:rPr>
            </w:pPr>
          </w:p>
        </w:tc>
      </w:tr>
      <w:tr w:rsidR="009534E2">
        <w:tc>
          <w:tcPr>
            <w:tcW w:w="1747" w:type="pct"/>
            <w:shd w:val="clear" w:color="auto" w:fill="CCEEFF"/>
            <w:vAlign w:val="bottom"/>
            <w:hideMark/>
          </w:tcPr>
          <w:p w:rsidR="009534E2" w:rsidRDefault="003369EB">
            <w:pPr>
              <w:keepNext/>
              <w:rPr>
                <w:rFonts w:eastAsia="Times New Roman" w:asciiTheme="majorHAnsi" w:hAnsiTheme="majorHAnsi" w:cstheme="majorHAnsi"/>
              </w:rPr>
            </w:pPr>
            <w:r>
              <w:rPr>
                <w:rFonts w:eastAsia="Times New Roman" w:asciiTheme="majorHAnsi" w:hAnsiTheme="majorHAnsi" w:cstheme="majorHAnsi"/>
                <w:lang w:val="ru-RU" w:eastAsia="ru-RU"/>
              </w:rPr>
              <w:t>Alexey Ivanov</w:t>
            </w:r>
          </w:p>
        </w:tc>
        <w:tc>
          <w:tcPr>
            <w:tcW w:w="93" w:type="pct"/>
            <w:shd w:val="clear" w:color="auto" w:fill="CCEEFF"/>
            <w:noWrap/>
            <w:vAlign w:val="bottom"/>
          </w:tcPr>
          <w:p w:rsidR="009534E2" w:rsidRDefault="009534E2">
            <w:pPr>
              <w:keepNext/>
              <w:rPr>
                <w:rFonts w:eastAsia="Times New Roman" w:asciiTheme="majorHAnsi" w:hAnsiTheme="majorHAnsi" w:cstheme="majorHAnsi"/>
                <w:lang w:eastAsia="ru-RU"/>
              </w:rPr>
            </w:pPr>
          </w:p>
        </w:tc>
        <w:tc>
          <w:tcPr>
            <w:tcW w:w="244" w:type="pct"/>
            <w:shd w:val="clear" w:color="auto" w:fill="CCEEFF"/>
            <w:vAlign w:val="bottom"/>
            <w:hideMark/>
          </w:tcPr>
          <w:p w:rsidR="009534E2" w:rsidRDefault="003369EB">
            <w:pPr>
              <w:keepNext/>
              <w:jc w:val="center"/>
              <w:rPr>
                <w:rFonts w:eastAsia="Times New Roman" w:asciiTheme="majorHAnsi" w:hAnsiTheme="majorHAnsi" w:cstheme="majorHAnsi"/>
              </w:rPr>
            </w:pPr>
            <w:r>
              <w:rPr>
                <w:rFonts w:eastAsia="Times New Roman" w:asciiTheme="majorHAnsi" w:hAnsiTheme="majorHAnsi" w:cstheme="majorHAnsi"/>
                <w:lang w:eastAsia="ru-RU"/>
              </w:rPr>
              <w:t>53</w:t>
            </w:r>
          </w:p>
        </w:tc>
        <w:tc>
          <w:tcPr>
            <w:tcW w:w="166" w:type="pct"/>
            <w:shd w:val="clear" w:color="auto" w:fill="CCEEFF"/>
            <w:noWrap/>
            <w:vAlign w:val="bottom"/>
          </w:tcPr>
          <w:p w:rsidR="009534E2" w:rsidRDefault="009534E2">
            <w:pPr>
              <w:keepNext/>
              <w:rPr>
                <w:rFonts w:eastAsia="Times New Roman" w:asciiTheme="majorHAnsi" w:hAnsiTheme="majorHAnsi" w:cstheme="majorHAnsi"/>
                <w:lang w:val="ru-RU" w:eastAsia="ru-RU"/>
              </w:rPr>
            </w:pPr>
          </w:p>
        </w:tc>
        <w:tc>
          <w:tcPr>
            <w:tcW w:w="2690" w:type="pct"/>
            <w:shd w:val="clear" w:color="auto" w:fill="CCEEFF"/>
            <w:vAlign w:val="bottom"/>
            <w:hideMark/>
          </w:tcPr>
          <w:p w:rsidR="009534E2" w:rsidRDefault="003369EB">
            <w:pPr>
              <w:keepNext/>
              <w:rPr>
                <w:rFonts w:eastAsia="Times New Roman" w:asciiTheme="majorHAnsi" w:hAnsiTheme="majorHAnsi" w:cstheme="majorHAnsi"/>
              </w:rPr>
            </w:pPr>
            <w:r>
              <w:rPr>
                <w:rFonts w:eastAsia="Times New Roman" w:asciiTheme="majorHAnsi" w:hAnsiTheme="majorHAnsi" w:cstheme="majorHAnsi"/>
                <w:lang w:val="ru-RU" w:eastAsia="ru-RU"/>
              </w:rPr>
              <w:t>Independent Director</w:t>
            </w:r>
          </w:p>
        </w:tc>
        <w:tc>
          <w:tcPr>
            <w:tcW w:w="60" w:type="pct"/>
            <w:shd w:val="clear" w:color="auto" w:fill="CCEEFF"/>
            <w:noWrap/>
            <w:vAlign w:val="bottom"/>
          </w:tcPr>
          <w:p w:rsidR="009534E2" w:rsidRDefault="009534E2">
            <w:pPr>
              <w:keepNext/>
              <w:rPr>
                <w:rFonts w:eastAsia="Times New Roman" w:asciiTheme="majorHAnsi" w:hAnsiTheme="majorHAnsi" w:cstheme="majorHAnsi"/>
                <w:lang w:val="ru-RU" w:eastAsia="ru-RU"/>
              </w:rPr>
            </w:pPr>
          </w:p>
        </w:tc>
      </w:tr>
      <w:tr w:rsidR="009534E2">
        <w:tc>
          <w:tcPr>
            <w:tcW w:w="1747" w:type="pct"/>
            <w:vAlign w:val="bottom"/>
            <w:hideMark/>
          </w:tcPr>
          <w:p w:rsidR="009534E2" w:rsidRDefault="003369EB">
            <w:pPr>
              <w:keepNext/>
              <w:rPr>
                <w:rFonts w:eastAsia="Times New Roman" w:asciiTheme="majorHAnsi" w:hAnsiTheme="majorHAnsi" w:cstheme="majorHAnsi"/>
              </w:rPr>
            </w:pPr>
            <w:r>
              <w:rPr>
                <w:rFonts w:eastAsia="Times New Roman" w:asciiTheme="majorHAnsi" w:hAnsiTheme="majorHAnsi" w:cstheme="majorHAnsi"/>
                <w:lang w:val="ru-RU" w:eastAsia="ru-RU"/>
              </w:rPr>
              <w:t>Alexey Solovyev</w:t>
            </w:r>
          </w:p>
        </w:tc>
        <w:tc>
          <w:tcPr>
            <w:tcW w:w="93" w:type="pct"/>
            <w:noWrap/>
            <w:vAlign w:val="bottom"/>
          </w:tcPr>
          <w:p w:rsidR="009534E2" w:rsidRDefault="009534E2">
            <w:pPr>
              <w:keepNext/>
              <w:rPr>
                <w:rFonts w:eastAsia="Times New Roman" w:asciiTheme="majorHAnsi" w:hAnsiTheme="majorHAnsi" w:cstheme="majorHAnsi"/>
                <w:lang w:val="ru-RU" w:eastAsia="ru-RU"/>
              </w:rPr>
            </w:pPr>
          </w:p>
        </w:tc>
        <w:tc>
          <w:tcPr>
            <w:tcW w:w="244" w:type="pct"/>
            <w:vAlign w:val="bottom"/>
            <w:hideMark/>
          </w:tcPr>
          <w:p w:rsidR="009534E2" w:rsidRDefault="003369EB">
            <w:pPr>
              <w:keepNext/>
              <w:jc w:val="center"/>
              <w:rPr>
                <w:rFonts w:eastAsia="Times New Roman" w:asciiTheme="majorHAnsi" w:hAnsiTheme="majorHAnsi" w:cstheme="majorHAnsi"/>
              </w:rPr>
            </w:pPr>
            <w:r>
              <w:rPr>
                <w:rFonts w:eastAsia="Times New Roman" w:asciiTheme="majorHAnsi" w:hAnsiTheme="majorHAnsi" w:cstheme="majorHAnsi"/>
                <w:lang w:eastAsia="ru-RU"/>
              </w:rPr>
              <w:t>45</w:t>
            </w:r>
          </w:p>
        </w:tc>
        <w:tc>
          <w:tcPr>
            <w:tcW w:w="166" w:type="pct"/>
            <w:noWrap/>
            <w:vAlign w:val="bottom"/>
          </w:tcPr>
          <w:p w:rsidR="009534E2" w:rsidRDefault="009534E2">
            <w:pPr>
              <w:keepNext/>
              <w:rPr>
                <w:rFonts w:eastAsia="Times New Roman" w:asciiTheme="majorHAnsi" w:hAnsiTheme="majorHAnsi" w:cstheme="majorHAnsi"/>
                <w:lang w:val="ru-RU" w:eastAsia="ru-RU"/>
              </w:rPr>
            </w:pPr>
          </w:p>
        </w:tc>
        <w:tc>
          <w:tcPr>
            <w:tcW w:w="2690" w:type="pct"/>
            <w:vAlign w:val="bottom"/>
            <w:hideMark/>
          </w:tcPr>
          <w:p w:rsidR="009534E2" w:rsidRDefault="003369EB">
            <w:pPr>
              <w:keepNext/>
              <w:rPr>
                <w:rFonts w:eastAsia="Times New Roman" w:asciiTheme="majorHAnsi" w:hAnsiTheme="majorHAnsi" w:cstheme="majorHAnsi"/>
              </w:rPr>
            </w:pPr>
            <w:r>
              <w:rPr>
                <w:rFonts w:eastAsia="Times New Roman" w:asciiTheme="majorHAnsi" w:hAnsiTheme="majorHAnsi" w:cstheme="majorHAnsi"/>
                <w:lang w:val="ru-RU" w:eastAsia="ru-RU"/>
              </w:rPr>
              <w:t>Independent Director</w:t>
            </w:r>
          </w:p>
        </w:tc>
        <w:tc>
          <w:tcPr>
            <w:tcW w:w="60" w:type="pct"/>
            <w:noWrap/>
            <w:vAlign w:val="bottom"/>
          </w:tcPr>
          <w:p w:rsidR="009534E2" w:rsidRDefault="009534E2">
            <w:pPr>
              <w:keepNext/>
              <w:rPr>
                <w:rFonts w:eastAsia="Times New Roman" w:asciiTheme="majorHAnsi" w:hAnsiTheme="majorHAnsi" w:cstheme="majorHAnsi"/>
                <w:lang w:val="ru-RU" w:eastAsia="ru-RU"/>
              </w:rPr>
            </w:pPr>
          </w:p>
        </w:tc>
      </w:tr>
      <w:tr w:rsidR="009534E2">
        <w:tc>
          <w:tcPr>
            <w:tcW w:w="1747" w:type="pct"/>
            <w:shd w:val="clear" w:color="auto" w:fill="CCEEFF"/>
            <w:vAlign w:val="bottom"/>
            <w:hideMark/>
          </w:tcPr>
          <w:p w:rsidR="009534E2" w:rsidRDefault="003369EB">
            <w:pPr>
              <w:keepNext/>
              <w:rPr>
                <w:rFonts w:eastAsia="Times New Roman" w:asciiTheme="majorHAnsi" w:hAnsiTheme="majorHAnsi" w:cstheme="majorHAnsi"/>
              </w:rPr>
            </w:pPr>
            <w:r>
              <w:rPr>
                <w:rFonts w:eastAsia="Times New Roman" w:asciiTheme="majorHAnsi" w:hAnsiTheme="majorHAnsi" w:cstheme="majorHAnsi"/>
                <w:lang w:val="ru-RU" w:eastAsia="ru-RU"/>
              </w:rPr>
              <w:t>Lev Kroll</w:t>
            </w:r>
          </w:p>
        </w:tc>
        <w:tc>
          <w:tcPr>
            <w:tcW w:w="93" w:type="pct"/>
            <w:shd w:val="clear" w:color="auto" w:fill="CCEEFF"/>
            <w:noWrap/>
            <w:vAlign w:val="bottom"/>
          </w:tcPr>
          <w:p w:rsidR="009534E2" w:rsidRDefault="009534E2">
            <w:pPr>
              <w:keepNext/>
              <w:rPr>
                <w:rFonts w:eastAsia="Times New Roman" w:asciiTheme="majorHAnsi" w:hAnsiTheme="majorHAnsi" w:cstheme="majorHAnsi"/>
                <w:lang w:val="ru-RU" w:eastAsia="ru-RU"/>
              </w:rPr>
            </w:pPr>
          </w:p>
        </w:tc>
        <w:tc>
          <w:tcPr>
            <w:tcW w:w="244" w:type="pct"/>
            <w:shd w:val="clear" w:color="auto" w:fill="CCEEFF"/>
            <w:vAlign w:val="bottom"/>
            <w:hideMark/>
          </w:tcPr>
          <w:p w:rsidR="009534E2" w:rsidRDefault="003369EB">
            <w:pPr>
              <w:keepNext/>
              <w:jc w:val="center"/>
              <w:rPr>
                <w:rFonts w:eastAsia="Times New Roman" w:asciiTheme="majorHAnsi" w:hAnsiTheme="majorHAnsi" w:cstheme="majorHAnsi"/>
              </w:rPr>
            </w:pPr>
            <w:r>
              <w:rPr>
                <w:rFonts w:eastAsia="Times New Roman" w:asciiTheme="majorHAnsi" w:hAnsiTheme="majorHAnsi" w:cstheme="majorHAnsi"/>
                <w:lang w:eastAsia="ru-RU"/>
              </w:rPr>
              <w:t>33</w:t>
            </w:r>
          </w:p>
        </w:tc>
        <w:tc>
          <w:tcPr>
            <w:tcW w:w="166" w:type="pct"/>
            <w:shd w:val="clear" w:color="auto" w:fill="CCEEFF"/>
            <w:noWrap/>
            <w:vAlign w:val="bottom"/>
          </w:tcPr>
          <w:p w:rsidR="009534E2" w:rsidRDefault="009534E2">
            <w:pPr>
              <w:keepNext/>
              <w:rPr>
                <w:rFonts w:eastAsia="Times New Roman" w:asciiTheme="majorHAnsi" w:hAnsiTheme="majorHAnsi" w:cstheme="majorHAnsi"/>
                <w:lang w:val="ru-RU" w:eastAsia="ru-RU"/>
              </w:rPr>
            </w:pPr>
          </w:p>
        </w:tc>
        <w:tc>
          <w:tcPr>
            <w:tcW w:w="2690" w:type="pct"/>
            <w:shd w:val="clear" w:color="auto" w:fill="CCEEFF"/>
            <w:vAlign w:val="bottom"/>
            <w:hideMark/>
          </w:tcPr>
          <w:p w:rsidR="009534E2" w:rsidRDefault="003369EB">
            <w:pPr>
              <w:keepNext/>
              <w:rPr>
                <w:rFonts w:eastAsia="Times New Roman" w:asciiTheme="majorHAnsi" w:hAnsiTheme="majorHAnsi" w:cstheme="majorHAnsi"/>
              </w:rPr>
            </w:pPr>
            <w:r>
              <w:rPr>
                <w:rFonts w:eastAsia="Times New Roman" w:asciiTheme="majorHAnsi" w:hAnsiTheme="majorHAnsi" w:cstheme="majorHAnsi"/>
                <w:lang w:val="ru-RU" w:eastAsia="ru-RU"/>
              </w:rPr>
              <w:t>Independent Director</w:t>
            </w:r>
          </w:p>
        </w:tc>
        <w:tc>
          <w:tcPr>
            <w:tcW w:w="60" w:type="pct"/>
            <w:shd w:val="clear" w:color="auto" w:fill="CCEEFF"/>
            <w:noWrap/>
            <w:vAlign w:val="bottom"/>
          </w:tcPr>
          <w:p w:rsidR="009534E2" w:rsidRDefault="009534E2">
            <w:pPr>
              <w:keepNext/>
              <w:rPr>
                <w:rFonts w:eastAsia="Times New Roman" w:asciiTheme="majorHAnsi" w:hAnsiTheme="majorHAnsi" w:cstheme="majorHAnsi"/>
                <w:lang w:val="ru-RU" w:eastAsia="ru-RU"/>
              </w:rPr>
            </w:pPr>
          </w:p>
        </w:tc>
      </w:tr>
      <w:tr w:rsidR="009534E2">
        <w:tc>
          <w:tcPr>
            <w:tcW w:w="1747" w:type="pct"/>
            <w:vAlign w:val="bottom"/>
            <w:hideMark/>
          </w:tcPr>
          <w:p w:rsidR="009534E2" w:rsidRDefault="003369EB">
            <w:pPr>
              <w:keepNext/>
              <w:rPr>
                <w:rFonts w:eastAsia="Times New Roman" w:asciiTheme="majorHAnsi" w:hAnsiTheme="majorHAnsi" w:cstheme="majorHAnsi"/>
              </w:rPr>
            </w:pPr>
            <w:r>
              <w:rPr>
                <w:rFonts w:eastAsia="Times New Roman" w:asciiTheme="majorHAnsi" w:hAnsiTheme="majorHAnsi" w:cstheme="majorHAnsi"/>
                <w:lang w:eastAsia="ru-RU"/>
              </w:rPr>
              <w:t>Andrey Protopopov</w:t>
            </w:r>
          </w:p>
        </w:tc>
        <w:tc>
          <w:tcPr>
            <w:tcW w:w="93" w:type="pct"/>
            <w:noWrap/>
            <w:vAlign w:val="bottom"/>
          </w:tcPr>
          <w:p w:rsidR="009534E2" w:rsidRDefault="009534E2">
            <w:pPr>
              <w:keepNext/>
              <w:rPr>
                <w:rFonts w:eastAsia="Times New Roman" w:asciiTheme="majorHAnsi" w:hAnsiTheme="majorHAnsi" w:cstheme="majorHAnsi"/>
                <w:lang w:eastAsia="ru-RU"/>
              </w:rPr>
            </w:pPr>
          </w:p>
        </w:tc>
        <w:tc>
          <w:tcPr>
            <w:tcW w:w="244" w:type="pct"/>
            <w:vAlign w:val="bottom"/>
            <w:hideMark/>
          </w:tcPr>
          <w:p w:rsidR="009534E2" w:rsidRDefault="003369EB">
            <w:pPr>
              <w:keepNext/>
              <w:jc w:val="center"/>
              <w:rPr>
                <w:rFonts w:eastAsia="Times New Roman" w:asciiTheme="majorHAnsi" w:hAnsiTheme="majorHAnsi" w:cstheme="majorHAnsi"/>
              </w:rPr>
            </w:pPr>
            <w:r>
              <w:rPr>
                <w:rFonts w:eastAsia="Times New Roman" w:asciiTheme="majorHAnsi" w:hAnsiTheme="majorHAnsi" w:cstheme="majorHAnsi"/>
                <w:lang w:eastAsia="ru-RU"/>
              </w:rPr>
              <w:t>41</w:t>
            </w:r>
          </w:p>
        </w:tc>
        <w:tc>
          <w:tcPr>
            <w:tcW w:w="166" w:type="pct"/>
            <w:noWrap/>
            <w:vAlign w:val="bottom"/>
          </w:tcPr>
          <w:p w:rsidR="009534E2" w:rsidRDefault="009534E2">
            <w:pPr>
              <w:keepNext/>
              <w:rPr>
                <w:rFonts w:eastAsia="Times New Roman" w:asciiTheme="majorHAnsi" w:hAnsiTheme="majorHAnsi" w:cstheme="majorHAnsi"/>
                <w:lang w:val="ru-RU" w:eastAsia="ru-RU"/>
              </w:rPr>
            </w:pPr>
          </w:p>
        </w:tc>
        <w:tc>
          <w:tcPr>
            <w:tcW w:w="2690" w:type="pct"/>
            <w:vAlign w:val="bottom"/>
            <w:hideMark/>
          </w:tcPr>
          <w:p w:rsidR="009534E2" w:rsidRDefault="003369EB">
            <w:pPr>
              <w:keepNext/>
              <w:rPr>
                <w:rFonts w:eastAsia="Times New Roman" w:asciiTheme="majorHAnsi" w:hAnsiTheme="majorHAnsi" w:cstheme="majorHAnsi"/>
              </w:rPr>
            </w:pPr>
            <w:r>
              <w:rPr>
                <w:rFonts w:eastAsia="Times New Roman" w:asciiTheme="majorHAnsi" w:hAnsiTheme="majorHAnsi" w:cstheme="majorHAnsi"/>
                <w:lang w:val="ru-RU" w:eastAsia="ru-RU"/>
              </w:rPr>
              <w:t>Director, Chief Executive Officer</w:t>
            </w:r>
          </w:p>
        </w:tc>
        <w:tc>
          <w:tcPr>
            <w:tcW w:w="60" w:type="pct"/>
            <w:noWrap/>
            <w:vAlign w:val="bottom"/>
          </w:tcPr>
          <w:p w:rsidR="009534E2" w:rsidRDefault="009534E2">
            <w:pPr>
              <w:keepNext/>
              <w:rPr>
                <w:rFonts w:eastAsia="Times New Roman" w:asciiTheme="majorHAnsi" w:hAnsiTheme="majorHAnsi" w:cstheme="majorHAnsi"/>
                <w:lang w:val="ru-RU" w:eastAsia="ru-RU"/>
              </w:rPr>
            </w:pPr>
          </w:p>
        </w:tc>
      </w:tr>
      <w:tr w:rsidR="009534E2">
        <w:tc>
          <w:tcPr>
            <w:tcW w:w="1747" w:type="pct"/>
            <w:shd w:val="clear" w:color="auto" w:fill="CCEEFF"/>
            <w:vAlign w:val="bottom"/>
            <w:hideMark/>
          </w:tcPr>
          <w:p w:rsidR="009534E2" w:rsidRDefault="003369EB">
            <w:pPr>
              <w:keepNext/>
              <w:rPr>
                <w:rFonts w:eastAsia="Times New Roman" w:asciiTheme="majorHAnsi" w:hAnsiTheme="majorHAnsi" w:cstheme="majorHAnsi"/>
              </w:rPr>
            </w:pPr>
            <w:r>
              <w:rPr>
                <w:rFonts w:eastAsia="Times New Roman" w:asciiTheme="majorHAnsi" w:hAnsiTheme="majorHAnsi" w:cstheme="majorHAnsi"/>
                <w:lang w:eastAsia="ru-RU"/>
              </w:rPr>
              <w:t>Oxana Sirotinina</w:t>
            </w:r>
          </w:p>
        </w:tc>
        <w:tc>
          <w:tcPr>
            <w:tcW w:w="93" w:type="pct"/>
            <w:shd w:val="clear" w:color="auto" w:fill="CCEEFF"/>
            <w:noWrap/>
            <w:vAlign w:val="bottom"/>
          </w:tcPr>
          <w:p w:rsidR="009534E2" w:rsidRDefault="009534E2">
            <w:pPr>
              <w:keepNext/>
              <w:rPr>
                <w:rFonts w:eastAsia="Times New Roman" w:asciiTheme="majorHAnsi" w:hAnsiTheme="majorHAnsi" w:cstheme="majorHAnsi"/>
                <w:lang w:eastAsia="ru-RU"/>
              </w:rPr>
            </w:pPr>
          </w:p>
        </w:tc>
        <w:tc>
          <w:tcPr>
            <w:tcW w:w="244" w:type="pct"/>
            <w:shd w:val="clear" w:color="auto" w:fill="CCEEFF"/>
            <w:vAlign w:val="bottom"/>
            <w:hideMark/>
          </w:tcPr>
          <w:p w:rsidR="009534E2" w:rsidRDefault="003369EB">
            <w:pPr>
              <w:keepNext/>
              <w:jc w:val="center"/>
              <w:rPr>
                <w:rFonts w:eastAsia="Times New Roman" w:asciiTheme="majorHAnsi" w:hAnsiTheme="majorHAnsi" w:cstheme="majorHAnsi"/>
              </w:rPr>
            </w:pPr>
            <w:r>
              <w:rPr>
                <w:rFonts w:eastAsia="Times New Roman" w:asciiTheme="majorHAnsi" w:hAnsiTheme="majorHAnsi" w:cstheme="majorHAnsi"/>
                <w:lang w:eastAsia="ru-RU"/>
              </w:rPr>
              <w:t>48</w:t>
            </w:r>
          </w:p>
        </w:tc>
        <w:tc>
          <w:tcPr>
            <w:tcW w:w="166" w:type="pct"/>
            <w:shd w:val="clear" w:color="auto" w:fill="CCEEFF"/>
            <w:noWrap/>
            <w:vAlign w:val="bottom"/>
          </w:tcPr>
          <w:p w:rsidR="009534E2" w:rsidRDefault="009534E2">
            <w:pPr>
              <w:keepNext/>
              <w:rPr>
                <w:rFonts w:eastAsia="Times New Roman" w:asciiTheme="majorHAnsi" w:hAnsiTheme="majorHAnsi" w:cstheme="majorHAnsi"/>
                <w:lang w:val="ru-RU" w:eastAsia="ru-RU"/>
              </w:rPr>
            </w:pPr>
          </w:p>
        </w:tc>
        <w:tc>
          <w:tcPr>
            <w:tcW w:w="2690" w:type="pct"/>
            <w:shd w:val="clear" w:color="auto" w:fill="CCEEFF"/>
            <w:vAlign w:val="bottom"/>
            <w:hideMark/>
          </w:tcPr>
          <w:p w:rsidR="009534E2" w:rsidRDefault="003369EB">
            <w:pPr>
              <w:keepNext/>
              <w:rPr>
                <w:rFonts w:eastAsia="Times New Roman" w:asciiTheme="majorHAnsi" w:hAnsiTheme="majorHAnsi" w:cstheme="majorHAnsi"/>
              </w:rPr>
            </w:pPr>
            <w:r>
              <w:rPr>
                <w:rFonts w:eastAsia="Times New Roman" w:asciiTheme="majorHAnsi" w:hAnsiTheme="majorHAnsi" w:cstheme="majorHAnsi"/>
                <w:lang w:val="ru-RU" w:eastAsia="ru-RU"/>
              </w:rPr>
              <w:t>Director</w:t>
            </w:r>
          </w:p>
        </w:tc>
        <w:tc>
          <w:tcPr>
            <w:tcW w:w="60" w:type="pct"/>
            <w:shd w:val="clear" w:color="auto" w:fill="CCEEFF"/>
            <w:noWrap/>
            <w:vAlign w:val="bottom"/>
          </w:tcPr>
          <w:p w:rsidR="009534E2" w:rsidRDefault="009534E2">
            <w:pPr>
              <w:keepNext/>
              <w:rPr>
                <w:rFonts w:eastAsia="Times New Roman" w:asciiTheme="majorHAnsi" w:hAnsiTheme="majorHAnsi" w:cstheme="majorHAnsi"/>
                <w:lang w:val="ru-RU" w:eastAsia="ru-RU"/>
              </w:rPr>
            </w:pPr>
          </w:p>
        </w:tc>
      </w:tr>
      <w:tr w:rsidR="009534E2">
        <w:tc>
          <w:tcPr>
            <w:tcW w:w="1747" w:type="pct"/>
            <w:vAlign w:val="bottom"/>
            <w:hideMark/>
          </w:tcPr>
          <w:p w:rsidR="009534E2" w:rsidRDefault="003369EB">
            <w:pPr>
              <w:rPr>
                <w:rFonts w:eastAsia="Times New Roman" w:asciiTheme="majorHAnsi" w:hAnsiTheme="majorHAnsi" w:cstheme="majorHAnsi"/>
              </w:rPr>
            </w:pPr>
            <w:r>
              <w:rPr>
                <w:rFonts w:eastAsia="Times New Roman" w:asciiTheme="majorHAnsi" w:hAnsiTheme="majorHAnsi" w:cstheme="majorHAnsi"/>
                <w:lang w:eastAsia="ru-RU"/>
              </w:rPr>
              <w:t>Alexey Mashchenkov</w:t>
            </w:r>
          </w:p>
        </w:tc>
        <w:tc>
          <w:tcPr>
            <w:tcW w:w="93" w:type="pct"/>
            <w:noWrap/>
            <w:vAlign w:val="bottom"/>
          </w:tcPr>
          <w:p w:rsidR="009534E2" w:rsidRDefault="009534E2">
            <w:pPr>
              <w:rPr>
                <w:rFonts w:eastAsia="Times New Roman" w:asciiTheme="majorHAnsi" w:hAnsiTheme="majorHAnsi" w:cstheme="majorHAnsi"/>
                <w:lang w:eastAsia="ru-RU"/>
              </w:rPr>
            </w:pPr>
          </w:p>
        </w:tc>
        <w:tc>
          <w:tcPr>
            <w:tcW w:w="244" w:type="pct"/>
            <w:vAlign w:val="bottom"/>
            <w:hideMark/>
          </w:tcPr>
          <w:p w:rsidR="009534E2" w:rsidRDefault="003369EB">
            <w:pPr>
              <w:jc w:val="center"/>
              <w:rPr>
                <w:rFonts w:eastAsia="Times New Roman" w:asciiTheme="majorHAnsi" w:hAnsiTheme="majorHAnsi" w:cstheme="majorHAnsi"/>
              </w:rPr>
            </w:pPr>
            <w:r>
              <w:rPr>
                <w:rFonts w:eastAsia="Times New Roman" w:asciiTheme="majorHAnsi" w:hAnsiTheme="majorHAnsi" w:cstheme="majorHAnsi"/>
                <w:lang w:eastAsia="ru-RU"/>
              </w:rPr>
              <w:t>43</w:t>
            </w:r>
          </w:p>
        </w:tc>
        <w:tc>
          <w:tcPr>
            <w:tcW w:w="166" w:type="pct"/>
            <w:noWrap/>
            <w:vAlign w:val="bottom"/>
          </w:tcPr>
          <w:p w:rsidR="009534E2" w:rsidRDefault="009534E2">
            <w:pPr>
              <w:rPr>
                <w:rFonts w:eastAsia="Times New Roman" w:asciiTheme="majorHAnsi" w:hAnsiTheme="majorHAnsi" w:cstheme="majorHAnsi"/>
                <w:lang w:eastAsia="ru-RU"/>
              </w:rPr>
            </w:pPr>
          </w:p>
        </w:tc>
        <w:tc>
          <w:tcPr>
            <w:tcW w:w="2690" w:type="pct"/>
            <w:vAlign w:val="bottom"/>
            <w:hideMark/>
          </w:tcPr>
          <w:p w:rsidR="009534E2" w:rsidRDefault="003369EB">
            <w:pPr>
              <w:rPr>
                <w:rFonts w:eastAsia="Times New Roman" w:asciiTheme="majorHAnsi" w:hAnsiTheme="majorHAnsi" w:cstheme="majorHAnsi"/>
              </w:rPr>
            </w:pPr>
            <w:r>
              <w:rPr>
                <w:rFonts w:eastAsia="Times New Roman" w:asciiTheme="majorHAnsi" w:hAnsiTheme="majorHAnsi" w:cstheme="majorHAnsi"/>
                <w:lang w:eastAsia="ru-RU"/>
              </w:rPr>
              <w:t>Chief Financial Officer</w:t>
            </w:r>
          </w:p>
        </w:tc>
        <w:tc>
          <w:tcPr>
            <w:tcW w:w="60" w:type="pct"/>
            <w:noWrap/>
            <w:vAlign w:val="bottom"/>
          </w:tcPr>
          <w:p w:rsidR="009534E2" w:rsidRDefault="009534E2">
            <w:pPr>
              <w:rPr>
                <w:rFonts w:eastAsia="Times New Roman" w:asciiTheme="majorHAnsi" w:hAnsiTheme="majorHAnsi" w:cstheme="majorHAnsi"/>
                <w:lang w:eastAsia="ru-RU"/>
              </w:rPr>
            </w:pPr>
          </w:p>
        </w:tc>
      </w:tr>
      <w:tr w:rsidR="009534E2">
        <w:tc>
          <w:tcPr>
            <w:tcW w:w="1747" w:type="pct"/>
            <w:shd w:val="clear" w:color="auto" w:fill="CCEEFF"/>
            <w:vAlign w:val="bottom"/>
          </w:tcPr>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t>Maria Shevchenko</w:t>
            </w:r>
          </w:p>
        </w:tc>
        <w:tc>
          <w:tcPr>
            <w:tcW w:w="93" w:type="pct"/>
            <w:shd w:val="clear" w:color="auto" w:fill="CCEEFF"/>
            <w:noWrap/>
            <w:vAlign w:val="bottom"/>
          </w:tcPr>
          <w:p w:rsidR="009534E2" w:rsidRDefault="009534E2">
            <w:pPr>
              <w:rPr>
                <w:rFonts w:eastAsia="Times New Roman" w:asciiTheme="majorHAnsi" w:hAnsiTheme="majorHAnsi" w:cstheme="majorHAnsi"/>
                <w:lang w:eastAsia="ru-RU"/>
              </w:rPr>
            </w:pPr>
          </w:p>
        </w:tc>
        <w:tc>
          <w:tcPr>
            <w:tcW w:w="244" w:type="pct"/>
            <w:shd w:val="clear" w:color="auto" w:fill="CCEEFF"/>
            <w:vAlign w:val="bottom"/>
          </w:tcPr>
          <w:p w:rsidR="009534E2" w:rsidRDefault="003369EB">
            <w:pPr>
              <w:jc w:val="center"/>
              <w:rPr>
                <w:rFonts w:eastAsia="Times New Roman" w:asciiTheme="majorHAnsi" w:hAnsiTheme="majorHAnsi" w:cstheme="majorHAnsi"/>
                <w:lang w:eastAsia="ru-RU"/>
              </w:rPr>
            </w:pPr>
            <w:r>
              <w:rPr>
                <w:rFonts w:eastAsia="Times New Roman" w:asciiTheme="majorHAnsi" w:hAnsiTheme="majorHAnsi" w:cstheme="majorHAnsi"/>
                <w:lang w:eastAsia="ru-RU"/>
              </w:rPr>
              <w:t>46</w:t>
            </w:r>
          </w:p>
        </w:tc>
        <w:tc>
          <w:tcPr>
            <w:tcW w:w="166" w:type="pct"/>
            <w:shd w:val="clear" w:color="auto" w:fill="CCEEFF"/>
            <w:noWrap/>
            <w:vAlign w:val="bottom"/>
          </w:tcPr>
          <w:p w:rsidR="009534E2" w:rsidRDefault="009534E2">
            <w:pPr>
              <w:rPr>
                <w:rFonts w:eastAsia="Times New Roman" w:asciiTheme="majorHAnsi" w:hAnsiTheme="majorHAnsi" w:cstheme="majorHAnsi"/>
                <w:lang w:eastAsia="ru-RU"/>
              </w:rPr>
            </w:pPr>
          </w:p>
        </w:tc>
        <w:tc>
          <w:tcPr>
            <w:tcW w:w="2690" w:type="pct"/>
            <w:shd w:val="clear" w:color="auto" w:fill="CCEEFF"/>
            <w:vAlign w:val="bottom"/>
          </w:tcPr>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t>Chief Operating Officer</w:t>
            </w:r>
          </w:p>
        </w:tc>
        <w:tc>
          <w:tcPr>
            <w:tcW w:w="60" w:type="pct"/>
            <w:shd w:val="clear" w:color="auto" w:fill="CCEEFF"/>
            <w:noWrap/>
            <w:vAlign w:val="bottom"/>
          </w:tcPr>
          <w:p w:rsidR="009534E2" w:rsidRDefault="009534E2">
            <w:pPr>
              <w:rPr>
                <w:rFonts w:eastAsia="Times New Roman" w:asciiTheme="majorHAnsi" w:hAnsiTheme="majorHAnsi" w:cstheme="majorHAnsi"/>
                <w:lang w:eastAsia="ru-RU"/>
              </w:rPr>
            </w:pPr>
          </w:p>
        </w:tc>
      </w:tr>
      <w:bookmarkEnd w:id="520"/>
    </w:tbl>
    <w:p w:rsidR="009534E2" w:rsidRDefault="009534E2">
      <w:pPr>
        <w:rPr>
          <w:rFonts w:asciiTheme="majorHAnsi" w:hAnsiTheme="majorHAnsi" w:cstheme="majorHAnsi"/>
        </w:rPr>
      </w:pP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Biographies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i/>
          <w:lang w:eastAsia="ru-RU"/>
        </w:rPr>
        <w:t>Sergey Solonin.</w:t>
      </w:r>
      <w:r>
        <w:rPr>
          <w:rFonts w:eastAsia="Times New Roman" w:asciiTheme="majorHAnsi" w:hAnsiTheme="majorHAnsi" w:cstheme="majorHAnsi"/>
          <w:iCs/>
          <w:lang w:eastAsia="ru-RU"/>
        </w:rPr>
        <w:t xml:space="preserve"> Mr. Sergey Solonin has served as our director since December 2010 and as chairman of our Board of Directors since January 2020. He has also been our chief executive officer from October 2012 to January 2020. Mr. Solonin is an entrepreneur and has over 20 years of experience in the payment services and banking industries. Mr. Solonin graduated from All-Russian Distance-Learning Institute of Finance and Economics (now part of Financial University under the Government of the Russian Federation) in 1996 with a degree in economics</w:t>
      </w:r>
      <w:r>
        <w:rPr>
          <w:rFonts w:eastAsia="Times New Roman" w:asciiTheme="majorHAnsi" w:hAnsiTheme="majorHAnsi" w:cstheme="majorHAnsi"/>
          <w:i/>
          <w:lang w:eastAsia="ru-RU"/>
        </w:rPr>
        <w:t>.</w:t>
      </w:r>
    </w:p>
    <w:p w:rsidR="009534E2" w:rsidRDefault="003369EB">
      <w:pPr>
        <w:spacing w:after="200"/>
        <w:ind w:firstLine="461"/>
        <w:rPr>
          <w:rFonts w:eastAsia="Times New Roman" w:asciiTheme="majorHAnsi" w:hAnsiTheme="majorHAnsi" w:cstheme="majorHAnsi"/>
          <w:iCs/>
          <w:lang w:eastAsia="ru-RU"/>
        </w:rPr>
      </w:pPr>
      <w:r>
        <w:rPr>
          <w:rFonts w:eastAsia="Times New Roman" w:asciiTheme="majorHAnsi" w:hAnsiTheme="majorHAnsi" w:cstheme="majorHAnsi"/>
          <w:i/>
          <w:lang w:eastAsia="ru-RU"/>
        </w:rPr>
        <w:t xml:space="preserve">Alexey Blagirev. </w:t>
      </w:r>
      <w:r>
        <w:rPr>
          <w:rFonts w:eastAsia="Times New Roman" w:asciiTheme="majorHAnsi" w:hAnsiTheme="majorHAnsi" w:cstheme="majorHAnsi"/>
          <w:iCs/>
          <w:lang w:eastAsia="ru-RU"/>
        </w:rPr>
        <w:t>Mr. Alexey Blagirev has served as our director since September 2022. He has more than 15 years of experience holding executive positions in international companies. Mr. Blagirev is a seasoned expert in developing innovative ecosystem projects, tech products, startup hubs and accelerators, conferences, hackathons, and educational courses for digital innovation leaders and others. Mr. Blagirev served as a Deputy CEO from May 2020 to July 2022 and a Head of Technology &amp; Investor Relations from March 2019 to April 2020 at the Sensorium. Prior to that he reached numerous accomplishments working in the banking industry primarily in the field of fintech innovations. He graduated from Russian State University of Innovations and Business in 2006 with a degree in Information Technologies. Mr. Blagirev also holds an advanced diploma in accounting and business from the Association of Certified Chartered Accountants (ACCA UK).</w:t>
      </w:r>
    </w:p>
    <w:p w:rsidR="009534E2" w:rsidRDefault="003369EB">
      <w:pPr>
        <w:spacing w:after="200"/>
        <w:ind w:firstLine="461"/>
        <w:rPr>
          <w:rFonts w:eastAsia="Times New Roman" w:asciiTheme="majorHAnsi" w:hAnsiTheme="majorHAnsi" w:cstheme="majorHAnsi"/>
          <w:iCs/>
          <w:lang w:eastAsia="ru-RU"/>
        </w:rPr>
      </w:pPr>
      <w:r>
        <w:rPr>
          <w:rFonts w:eastAsia="Times New Roman" w:asciiTheme="majorHAnsi" w:hAnsiTheme="majorHAnsi" w:cstheme="majorHAnsi"/>
          <w:i/>
          <w:lang w:eastAsia="ru-RU"/>
        </w:rPr>
        <w:t xml:space="preserve">Alexey Ivanov. </w:t>
      </w:r>
      <w:r>
        <w:rPr>
          <w:rFonts w:eastAsia="Times New Roman" w:asciiTheme="majorHAnsi" w:hAnsiTheme="majorHAnsi" w:cstheme="majorHAnsi"/>
          <w:iCs/>
          <w:lang w:eastAsia="ru-RU"/>
        </w:rPr>
        <w:t>Mr. Alexey Ivanov has served as our director since September 2022. He is also an independent director and chairman of the audit committee for Norilsk Nickel since June 2022 and a chief executive officer of Axioma LLC since 2020. Prior to that, he was a partner at PricewaterhouseCoopers from 2004 to 2020. In 1991, Mr. Ivanov graduated from St. Petersburg State University with an honors degree in Economic Cybernetics. He qualified as a chartered accountant in 1997 and is a member of the Institute of Chartered Accountants in England &amp; Wales (ICAEW). Since 1998, Mr. Ivanov also holds an audit certificate issued by the Ministry of Finance of the Russian Federation.</w:t>
      </w:r>
    </w:p>
    <w:p w:rsidR="009534E2" w:rsidRDefault="003369EB">
      <w:pPr>
        <w:spacing w:after="200"/>
        <w:ind w:firstLine="461"/>
        <w:rPr>
          <w:rFonts w:eastAsia="Times New Roman" w:asciiTheme="majorHAnsi" w:hAnsiTheme="majorHAnsi" w:cstheme="majorHAnsi"/>
          <w:iCs/>
          <w:lang w:eastAsia="ru-RU"/>
        </w:rPr>
      </w:pPr>
      <w:r>
        <w:rPr>
          <w:rFonts w:eastAsia="Times New Roman" w:asciiTheme="majorHAnsi" w:hAnsiTheme="majorHAnsi" w:cstheme="majorHAnsi"/>
          <w:i/>
          <w:lang w:eastAsia="ru-RU"/>
        </w:rPr>
        <w:t xml:space="preserve">Alexey Solovyev. </w:t>
      </w:r>
      <w:r>
        <w:rPr>
          <w:rFonts w:eastAsia="Times New Roman" w:asciiTheme="majorHAnsi" w:hAnsiTheme="majorHAnsi" w:cstheme="majorHAnsi"/>
          <w:iCs/>
          <w:lang w:eastAsia="ru-RU"/>
        </w:rPr>
        <w:t>Mr. Alexey Solovyev has served as our director since September 2022. He has been working in the venture capital market for over 10 years, starting in 2011 after gaining experience in the company of Leonid Boguslavsky ru-Net (RTP Global). In 2019, after serving as a Managing Partner and CEO in several VC firms, Mr. Solovyev founded the private investment company A.Partners. He is also a co-founder of AngelsDeck – one of the largest business angel group. Prior to starting career as a venture investor, Mr. Solovyev worked in leading IT companies such as Optima Group, IBS Group, where was responsible for M&amp;A strategy and IPO sector, involved in the processes of deal sourcing, due diligence, portfolio business development, generation and execution of exit opportunities. Mr. Solovyev graduated from Bauman Moscow State Technical University in 2002 with a degree in Computer Science and studied venture investments at the Haas School of Business University of California, Berkeley (USA, California).</w:t>
      </w:r>
    </w:p>
    <w:p w:rsidR="009534E2" w:rsidRDefault="003369EB">
      <w:pPr>
        <w:spacing w:after="200"/>
        <w:ind w:firstLine="461"/>
        <w:rPr>
          <w:rFonts w:eastAsia="Times New Roman" w:asciiTheme="majorHAnsi" w:hAnsiTheme="majorHAnsi" w:cstheme="majorHAnsi"/>
          <w:i/>
          <w:lang w:eastAsia="ru-RU"/>
        </w:rPr>
      </w:pPr>
      <w:r>
        <w:rPr>
          <w:rFonts w:eastAsia="Times New Roman" w:asciiTheme="majorHAnsi" w:hAnsiTheme="majorHAnsi" w:cstheme="majorHAnsi"/>
          <w:i/>
          <w:lang w:eastAsia="ru-RU"/>
        </w:rPr>
        <w:t xml:space="preserve">Lev Kroll. </w:t>
      </w:r>
      <w:r>
        <w:rPr>
          <w:rFonts w:eastAsia="Times New Roman" w:asciiTheme="majorHAnsi" w:hAnsiTheme="majorHAnsi" w:cstheme="majorHAnsi"/>
          <w:iCs/>
          <w:lang w:eastAsia="ru-RU"/>
        </w:rPr>
        <w:t>Mr. Lev Kroll has joined the Board of Directors of QIWI as an Independent Director with effect from March 07, 2023. Mr. Kroll was appointed as a member of the Audit Committee and the Strategy and Sustainable Development Committee. Mr. Kroll has a strong background in marketing and entrepreneurship and holds a profound diverse expertise in such areas as advisory, mentoring, consulting, strategic positioning and business structuring. Since 2021 Mr. Kroll has served as General Manager and Chief Strategy Officer at AppCapital.vc, a company with a diverse portfolio of subscription-type applications aimed for scale through a marketing and product development. Prior to current appointments, Mr. Kroll was a cofounder of Manufactura (social media agency, 2011) and Gravity (2013), worked in the role of Chief Marketing Officer (CMO) at Claustrophobia (2014), with international experience gained from Incantico, Italy (2017) where he worked as a managing partner and oversaw the launch of the business and its growth. For the most recent years, Mr. Kroll has served as a CMO focused on smart devices and AI technologies, aiming to help software companies tackle hardware challenges. Mr. Kroll graduated from Higher School of Economics, Moscow with a degree in Sociology.</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i/>
          <w:lang w:eastAsia="ru-RU"/>
        </w:rPr>
        <w:t>Andrey Protopopov.</w:t>
      </w:r>
      <w:r>
        <w:rPr>
          <w:rFonts w:eastAsia="Times New Roman" w:asciiTheme="majorHAnsi" w:hAnsiTheme="majorHAnsi" w:cstheme="majorHAnsi"/>
          <w:lang w:eastAsia="ru-RU"/>
        </w:rPr>
        <w:t xml:space="preserve"> Mr. Andrey Protopopov has served as our director and Chief Executive Officer since June 2021. He has also served as Chief Executive Officer of Payment Services since August 2019. Previously, he served as a Head of IT and Product from June 2015 to August 2019 and a Head of Product Management from September 2013 to June 2015. Mr. Protopopov has over 12 years of commercial and product managing experience. Before joining QIWI, Mr. Protopopov worked at Procter &amp; Gamble for 12 years, holding numerous positions in market strategy and planning as well as business development. Mr. Protopopov graduated from Novosibisrsk State University in 2004 with a master’s degree in mathematics.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i/>
          <w:iCs/>
          <w:lang w:eastAsia="ru-RU"/>
        </w:rPr>
        <w:t>Oxana Sirotinina.</w:t>
      </w:r>
      <w:r>
        <w:rPr>
          <w:rFonts w:eastAsia="Times New Roman" w:asciiTheme="majorHAnsi" w:hAnsiTheme="majorHAnsi" w:cstheme="majorHAnsi"/>
          <w:lang w:eastAsia="ru-RU"/>
        </w:rPr>
        <w:t xml:space="preserve"> Ms. Oxana Sirotinina has served as our director since September 2022. She also runs the family office of Mr. Sergey Solonin. In addition, Ms. Sirotinina serves as the General Director of the LLC "BLK Group," which focuses on asset management and consultation. Ms. Sirotinina earned a degree in accounting and audit in 1997 from the All-Russian Distance-Learning Institute of Finance and Economics (now a division of Financial University under the Government of the Russian Federation). In 2004, she received an MBA from the Russian Presidential Academy of National Economy and Public Administration. Ms. Sirotinina holds a Candidate of Sciences Degree in Economics (Derzhavin Tambov State University, 2007).</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i/>
          <w:lang w:eastAsia="ru-RU"/>
        </w:rPr>
        <w:t xml:space="preserve">Alexey Mashchenkov. </w:t>
      </w:r>
      <w:r>
        <w:rPr>
          <w:rFonts w:eastAsia="Times New Roman" w:asciiTheme="majorHAnsi" w:hAnsiTheme="majorHAnsi" w:cstheme="majorHAnsi"/>
          <w:lang w:eastAsia="ru-RU"/>
        </w:rPr>
        <w:t>Mr. Alexey Mashchenkov has served as our chief financial officer since November 2021. Prior to joining QIWI, he most recently served as Deputy CEO of Russian Fishery and Group CFO of Russian Standard. Mr. Mashchenkov has over 20 years of experience in a variety of finance and investment management roles, with both private, and public companies and a track record of successful financing, Μ&amp;Α, and restructuring transactions. Mr. Mashchenkov graduated from St. Petersburg State University and holds an ΜΒΑ from INSEAD. He is a member of the ACCA and holds an IMC Certificate of CFA institute.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i/>
          <w:lang w:eastAsia="ru-RU"/>
        </w:rPr>
        <w:t xml:space="preserve">Maria Shevchenko. </w:t>
      </w:r>
      <w:r>
        <w:rPr>
          <w:rFonts w:eastAsia="Times New Roman" w:asciiTheme="majorHAnsi" w:hAnsiTheme="majorHAnsi" w:cstheme="majorHAnsi"/>
          <w:lang w:eastAsia="ru-RU"/>
        </w:rPr>
        <w:t>Ms. Maria Shevchenko has served as our Chief Operating Officer since January 2020. She is also currently a member of the board of directors of Qiwi Bank. Ms. Shevchenko joined us as a Government Relations Counsel in January 2019. Prior to that, she worked at Alfa-Bank JSC holding top positions in business strategy and operations. Ms. Shevchenko graduated from All-Russian Distance-Learning Institute of Finance and Economics (now part of Financial University under the Government of the Russian Federation) in 1998 with a degree in banking and finance. In 2005, she received an MBA-Finance from Moscow International Higher Business School MIRBIS (Institute) – London Metropolitan University.</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Nadiya Cherkasova, Elena Titova, Tatiana Zharkova and Alla Maslennikova who had been members of QIWI's Board of Directors since 2018, 2019, 2020 and 2022 respectively, resigned from the Board on March 21, 2022, April 20, 2022, September 21, 2022, and March, 2023 respectively.</w:t>
      </w:r>
    </w:p>
    <w:p w:rsidR="009534E2" w:rsidRDefault="003369EB">
      <w:pPr>
        <w:keepNext/>
        <w:tabs>
          <w:tab w:val="left" w:pos="479"/>
        </w:tabs>
        <w:spacing w:after="200"/>
        <w:ind w:left="360" w:hanging="36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B.</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Compensation</w:t>
      </w:r>
      <w:bookmarkStart w:name="BCompensation_244633" w:id="522"/>
      <w:bookmarkEnd w:id="522"/>
    </w:p>
    <w:p w:rsidR="009534E2" w:rsidRDefault="003369EB">
      <w:pPr>
        <w:keepNext/>
        <w:spacing w:after="200"/>
        <w:ind w:left="360" w:hanging="360"/>
        <w:rPr>
          <w:rFonts w:eastAsia="Times New Roman" w:asciiTheme="majorHAnsi" w:hAnsiTheme="majorHAnsi" w:cstheme="majorHAnsi"/>
          <w:sz w:val="24"/>
          <w:szCs w:val="24"/>
        </w:rPr>
      </w:pPr>
      <w:r>
        <w:rPr>
          <w:rFonts w:eastAsia="Times New Roman" w:asciiTheme="majorHAnsi" w:hAnsiTheme="majorHAnsi" w:cstheme="majorHAnsi"/>
          <w:b/>
          <w:bCs/>
          <w:lang w:eastAsia="ru-RU"/>
        </w:rPr>
        <w:t>Compensation of Directors and Executive Officers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Under our articles of association, our shareholders determine the compensation of our directors from time to time at a general meeting of our shareholders, our board of directors determines the compensation of our chief executive officer. The powers to determine the remuneration of our other executive officers is delegated to our compensation committee of the board of directors. We also provide all of our directors with professional liability insurance.</w:t>
      </w:r>
    </w:p>
    <w:p w:rsidR="009534E2" w:rsidRDefault="003369EB">
      <w:pPr>
        <w:keepNext/>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For the year ended December 31, 2022:</w:t>
      </w:r>
    </w:p>
    <w:p w:rsidR="009534E2" w:rsidRDefault="003369EB">
      <w:pPr>
        <w:pStyle w:val="ListParagraph"/>
        <w:numPr>
          <w:ilvl w:val="0"/>
          <w:numId w:val="49"/>
        </w:numPr>
        <w:spacing w:after="200"/>
        <w:ind w:left="821"/>
        <w:rPr>
          <w:rFonts w:eastAsia="Times New Roman" w:asciiTheme="majorHAnsi" w:hAnsiTheme="majorHAnsi" w:cstheme="majorHAnsi"/>
        </w:rPr>
      </w:pPr>
      <w:r>
        <w:rPr>
          <w:rFonts w:eastAsia="Times New Roman" w:asciiTheme="majorHAnsi" w:hAnsiTheme="majorHAnsi" w:cstheme="majorHAnsi"/>
          <w:lang w:eastAsia="ru-RU"/>
        </w:rPr>
        <w:t>the aggregate remuneration paid (comprising salary, discretionary bonuses, share-based payments and other short-term benefits) to our directors and executive officers was RUB 429 million;</w:t>
      </w:r>
    </w:p>
    <w:p w:rsidR="009534E2" w:rsidRDefault="003369EB">
      <w:pPr>
        <w:pStyle w:val="ListParagraph"/>
        <w:numPr>
          <w:ilvl w:val="0"/>
          <w:numId w:val="49"/>
        </w:numPr>
        <w:spacing w:after="200"/>
        <w:ind w:left="821"/>
        <w:rPr>
          <w:rFonts w:eastAsia="Times New Roman" w:asciiTheme="majorHAnsi" w:hAnsiTheme="majorHAnsi" w:cstheme="majorHAnsi"/>
        </w:rPr>
      </w:pPr>
      <w:r>
        <w:rPr>
          <w:rFonts w:eastAsia="Times New Roman" w:asciiTheme="majorHAnsi" w:hAnsiTheme="majorHAnsi" w:cstheme="majorHAnsi"/>
          <w:lang w:eastAsia="ru-RU"/>
        </w:rPr>
        <w:t>no amounts in respect of pensions, retirement or similar benefits have been accrued in any of the periods presented in this annual report;</w:t>
      </w:r>
    </w:p>
    <w:p w:rsidR="009534E2" w:rsidRDefault="003369EB">
      <w:pPr>
        <w:pStyle w:val="ListParagraph"/>
        <w:numPr>
          <w:ilvl w:val="0"/>
          <w:numId w:val="49"/>
        </w:numPr>
        <w:spacing w:after="200"/>
        <w:ind w:left="821"/>
        <w:rPr>
          <w:rFonts w:eastAsia="Times New Roman" w:asciiTheme="majorHAnsi" w:hAnsiTheme="majorHAnsi" w:cstheme="majorHAnsi"/>
        </w:rPr>
      </w:pPr>
      <w:r>
        <w:rPr>
          <w:rFonts w:eastAsia="Times New Roman" w:asciiTheme="majorHAnsi" w:hAnsiTheme="majorHAnsi" w:cstheme="majorHAnsi"/>
          <w:lang w:eastAsia="ru-RU"/>
        </w:rPr>
        <w:t>none of our non-executive directors, in particular independent director appointees, had a service contract with us that provides for benefits upon termination of office.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Our executive officers participate in a bonus program of the company that is subject to performance of corporate key performance indicators (“cKPIs”). The cKPIs for 2022 and 2023 vary depending on the Group level or the reporting segment and may include, for example, net revenue and net profit for the relevant reporting segment or at Group level, ROWI active transactions, etc. Bonuses are allocated on an annual basis subject to performance of the cKPIs according to the formula approved by the company’s relevant corporate body. Bonus allocation takes place upon approval of the annual consolidated financial statements of the company by the Board of Directors.</w:t>
      </w:r>
    </w:p>
    <w:p w:rsidR="009534E2" w:rsidRDefault="003369EB">
      <w:pPr>
        <w:keepNext/>
        <w:spacing w:after="200"/>
        <w:ind w:left="461"/>
        <w:rPr>
          <w:rFonts w:eastAsia="Times New Roman" w:asciiTheme="majorHAnsi" w:hAnsiTheme="majorHAnsi" w:cstheme="majorHAnsi"/>
          <w:sz w:val="24"/>
          <w:szCs w:val="24"/>
        </w:rPr>
      </w:pPr>
      <w:r>
        <w:rPr>
          <w:rFonts w:eastAsia="Times New Roman" w:asciiTheme="majorHAnsi" w:hAnsiTheme="majorHAnsi" w:cstheme="majorHAnsi"/>
          <w:b/>
          <w:bCs/>
          <w:lang w:eastAsia="ru-RU"/>
        </w:rPr>
        <w:t>2012 Employee Stock Option Plan</w:t>
      </w:r>
    </w:p>
    <w:p w:rsidR="009534E2" w:rsidRDefault="003369EB">
      <w:pPr>
        <w:spacing w:after="200"/>
        <w:ind w:firstLine="461"/>
        <w:rPr>
          <w:rFonts w:eastAsia="Times New Roman" w:asciiTheme="majorHAnsi" w:hAnsiTheme="majorHAnsi" w:cstheme="majorHAnsi"/>
          <w:iCs/>
        </w:rPr>
      </w:pPr>
      <w:r>
        <w:rPr>
          <w:rFonts w:eastAsia="Times New Roman" w:asciiTheme="majorHAnsi" w:hAnsiTheme="majorHAnsi" w:cstheme="majorHAnsi"/>
          <w:iCs/>
          <w:lang w:eastAsia="ru-RU"/>
        </w:rPr>
        <w:t>In October 2012, our board of directors adopted and our shareholders approved an Employee Stock Option Plan, or the 2012 Plan, an equity-based incentive compensation plan intended to help align the interests of our management and others with those of our shareholders. On October 31, 2022 the 2012 Plan expired and there are no outstanding options granted thereunder.</w:t>
      </w:r>
    </w:p>
    <w:p w:rsidR="009534E2" w:rsidRDefault="003369EB">
      <w:pPr>
        <w:keepNext/>
        <w:spacing w:after="200"/>
        <w:ind w:left="461"/>
        <w:rPr>
          <w:rFonts w:eastAsia="Times New Roman" w:asciiTheme="majorHAnsi" w:hAnsiTheme="majorHAnsi" w:cstheme="majorHAnsi"/>
          <w:b/>
          <w:bCs/>
          <w:lang w:eastAsia="ru-RU"/>
        </w:rPr>
      </w:pPr>
      <w:r>
        <w:rPr>
          <w:rFonts w:eastAsia="Times New Roman" w:asciiTheme="majorHAnsi" w:hAnsiTheme="majorHAnsi" w:cstheme="majorHAnsi"/>
          <w:b/>
          <w:bCs/>
          <w:lang w:eastAsia="ru-RU"/>
        </w:rPr>
        <w:t>Employee Restricted Stock Units Plan</w:t>
      </w:r>
    </w:p>
    <w:p w:rsidR="009534E2" w:rsidRDefault="003369EB">
      <w:pPr>
        <w:spacing w:after="200"/>
        <w:ind w:firstLine="461"/>
        <w:rPr>
          <w:rFonts w:eastAsia="Times New Roman" w:asciiTheme="majorHAnsi" w:hAnsiTheme="majorHAnsi" w:cstheme="majorHAnsi"/>
          <w:iCs/>
          <w:lang w:eastAsia="ru-RU"/>
        </w:rPr>
      </w:pPr>
      <w:r>
        <w:rPr>
          <w:rFonts w:eastAsia="Times New Roman" w:asciiTheme="majorHAnsi" w:hAnsiTheme="majorHAnsi" w:cstheme="majorHAnsi"/>
          <w:iCs/>
          <w:lang w:eastAsia="ru-RU"/>
        </w:rPr>
        <w:t>In July 2015, our shareholders approved an Employee Restricted Stock Units (“RSUs”) Plan, or the 2015 Plan, an equity-based incentive compensation plan intended to help align the interests of our management and others with those of our shareholders. On December 31, 2022, the 2015 Plan expired and there are no outstanding RSUs granted thereunder.</w:t>
      </w:r>
    </w:p>
    <w:p w:rsidR="009534E2" w:rsidRDefault="003369EB">
      <w:pPr>
        <w:keepNext/>
        <w:spacing w:after="200"/>
        <w:ind w:left="461"/>
        <w:rPr>
          <w:rFonts w:eastAsia="Times New Roman" w:asciiTheme="majorHAnsi" w:hAnsiTheme="majorHAnsi" w:cstheme="majorHAnsi"/>
          <w:b/>
          <w:bCs/>
          <w:iCs/>
        </w:rPr>
      </w:pPr>
      <w:r>
        <w:rPr>
          <w:rFonts w:eastAsia="Times New Roman" w:asciiTheme="majorHAnsi" w:hAnsiTheme="majorHAnsi" w:cstheme="majorHAnsi"/>
          <w:b/>
          <w:bCs/>
          <w:iCs/>
        </w:rPr>
        <w:t xml:space="preserve">QIWI </w:t>
      </w:r>
      <w:r>
        <w:rPr>
          <w:rFonts w:eastAsia="Times New Roman" w:asciiTheme="majorHAnsi" w:hAnsiTheme="majorHAnsi" w:cstheme="majorHAnsi"/>
          <w:b/>
          <w:bCs/>
          <w:lang w:eastAsia="ru-RU"/>
        </w:rPr>
        <w:t>Employees</w:t>
      </w:r>
      <w:r>
        <w:rPr>
          <w:rFonts w:eastAsia="Times New Roman" w:asciiTheme="majorHAnsi" w:hAnsiTheme="majorHAnsi" w:cstheme="majorHAnsi"/>
          <w:b/>
          <w:bCs/>
          <w:iCs/>
        </w:rPr>
        <w:t xml:space="preserve"> Trust</w:t>
      </w:r>
    </w:p>
    <w:p w:rsidR="009534E2" w:rsidRDefault="003369EB">
      <w:pPr>
        <w:keepNext/>
        <w:spacing w:after="200"/>
        <w:ind w:firstLine="461"/>
        <w:rPr>
          <w:rFonts w:eastAsia="Times New Roman" w:asciiTheme="majorHAnsi" w:hAnsiTheme="majorHAnsi" w:cstheme="majorHAnsi"/>
          <w:iCs/>
        </w:rPr>
      </w:pPr>
      <w:r>
        <w:rPr>
          <w:rFonts w:eastAsia="Times New Roman" w:asciiTheme="majorHAnsi" w:hAnsiTheme="majorHAnsi" w:cstheme="majorHAnsi"/>
          <w:iCs/>
        </w:rPr>
        <w:t>In April 2018, QIWI plc established QIWI Employees Trust. Our class B shares reserved for the existing long-term incentive plans were issued and allotted to that trust. QIWI Employees Trust held those shares in favor of the participants for the motivation purposes. In May 2022, the QIWI plc shares reserved to the trust were transferred to the executives for the significant contribution to the strategic development of the company. the remaining cash on the Trust’s accounts was donated to a charity institution. As a result, QIWI Employees Trust was terminated.</w:t>
      </w:r>
    </w:p>
    <w:p w:rsidR="009534E2" w:rsidRDefault="003369EB">
      <w:pPr>
        <w:keepNext/>
        <w:spacing w:after="200"/>
        <w:ind w:left="461"/>
        <w:rPr>
          <w:rFonts w:eastAsia="Times New Roman" w:asciiTheme="majorHAnsi" w:hAnsiTheme="majorHAnsi" w:cstheme="majorHAnsi"/>
        </w:rPr>
      </w:pPr>
      <w:r>
        <w:rPr>
          <w:rFonts w:eastAsia="Times New Roman" w:asciiTheme="majorHAnsi" w:hAnsiTheme="majorHAnsi" w:cstheme="majorHAnsi"/>
          <w:b/>
          <w:lang w:eastAsia="ru-RU"/>
        </w:rPr>
        <w:t>2019 Employee Stock Option Plan</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i/>
          <w:lang w:eastAsia="ru-RU"/>
        </w:rPr>
        <w:t>General.</w:t>
      </w:r>
      <w:r>
        <w:rPr>
          <w:rFonts w:eastAsia="Times New Roman" w:asciiTheme="majorHAnsi" w:hAnsiTheme="majorHAnsi" w:cstheme="majorHAnsi"/>
          <w:lang w:eastAsia="ru-RU"/>
        </w:rPr>
        <w:t xml:space="preserve"> In June 2019, our shareholders approved an Employee Stock Option Plan, or the 2019 Plan, an equity-based incentive compensation plan intended to help align the interests of our management and others with those of our shareholders. Under the 2019 Plan, we may grant options to purchase our class B shares to executive managers and key services providers of the Group who are in a position to make a significant contribution to the success of the Group. Each executive director of the board is also eligible to receive grants of options under the 2019 Plan in connection with such individual’s service as an employee of the company. Non-employee directors of the board of directors of the company is not eligible to participate in the 2019 Plan. A maximum of 3,100,000 of our class B shares are reserved for issuance under the 2019 Plan, subject to equitable adjustment in the event of certain corporate transactions, such as a stock split or recapitalization. The 2019 Plan is scheduled to expire on the tenth anniversary of its adoption (unless terminated earlier by the Administrator), although previously granted options will remain outstanding after such date in accordance with their terms.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i/>
          <w:lang w:eastAsia="ru-RU"/>
        </w:rPr>
        <w:t>Administration.</w:t>
      </w:r>
      <w:r>
        <w:rPr>
          <w:rFonts w:eastAsia="Times New Roman" w:asciiTheme="majorHAnsi" w:hAnsiTheme="majorHAnsi" w:cstheme="majorHAnsi"/>
          <w:lang w:eastAsia="ru-RU"/>
        </w:rPr>
        <w:t xml:space="preserve"> Our compensation committee administers the 2019 Plan, including determining the terms of all options (including terms and conditions with respect to the achievement of established performance metrics), subject to the certain limitations. The Administrator also has the authority to adopt, amend and repeal such administrative rules, guidelines and practices relating to the 2019 Plan as it deems advisable. Our compensation committee interprets the terms of the 2019 Plan and any option granted thereunder. The participants of the 2019 Plan are also selected by our compensation committee.</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i/>
          <w:lang w:eastAsia="ru-RU"/>
        </w:rPr>
        <w:t xml:space="preserve">Option Terms Generally. </w:t>
      </w:r>
      <w:r>
        <w:rPr>
          <w:rFonts w:eastAsia="Times New Roman" w:asciiTheme="majorHAnsi" w:hAnsiTheme="majorHAnsi" w:cstheme="majorHAnsi"/>
          <w:lang w:eastAsia="ru-RU"/>
        </w:rPr>
        <w:t>Options granted under the 2019 Plan permit the holder of the option to acquire our class B shares upon satisfaction of the vesting conditions and payment of the exercise price. 40% of the options is eligible to vest and become exercisable on the third anniversary of the grant date, with the remaining 60% of the options eligible to vest and become exercisable on the fourth anniversary of the grant date subject to the achievement of one or several corporate targets set forth in the award agreement. The exercise price shall not be less than the average closing price per share of the shares being traded in the form of American depositary shares on the NASDAQ Global Select Market for the 90 business days immediately preceding the grant date or the par value of the shares, whichever is higher. Options granted under the 2019 Plan cannot be sold, pledged or disposed of in any manner without our prior written consent.</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i/>
          <w:lang w:eastAsia="ru-RU"/>
        </w:rPr>
        <w:t>Other Information.</w:t>
      </w:r>
      <w:r>
        <w:rPr>
          <w:rFonts w:eastAsia="Times New Roman" w:asciiTheme="majorHAnsi" w:hAnsiTheme="majorHAnsi" w:cstheme="majorHAnsi"/>
          <w:lang w:eastAsia="ru-RU"/>
        </w:rPr>
        <w:t xml:space="preserve"> Shares subject to options which are cancelled or forfeited without being exercised will be returned to the 2019 Plan and will be available for subsequent option grants under the 2019 Plan. Any material amendment to the 2019 Plan (such as the addition of more class B shares to the pool of shares available under the 2019 Plan) or the adoption of a new equity compensation plan is subject to approval in compliance with applicable Cypriot law.</w:t>
      </w:r>
    </w:p>
    <w:p w:rsidR="009534E2" w:rsidRDefault="003369EB">
      <w:pPr>
        <w:keepNext/>
        <w:spacing w:after="200"/>
        <w:rPr>
          <w:rFonts w:eastAsia="Times New Roman" w:asciiTheme="majorHAnsi" w:hAnsiTheme="majorHAnsi" w:cstheme="majorHAnsi"/>
        </w:rPr>
      </w:pPr>
      <w:r>
        <w:rPr>
          <w:rFonts w:eastAsia="Times New Roman" w:asciiTheme="majorHAnsi" w:hAnsiTheme="majorHAnsi" w:cstheme="majorHAnsi"/>
          <w:b/>
          <w:lang w:eastAsia="ru-RU"/>
        </w:rPr>
        <w:t>Long-Term Cash Incentive Program</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i/>
          <w:lang w:eastAsia="ru-RU"/>
        </w:rPr>
        <w:t xml:space="preserve">General. </w:t>
      </w:r>
      <w:r>
        <w:rPr>
          <w:rFonts w:eastAsia="Times New Roman" w:asciiTheme="majorHAnsi" w:hAnsiTheme="majorHAnsi" w:cstheme="majorHAnsi"/>
          <w:iCs/>
          <w:lang w:eastAsia="ru-RU"/>
        </w:rPr>
        <w:t>In August 2019, in order to align employee compensation practices with the best market practices and applicable guidelines, our board of directors approved a Long-Term Cash Incentive Program, or the LTCIP. Certain amendments were introduced to the LTCIP in 2021 and 2022. Under the LTCIP, we may grant rights to bonus to executive managers and key employees of the Group who are in a position to make a significant contribution to the success of the Group. Each executive director of the board is also eligible to receive grants to bonus under the LTCIP in connection with such individual’s service as an employee of the company. Non-employee directors of the board of directors of the company are not eligible to participate in the LTCIP. The available bonus limits are set by the Administrator. The LTCIP is scheduled to expire on the tenth anniversary of its effectiveness (unless terminated earlier by the Administrator), although the rights to bonus granted prior to such expiration (if any) will remain outstanding after such date in accordance with their terms.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i/>
          <w:lang w:eastAsia="ru-RU"/>
        </w:rPr>
        <w:t xml:space="preserve">Administration. </w:t>
      </w:r>
      <w:r>
        <w:rPr>
          <w:rFonts w:eastAsia="Times New Roman" w:asciiTheme="majorHAnsi" w:hAnsiTheme="majorHAnsi" w:cstheme="majorHAnsi"/>
          <w:iCs/>
          <w:lang w:eastAsia="ru-RU"/>
        </w:rPr>
        <w:t>Our compensation committee administers the LTCIP under the decision of the board to delegate such powers. In its turn our compensation committee has delegated part of its powers of the Administrator of the LTCIP to our chief executive officer. Notwithstanding the above, our board shall approve any awards to our chief executive officer. The Administrator determines the terms of all rights to bonus (including terms and conditions with respect to the achievement of established performance metrics), subject to the certain limitations. The Administrator also has the authority to adopt, amend and repeal such administrative rules, guidelines and practices relating to the LTCIP as it deems advisable. The Administrator may construe and interpret the terms of the LTCIP and any bonuses granted thereunder. The participants of the LTCIP are also selected by the Administrator.</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i/>
          <w:lang w:eastAsia="ru-RU"/>
        </w:rPr>
        <w:t xml:space="preserve">Terms and Conditions Generally. </w:t>
      </w:r>
      <w:r>
        <w:rPr>
          <w:rFonts w:eastAsia="Times New Roman" w:asciiTheme="majorHAnsi" w:hAnsiTheme="majorHAnsi" w:cstheme="majorHAnsi"/>
          <w:iCs/>
          <w:lang w:eastAsia="ru-RU"/>
        </w:rPr>
        <w:t>The motivation bonuses payout is subject to the achievement of one or several corporate targets set forth in the award agreement. 100% of the motivation bonuses is eligible to vest on December 31 of the year following the grant year subject to satisfaction of the vesting conditions. The retention bonuses payout is subject to the participant’s continued employment or service with a member of the Group. The retention bonus is eligible to vest in four equal installments every six months. Bonuses that have not become eligible to payout as of the date of termination of a participant’s employment or service with a member of the Group is forfeited upon such termination. No right to bonus granted under the LTCIP may be sold, pledged, assigned, hypothecated, transferred, or disposed of in any manner (other than pursuant to the laws of descent and distribution), provided that the bonus payout is not considered to be any type of disposal.</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i/>
          <w:lang w:eastAsia="ru-RU"/>
        </w:rPr>
        <w:t>Other Information.</w:t>
      </w:r>
      <w:r>
        <w:rPr>
          <w:rFonts w:eastAsia="Times New Roman" w:asciiTheme="majorHAnsi" w:hAnsiTheme="majorHAnsi" w:cstheme="majorHAnsi"/>
          <w:lang w:eastAsia="ru-RU"/>
        </w:rPr>
        <w:t xml:space="preserve"> The LTCIP includes clawback provisions. The Administrator, in its sole and absolute discretion, may amend or alter the LTCIP and may at any time terminate or discontinue the LTCIP as to any future grants of bonuses. Any amendments to the LTCIP shall be conditioned upon stockholder approval only to the extent, if any such approval is required by applicable law, as determined by the Administrator.</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Outstanding Awards to Certain Executive Officers</w:t>
      </w:r>
    </w:p>
    <w:p w:rsidR="009534E2" w:rsidRDefault="003369EB">
      <w:pPr>
        <w:keepNext/>
        <w:keepLines/>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following table sets forth certain information with respect to outstanding equity awards held by the following executive officers at March 31, 2023: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033"/>
        <w:gridCol w:w="160"/>
        <w:gridCol w:w="940"/>
        <w:gridCol w:w="160"/>
        <w:gridCol w:w="1117"/>
        <w:gridCol w:w="160"/>
        <w:gridCol w:w="1014"/>
        <w:gridCol w:w="160"/>
        <w:gridCol w:w="1445"/>
        <w:gridCol w:w="160"/>
        <w:gridCol w:w="659"/>
        <w:gridCol w:w="160"/>
        <w:gridCol w:w="1632"/>
      </w:tblGrid>
      <w:tr w:rsidR="009534E2">
        <w:trPr>
          <w:trHeight w:val="20" w:hRule="exact"/>
        </w:trPr>
        <w:tc>
          <w:tcPr>
            <w:tcW w:w="1463"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dc23cbc7_1d17_4860_8708_902ea3953233" w:id="523"/>
            <w:bookmarkStart w:name="_fd8b8bc6_2cc7_4601_88dd_edff794cddad" w:colFirst="0" w:colLast="0" w:id="524"/>
            <w:bookmarkStart w:name="_3f9d17f6_2fe4_4b85_8f91_7238b38eabe2" w:colFirst="1" w:colLast="1" w:id="525"/>
            <w:bookmarkStart w:name="_28f39634_02f5_48fa_a2cd_fa9d7c726a45" w:colFirst="2" w:colLast="2" w:id="526"/>
            <w:bookmarkStart w:name="_de7590f7_fb7a_4da8_b8e1_d4e153563fac" w:colFirst="3" w:colLast="3" w:id="527"/>
            <w:bookmarkStart w:name="_05ad22ea_9eb1_4921_85f7_85207fc52e02" w:colFirst="4" w:colLast="4" w:id="528"/>
            <w:bookmarkStart w:name="_b43bea65_b75e_486e_9112_ad9c40e6244d" w:colFirst="5" w:colLast="5" w:id="529"/>
            <w:bookmarkStart w:name="_666781d7_96ed_4455_97ba_395c2e419f09" w:colFirst="6" w:colLast="6" w:id="530"/>
            <w:bookmarkStart w:name="_33238692_6a95_4cec_90f6_6346c216eece" w:colFirst="7" w:colLast="7" w:id="531"/>
            <w:bookmarkStart w:name="_13e6c9dd_b10b_4ed8_9a84_84787840f53f" w:colFirst="8" w:colLast="8" w:id="532"/>
            <w:bookmarkStart w:name="_57163fb5_5e04_4d08_ba71_9de4f3d28f4b" w:colFirst="9" w:colLast="9" w:id="533"/>
            <w:bookmarkStart w:name="_71d8dd29_3274_4b75_9ede_7c53bf178925" w:colFirst="10" w:colLast="10" w:id="534"/>
            <w:bookmarkStart w:name="_d53348ac_81d2_43c7_be54_7e7bd62777c8" w:colFirst="11" w:colLast="11" w:id="535"/>
            <w:bookmarkStart w:name="_ed4f8f23_aaaf_4222_a3ff_9ee9a82ded18" w:colFirst="12" w:colLast="12" w:id="536"/>
            <w:bookmarkStart w:name="_0e546d19_05ab_4d07_baf3_d0254fec86b2" w:id="537"/>
            <w:bookmarkEnd w:id="523"/>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8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c>
          <w:tcPr>
            <w:tcW w:w="1463"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sz w:val="16"/>
              </w:rPr>
            </w:pPr>
            <w:bookmarkStart w:name="_0ed67a4c_e057_4574_8718_16c738abf598" w:id="538"/>
            <w:bookmarkEnd w:id="524"/>
            <w:bookmarkEnd w:id="525"/>
            <w:bookmarkEnd w:id="526"/>
            <w:bookmarkEnd w:id="527"/>
            <w:bookmarkEnd w:id="528"/>
            <w:bookmarkEnd w:id="529"/>
            <w:bookmarkEnd w:id="530"/>
            <w:bookmarkEnd w:id="531"/>
            <w:bookmarkEnd w:id="532"/>
            <w:bookmarkEnd w:id="533"/>
            <w:bookmarkEnd w:id="534"/>
            <w:bookmarkEnd w:id="535"/>
            <w:bookmarkEnd w:id="536"/>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7"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7"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03"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Number of</w:t>
            </w:r>
          </w:p>
        </w:tc>
        <w:tc>
          <w:tcPr>
            <w:tcW w:w="87"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7"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7"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r>
      <w:tr w:rsidR="009534E2">
        <w:tc>
          <w:tcPr>
            <w:tcW w:w="1463"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sz w:val="16"/>
              </w:rPr>
            </w:pPr>
            <w:bookmarkStart w:name="_86c98af7_802b_4e95_aafd_d6125936f6ab" w:id="539"/>
            <w:bookmarkEnd w:id="538"/>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Class B Shares</w:t>
            </w: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Number of</w:t>
            </w: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r>
      <w:tr w:rsidR="009534E2">
        <w:tc>
          <w:tcPr>
            <w:tcW w:w="1463"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sz w:val="16"/>
              </w:rPr>
            </w:pPr>
            <w:bookmarkStart w:name="_12d95187_7a83_42fe_af61_74b059a36dfa" w:id="540"/>
            <w:bookmarkEnd w:id="539"/>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Underlying</w:t>
            </w: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Class B Shares</w:t>
            </w: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r>
      <w:tr w:rsidR="009534E2">
        <w:tc>
          <w:tcPr>
            <w:tcW w:w="1463"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sz w:val="16"/>
              </w:rPr>
            </w:pPr>
            <w:bookmarkStart w:name="_cce0c2b7_e836_4a94_9342_1814ea2dec20" w:id="541"/>
            <w:bookmarkEnd w:id="540"/>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Vested</w:t>
            </w: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Underlying Unvested</w:t>
            </w: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Option</w:t>
            </w: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r>
      <w:tr w:rsidR="009534E2">
        <w:tc>
          <w:tcPr>
            <w:tcW w:w="1463"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sz w:val="16"/>
              </w:rPr>
            </w:pPr>
            <w:bookmarkStart w:name="_ba952f7d_be25_43b0_a806_45f6bef3f257" w:id="542"/>
            <w:bookmarkEnd w:id="541"/>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Options (#)</w:t>
            </w: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Options (#)</w:t>
            </w: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Exercise</w:t>
            </w:r>
          </w:p>
        </w:tc>
        <w:tc>
          <w:tcPr>
            <w:tcW w:w="87"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03"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Option Expiration</w:t>
            </w:r>
          </w:p>
        </w:tc>
      </w:tr>
      <w:tr w:rsidR="009534E2">
        <w:tc>
          <w:tcPr>
            <w:tcW w:w="1463"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sz w:val="16"/>
              </w:rPr>
            </w:pPr>
            <w:bookmarkStart w:name="_c7b40457_b659_43ce_855d_88742745e7e5" w:id="543"/>
            <w:bookmarkEnd w:id="542"/>
          </w:p>
        </w:tc>
        <w:tc>
          <w:tcPr>
            <w:tcW w:w="87"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03"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Option plan</w:t>
            </w:r>
          </w:p>
        </w:tc>
        <w:tc>
          <w:tcPr>
            <w:tcW w:w="87"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03"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Grant Date</w:t>
            </w:r>
          </w:p>
        </w:tc>
        <w:tc>
          <w:tcPr>
            <w:tcW w:w="87"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03"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Exercisable</w:t>
            </w:r>
          </w:p>
        </w:tc>
        <w:tc>
          <w:tcPr>
            <w:tcW w:w="87"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03"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Unexercisable</w:t>
            </w:r>
          </w:p>
        </w:tc>
        <w:tc>
          <w:tcPr>
            <w:tcW w:w="87"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03"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Price ($)</w:t>
            </w:r>
          </w:p>
        </w:tc>
        <w:tc>
          <w:tcPr>
            <w:tcW w:w="87"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03"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Date</w:t>
            </w:r>
          </w:p>
        </w:tc>
      </w:tr>
      <w:tr w:rsidR="009534E2">
        <w:tc>
          <w:tcPr>
            <w:tcW w:w="1463"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color w:val="000000"/>
              </w:rPr>
            </w:pPr>
            <w:bookmarkStart w:name="_c528d475_d416_4716_9d50_ea9bfa67c98a" w:id="544"/>
            <w:bookmarkEnd w:id="543"/>
            <w:r>
              <w:rPr>
                <w:rFonts w:eastAsia="Times New Roman" w:asciiTheme="majorHAnsi" w:hAnsiTheme="majorHAnsi" w:cstheme="majorHAnsi"/>
                <w:color w:val="000000"/>
              </w:rPr>
              <w:t>Andrey Protopopov</w:t>
            </w:r>
          </w:p>
        </w:tc>
        <w:tc>
          <w:tcPr>
            <w:tcW w:w="8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03" w:type="pct"/>
            <w:tcBorders>
              <w:top w:val="nil"/>
              <w:left w:val="nil"/>
              <w:bottom w:val="nil"/>
              <w:right w:val="nil"/>
              <w:tl2br w:val="nil"/>
              <w:tr2bl w:val="nil"/>
            </w:tcBorders>
            <w:shd w:val="clear" w:color="auto" w:fill="CCEEFF"/>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2019 ESOP</w:t>
            </w:r>
          </w:p>
        </w:tc>
        <w:tc>
          <w:tcPr>
            <w:tcW w:w="87"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503" w:type="pct"/>
            <w:tcBorders>
              <w:top w:val="nil"/>
              <w:left w:val="nil"/>
              <w:bottom w:val="nil"/>
              <w:right w:val="nil"/>
              <w:tl2br w:val="nil"/>
              <w:tr2bl w:val="nil"/>
            </w:tcBorders>
            <w:shd w:val="clear" w:color="auto" w:fill="CCEEFF"/>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July 17, 2019</w:t>
            </w:r>
          </w:p>
        </w:tc>
        <w:tc>
          <w:tcPr>
            <w:tcW w:w="8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03"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03"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210,000</w:t>
            </w:r>
          </w:p>
        </w:tc>
        <w:tc>
          <w:tcPr>
            <w:tcW w:w="8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03"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16.75</w:t>
            </w:r>
          </w:p>
        </w:tc>
        <w:tc>
          <w:tcPr>
            <w:tcW w:w="87"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503" w:type="pct"/>
            <w:tcBorders>
              <w:top w:val="nil"/>
              <w:left w:val="nil"/>
              <w:bottom w:val="nil"/>
              <w:right w:val="nil"/>
              <w:tl2br w:val="nil"/>
              <w:tr2bl w:val="nil"/>
            </w:tcBorders>
            <w:shd w:val="clear" w:color="auto" w:fill="CCEEFF"/>
            <w:noWrap/>
            <w:vAlign w:val="bottom"/>
          </w:tcPr>
          <w:p w:rsidR="009534E2" w:rsidRDefault="003369EB">
            <w:pPr>
              <w:ind w:right="60"/>
              <w:jc w:val="center"/>
              <w:rPr>
                <w:rFonts w:asciiTheme="majorHAnsi" w:hAnsiTheme="majorHAnsi" w:cstheme="majorHAnsi"/>
                <w:color w:val="000000"/>
              </w:rPr>
            </w:pPr>
            <w:r>
              <w:rPr>
                <w:rFonts w:eastAsia="Times New Roman" w:asciiTheme="majorHAnsi" w:hAnsiTheme="majorHAnsi" w:cstheme="majorHAnsi"/>
                <w:color w:val="000000"/>
              </w:rPr>
              <w:t>December 31, 2026</w:t>
            </w:r>
          </w:p>
        </w:tc>
      </w:tr>
      <w:tr w:rsidR="009534E2">
        <w:tc>
          <w:tcPr>
            <w:tcW w:w="1463" w:type="pct"/>
            <w:tcBorders>
              <w:top w:val="nil"/>
              <w:left w:val="nil"/>
              <w:bottom w:val="nil"/>
              <w:right w:val="nil"/>
              <w:tl2br w:val="nil"/>
              <w:tr2bl w:val="nil"/>
            </w:tcBorders>
            <w:vAlign w:val="bottom"/>
          </w:tcPr>
          <w:p w:rsidR="009534E2" w:rsidRDefault="003369EB">
            <w:pPr>
              <w:rPr>
                <w:rFonts w:asciiTheme="majorHAnsi" w:hAnsiTheme="majorHAnsi" w:cstheme="majorHAnsi"/>
                <w:color w:val="000000"/>
              </w:rPr>
            </w:pPr>
            <w:bookmarkStart w:name="_7c9f36ce_a856_4f45_806f_527fe2dbbf4d" w:id="545"/>
            <w:bookmarkEnd w:id="544"/>
            <w:r>
              <w:rPr>
                <w:rFonts w:eastAsia="Times New Roman" w:asciiTheme="majorHAnsi" w:hAnsiTheme="majorHAnsi" w:cstheme="majorHAnsi"/>
                <w:color w:val="000000"/>
              </w:rPr>
              <w:t>Maria Shevchenko</w:t>
            </w:r>
          </w:p>
        </w:tc>
        <w:tc>
          <w:tcPr>
            <w:tcW w:w="87"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03" w:type="pct"/>
            <w:tcBorders>
              <w:top w:val="nil"/>
              <w:left w:val="nil"/>
              <w:bottom w:val="nil"/>
              <w:right w:val="nil"/>
              <w:tl2br w:val="nil"/>
              <w:tr2bl w:val="nil"/>
            </w:tcBorders>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2019 ESOP</w:t>
            </w:r>
          </w:p>
        </w:tc>
        <w:tc>
          <w:tcPr>
            <w:tcW w:w="87" w:type="pct"/>
            <w:tcBorders>
              <w:top w:val="nil"/>
              <w:left w:val="nil"/>
              <w:bottom w:val="nil"/>
              <w:right w:val="nil"/>
              <w:tl2br w:val="nil"/>
              <w:tr2bl w:val="nil"/>
            </w:tcBorders>
            <w:noWrap/>
            <w:vAlign w:val="bottom"/>
          </w:tcPr>
          <w:p w:rsidR="009534E2" w:rsidRDefault="009534E2">
            <w:pPr>
              <w:rPr>
                <w:rFonts w:asciiTheme="majorHAnsi" w:hAnsiTheme="majorHAnsi" w:cstheme="majorHAnsi"/>
                <w:color w:val="000000"/>
              </w:rPr>
            </w:pPr>
          </w:p>
        </w:tc>
        <w:tc>
          <w:tcPr>
            <w:tcW w:w="503" w:type="pct"/>
            <w:tcBorders>
              <w:top w:val="nil"/>
              <w:left w:val="nil"/>
              <w:bottom w:val="nil"/>
              <w:right w:val="nil"/>
              <w:tl2br w:val="nil"/>
              <w:tr2bl w:val="nil"/>
            </w:tcBorders>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June 30, 2020</w:t>
            </w:r>
          </w:p>
        </w:tc>
        <w:tc>
          <w:tcPr>
            <w:tcW w:w="87"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03"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87"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03"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350,000</w:t>
            </w:r>
          </w:p>
        </w:tc>
        <w:tc>
          <w:tcPr>
            <w:tcW w:w="87"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03"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13.70</w:t>
            </w:r>
          </w:p>
        </w:tc>
        <w:tc>
          <w:tcPr>
            <w:tcW w:w="87" w:type="pct"/>
            <w:tcBorders>
              <w:top w:val="nil"/>
              <w:left w:val="nil"/>
              <w:bottom w:val="nil"/>
              <w:right w:val="nil"/>
              <w:tl2br w:val="nil"/>
              <w:tr2bl w:val="nil"/>
            </w:tcBorders>
            <w:noWrap/>
            <w:vAlign w:val="bottom"/>
          </w:tcPr>
          <w:p w:rsidR="009534E2" w:rsidRDefault="009534E2">
            <w:pPr>
              <w:rPr>
                <w:rFonts w:asciiTheme="majorHAnsi" w:hAnsiTheme="majorHAnsi" w:cstheme="majorHAnsi"/>
                <w:color w:val="000000"/>
              </w:rPr>
            </w:pPr>
          </w:p>
        </w:tc>
        <w:tc>
          <w:tcPr>
            <w:tcW w:w="503" w:type="pct"/>
            <w:tcBorders>
              <w:top w:val="nil"/>
              <w:left w:val="nil"/>
              <w:bottom w:val="nil"/>
              <w:right w:val="nil"/>
              <w:tl2br w:val="nil"/>
              <w:tr2bl w:val="nil"/>
            </w:tcBorders>
            <w:noWrap/>
            <w:vAlign w:val="bottom"/>
          </w:tcPr>
          <w:p w:rsidR="009534E2" w:rsidRDefault="003369EB">
            <w:pPr>
              <w:ind w:right="60"/>
              <w:jc w:val="center"/>
              <w:rPr>
                <w:rFonts w:asciiTheme="majorHAnsi" w:hAnsiTheme="majorHAnsi" w:cstheme="majorHAnsi"/>
                <w:color w:val="000000"/>
              </w:rPr>
            </w:pPr>
            <w:r>
              <w:rPr>
                <w:rFonts w:eastAsia="Times New Roman" w:asciiTheme="majorHAnsi" w:hAnsiTheme="majorHAnsi" w:cstheme="majorHAnsi"/>
                <w:color w:val="000000"/>
              </w:rPr>
              <w:t>December 31, 2026</w:t>
            </w:r>
          </w:p>
        </w:tc>
      </w:tr>
      <w:bookmarkEnd w:id="537"/>
      <w:bookmarkEnd w:id="545"/>
    </w:tbl>
    <w:p w:rsidR="009534E2" w:rsidRDefault="009534E2">
      <w:pPr>
        <w:rPr>
          <w:rFonts w:asciiTheme="majorHAnsi" w:hAnsiTheme="majorHAnsi" w:cstheme="majorHAnsi"/>
        </w:rPr>
      </w:pPr>
    </w:p>
    <w:p w:rsidR="009534E2" w:rsidRDefault="003369EB">
      <w:pPr>
        <w:keepNext/>
        <w:keepLines/>
        <w:ind w:firstLine="461"/>
        <w:rPr>
          <w:rFonts w:asciiTheme="majorHAnsi" w:hAnsiTheme="majorHAnsi" w:cstheme="majorHAnsi"/>
        </w:rPr>
      </w:pPr>
      <w:r>
        <w:rPr>
          <w:rFonts w:asciiTheme="majorHAnsi" w:hAnsiTheme="majorHAnsi" w:cstheme="majorHAnsi"/>
        </w:rPr>
        <w:t xml:space="preserve">The following </w:t>
      </w:r>
      <w:r>
        <w:rPr>
          <w:rFonts w:eastAsia="Times New Roman" w:asciiTheme="majorHAnsi" w:hAnsiTheme="majorHAnsi" w:cstheme="majorHAnsi"/>
          <w:lang w:eastAsia="ru-RU"/>
        </w:rPr>
        <w:t>table</w:t>
      </w:r>
      <w:r>
        <w:rPr>
          <w:rFonts w:asciiTheme="majorHAnsi" w:hAnsiTheme="majorHAnsi" w:cstheme="majorHAnsi"/>
        </w:rPr>
        <w:t xml:space="preserve"> sets forth certain information with respect to outstanding cash awards held by the executive officers at March 31, 2023:</w:t>
      </w:r>
    </w:p>
    <w:p w:rsidR="009534E2" w:rsidRDefault="009534E2">
      <w:pPr>
        <w:keepNext/>
        <w:keepLines/>
        <w:ind w:firstLine="461"/>
        <w:rPr>
          <w:rFonts w:asciiTheme="majorHAnsi" w:hAnsiTheme="majorHAnsi" w:cstheme="majorHAnsi"/>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103"/>
        <w:gridCol w:w="120"/>
        <w:gridCol w:w="1295"/>
        <w:gridCol w:w="160"/>
        <w:gridCol w:w="2805"/>
        <w:gridCol w:w="160"/>
        <w:gridCol w:w="1414"/>
        <w:gridCol w:w="160"/>
        <w:gridCol w:w="1583"/>
      </w:tblGrid>
      <w:tr w:rsidR="009534E2">
        <w:trPr>
          <w:trHeight w:val="20" w:hRule="exact"/>
          <w:jc w:val="center"/>
        </w:trPr>
        <w:tc>
          <w:tcPr>
            <w:tcW w:w="1495" w:type="pct"/>
            <w:tcBorders>
              <w:top w:val="nil"/>
              <w:left w:val="nil"/>
              <w:bottom w:val="nil"/>
              <w:right w:val="nil"/>
            </w:tcBorders>
            <w:vAlign w:val="bottom"/>
          </w:tcPr>
          <w:p w:rsidR="009534E2" w:rsidRDefault="009534E2">
            <w:pPr>
              <w:keepNext/>
              <w:rPr>
                <w:sz w:val="2"/>
              </w:rPr>
            </w:pPr>
            <w:bookmarkStart w:name="_467d52eb_6047_4545_ab28_9a76d5a43b1c" w:colFirst="0" w:colLast="0" w:id="546"/>
            <w:bookmarkStart w:name="_029e0ff1_43d4_4229_ad0a_cc810e8feb8f" w:colFirst="1" w:colLast="1" w:id="547"/>
            <w:bookmarkStart w:name="_f6c1e78f_5190_4903_85d0_aaae5a6f049e" w:colFirst="2" w:colLast="2" w:id="548"/>
            <w:bookmarkStart w:name="_25403fb9_2276_4e50_a9d3_44b396bba3ee" w:colFirst="3" w:colLast="3" w:id="549"/>
            <w:bookmarkStart w:name="_a7a660fa_52c5_425c_ae6b_b7d058a79b6e" w:colFirst="4" w:colLast="4" w:id="550"/>
            <w:bookmarkStart w:name="_df1194ee_5b89_4636_ab77_d679eea8eefd" w:colFirst="5" w:colLast="5" w:id="551"/>
            <w:bookmarkStart w:name="_94087737_5b69_48ee_be0f_45db8db780e0" w:colFirst="6" w:colLast="6" w:id="552"/>
            <w:bookmarkStart w:name="_99ac0a6e_55c9_427a_8843_a91d770f7a49" w:colFirst="7" w:colLast="7" w:id="553"/>
            <w:bookmarkStart w:name="_03928fae_d3eb_47c2_b11a_ae25ae66006b" w:colFirst="8" w:colLast="8" w:id="554"/>
            <w:bookmarkStart w:name="_63e57180_36de_4b41_a1ca_1fd33a2b01d6" w:id="555"/>
          </w:p>
        </w:tc>
        <w:tc>
          <w:tcPr>
            <w:tcW w:w="114" w:type="pct"/>
            <w:tcBorders>
              <w:top w:val="nil"/>
              <w:left w:val="nil"/>
              <w:bottom w:val="nil"/>
              <w:right w:val="nil"/>
            </w:tcBorders>
            <w:noWrap/>
            <w:vAlign w:val="bottom"/>
          </w:tcPr>
          <w:p w:rsidR="009534E2" w:rsidRDefault="009534E2">
            <w:pPr>
              <w:keepNext/>
              <w:rPr>
                <w:sz w:val="2"/>
              </w:rPr>
            </w:pPr>
          </w:p>
        </w:tc>
        <w:tc>
          <w:tcPr>
            <w:tcW w:w="658" w:type="pct"/>
            <w:tcBorders>
              <w:top w:val="nil"/>
              <w:left w:val="nil"/>
              <w:bottom w:val="nil"/>
              <w:right w:val="nil"/>
            </w:tcBorders>
            <w:noWrap/>
            <w:vAlign w:val="bottom"/>
          </w:tcPr>
          <w:p w:rsidR="009534E2" w:rsidRDefault="009534E2">
            <w:pPr>
              <w:keepNext/>
              <w:rPr>
                <w:sz w:val="2"/>
              </w:rPr>
            </w:pPr>
          </w:p>
        </w:tc>
        <w:tc>
          <w:tcPr>
            <w:tcW w:w="114" w:type="pct"/>
            <w:tcBorders>
              <w:top w:val="nil"/>
              <w:left w:val="nil"/>
              <w:bottom w:val="nil"/>
              <w:right w:val="nil"/>
            </w:tcBorders>
            <w:noWrap/>
            <w:vAlign w:val="bottom"/>
          </w:tcPr>
          <w:p w:rsidR="009534E2" w:rsidRDefault="009534E2">
            <w:pPr>
              <w:keepNext/>
              <w:rPr>
                <w:sz w:val="2"/>
              </w:rPr>
            </w:pPr>
          </w:p>
        </w:tc>
        <w:tc>
          <w:tcPr>
            <w:tcW w:w="1077" w:type="pct"/>
            <w:tcBorders>
              <w:top w:val="nil"/>
              <w:left w:val="nil"/>
              <w:bottom w:val="nil"/>
              <w:right w:val="nil"/>
            </w:tcBorders>
            <w:noWrap/>
            <w:vAlign w:val="bottom"/>
          </w:tcPr>
          <w:p w:rsidR="009534E2" w:rsidRDefault="009534E2">
            <w:pPr>
              <w:keepNext/>
              <w:rPr>
                <w:sz w:val="2"/>
              </w:rPr>
            </w:pPr>
          </w:p>
        </w:tc>
        <w:tc>
          <w:tcPr>
            <w:tcW w:w="114" w:type="pct"/>
            <w:tcBorders>
              <w:top w:val="nil"/>
              <w:left w:val="nil"/>
              <w:bottom w:val="nil"/>
              <w:right w:val="nil"/>
            </w:tcBorders>
            <w:noWrap/>
            <w:vAlign w:val="bottom"/>
          </w:tcPr>
          <w:p w:rsidR="009534E2" w:rsidRDefault="009534E2">
            <w:pPr>
              <w:keepNext/>
              <w:rPr>
                <w:sz w:val="2"/>
              </w:rPr>
            </w:pPr>
          </w:p>
        </w:tc>
        <w:tc>
          <w:tcPr>
            <w:tcW w:w="658" w:type="pct"/>
            <w:tcBorders>
              <w:top w:val="nil"/>
              <w:left w:val="nil"/>
              <w:bottom w:val="nil"/>
              <w:right w:val="nil"/>
            </w:tcBorders>
            <w:noWrap/>
            <w:vAlign w:val="bottom"/>
          </w:tcPr>
          <w:p w:rsidR="009534E2" w:rsidRDefault="009534E2">
            <w:pPr>
              <w:keepNext/>
              <w:rPr>
                <w:sz w:val="2"/>
              </w:rPr>
            </w:pPr>
          </w:p>
        </w:tc>
        <w:tc>
          <w:tcPr>
            <w:tcW w:w="114" w:type="pct"/>
            <w:tcBorders>
              <w:top w:val="nil"/>
              <w:left w:val="nil"/>
              <w:bottom w:val="nil"/>
              <w:right w:val="nil"/>
            </w:tcBorders>
            <w:noWrap/>
            <w:vAlign w:val="bottom"/>
          </w:tcPr>
          <w:p w:rsidR="009534E2" w:rsidRDefault="009534E2">
            <w:pPr>
              <w:keepNext/>
              <w:rPr>
                <w:sz w:val="2"/>
              </w:rPr>
            </w:pPr>
          </w:p>
        </w:tc>
        <w:tc>
          <w:tcPr>
            <w:tcW w:w="658" w:type="pct"/>
            <w:tcBorders>
              <w:top w:val="nil"/>
              <w:left w:val="nil"/>
              <w:bottom w:val="nil"/>
              <w:right w:val="nil"/>
            </w:tcBorders>
            <w:noWrap/>
            <w:vAlign w:val="bottom"/>
          </w:tcPr>
          <w:p w:rsidR="009534E2" w:rsidRDefault="009534E2">
            <w:pPr>
              <w:keepNext/>
              <w:rPr>
                <w:sz w:val="2"/>
              </w:rPr>
            </w:pPr>
          </w:p>
        </w:tc>
      </w:tr>
      <w:tr w:rsidR="009534E2">
        <w:trPr>
          <w:jc w:val="center"/>
        </w:trPr>
        <w:tc>
          <w:tcPr>
            <w:tcW w:w="1495" w:type="pct"/>
            <w:tcBorders>
              <w:top w:val="nil"/>
              <w:left w:val="nil"/>
              <w:bottom w:val="single" w:color="000000" w:sz="4" w:space="0"/>
              <w:right w:val="nil"/>
              <w:tl2br w:val="nil"/>
              <w:tr2bl w:val="nil"/>
            </w:tcBorders>
            <w:shd w:val="clear" w:color="auto" w:fill="auto"/>
            <w:vAlign w:val="bottom"/>
          </w:tcPr>
          <w:p w:rsidR="009534E2" w:rsidRDefault="003369EB">
            <w:pPr>
              <w:keepNext/>
              <w:jc w:val="center"/>
              <w:rPr>
                <w:b/>
                <w:color w:val="000000"/>
                <w:sz w:val="16"/>
              </w:rPr>
            </w:pPr>
            <w:bookmarkStart w:name="_c5bea42f_75eb_4ac2_a04f_d942ad9f141f" w:id="556"/>
            <w:bookmarkEnd w:id="546"/>
            <w:bookmarkEnd w:id="547"/>
            <w:bookmarkEnd w:id="548"/>
            <w:bookmarkEnd w:id="549"/>
            <w:bookmarkEnd w:id="550"/>
            <w:bookmarkEnd w:id="551"/>
            <w:bookmarkEnd w:id="552"/>
            <w:bookmarkEnd w:id="553"/>
            <w:bookmarkEnd w:id="554"/>
            <w:r>
              <w:rPr>
                <w:rFonts w:ascii="Times New Roman" w:hAnsi="Times New Roman" w:eastAsia="Times New Roman" w:cs="Times New Roman"/>
                <w:b/>
                <w:color w:val="000000"/>
                <w:sz w:val="16"/>
              </w:rPr>
              <w:t>Plan</w:t>
            </w:r>
          </w:p>
        </w:tc>
        <w:tc>
          <w:tcPr>
            <w:tcW w:w="114"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 xml:space="preserve">    </w:t>
            </w:r>
          </w:p>
        </w:tc>
        <w:tc>
          <w:tcPr>
            <w:tcW w:w="658"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Grant Date</w:t>
            </w:r>
          </w:p>
        </w:tc>
        <w:tc>
          <w:tcPr>
            <w:tcW w:w="114" w:type="pct"/>
            <w:tcBorders>
              <w:top w:val="nil"/>
              <w:left w:val="nil"/>
              <w:bottom w:val="nil"/>
              <w:right w:val="nil"/>
              <w:tl2br w:val="nil"/>
              <w:tr2bl w:val="nil"/>
            </w:tcBorders>
            <w:shd w:val="clear" w:color="auto" w:fill="auto"/>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1077"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Bonus Type</w:t>
            </w:r>
          </w:p>
        </w:tc>
        <w:tc>
          <w:tcPr>
            <w:tcW w:w="114" w:type="pct"/>
            <w:tcBorders>
              <w:top w:val="nil"/>
              <w:left w:val="nil"/>
              <w:bottom w:val="nil"/>
              <w:right w:val="nil"/>
              <w:tl2br w:val="nil"/>
              <w:tr2bl w:val="nil"/>
            </w:tcBorders>
            <w:shd w:val="clear" w:color="auto" w:fill="auto"/>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658"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Bonus Vested (RUB)</w:t>
            </w:r>
          </w:p>
        </w:tc>
        <w:tc>
          <w:tcPr>
            <w:tcW w:w="114" w:type="pct"/>
            <w:tcBorders>
              <w:top w:val="nil"/>
              <w:left w:val="nil"/>
              <w:bottom w:val="nil"/>
              <w:right w:val="nil"/>
              <w:tl2br w:val="nil"/>
              <w:tr2bl w:val="nil"/>
            </w:tcBorders>
            <w:shd w:val="clear" w:color="auto" w:fill="auto"/>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658"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Bonus Unvested (RUB)</w:t>
            </w:r>
          </w:p>
        </w:tc>
      </w:tr>
      <w:tr w:rsidR="009534E2">
        <w:trPr>
          <w:jc w:val="center"/>
        </w:trPr>
        <w:tc>
          <w:tcPr>
            <w:tcW w:w="1495" w:type="pct"/>
            <w:tcBorders>
              <w:top w:val="nil"/>
              <w:left w:val="nil"/>
              <w:bottom w:val="nil"/>
              <w:right w:val="nil"/>
              <w:tl2br w:val="nil"/>
              <w:tr2bl w:val="nil"/>
            </w:tcBorders>
            <w:shd w:val="clear" w:color="auto" w:fill="CCEEFF"/>
            <w:vAlign w:val="bottom"/>
          </w:tcPr>
          <w:p w:rsidR="009534E2" w:rsidRDefault="003369EB">
            <w:pPr>
              <w:keepNext/>
              <w:jc w:val="center"/>
              <w:rPr>
                <w:color w:val="000000"/>
              </w:rPr>
            </w:pPr>
            <w:bookmarkStart w:name="_44dcb79d_54d5_4193_a26d_ba333b8b185a" w:id="557"/>
            <w:bookmarkEnd w:id="556"/>
            <w:r>
              <w:rPr>
                <w:rFonts w:ascii="Times New Roman" w:hAnsi="Times New Roman" w:eastAsia="Times New Roman" w:cs="Times New Roman"/>
                <w:color w:val="000000"/>
              </w:rPr>
              <w:t>2021 LTCIP</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658"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2021</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1077"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Restricted Stock Units -(“RSU”)</w:t>
            </w:r>
          </w:p>
        </w:tc>
        <w:tc>
          <w:tcPr>
            <w:tcW w:w="114" w:type="pct"/>
            <w:tcBorders>
              <w:top w:val="nil"/>
              <w:left w:val="nil"/>
              <w:bottom w:val="nil"/>
              <w:right w:val="nil"/>
              <w:tl2br w:val="nil"/>
              <w:tr2bl w:val="nil"/>
            </w:tcBorders>
            <w:shd w:val="clear" w:color="auto" w:fill="CCEEFF"/>
            <w:noWrap/>
            <w:vAlign w:val="bottom"/>
          </w:tcPr>
          <w:p w:rsidR="009534E2" w:rsidRDefault="009534E2">
            <w:pPr>
              <w:keepNext/>
              <w:jc w:val="center"/>
              <w:rPr>
                <w:color w:val="000000"/>
              </w:rPr>
            </w:pPr>
          </w:p>
        </w:tc>
        <w:tc>
          <w:tcPr>
            <w:tcW w:w="658" w:type="pct"/>
            <w:tcBorders>
              <w:top w:val="nil"/>
              <w:left w:val="nil"/>
              <w:bottom w:val="nil"/>
              <w:right w:val="nil"/>
              <w:tl2br w:val="nil"/>
              <w:tr2bl w:val="nil"/>
            </w:tcBorders>
            <w:shd w:val="clear" w:color="auto" w:fill="CCEEFF"/>
            <w:noWrap/>
            <w:vAlign w:val="bottom"/>
          </w:tcPr>
          <w:p w:rsidR="009534E2" w:rsidRDefault="009534E2">
            <w:pPr>
              <w:keepNext/>
              <w:jc w:val="center"/>
              <w:rPr>
                <w:color w:val="000000"/>
              </w:rPr>
            </w:pPr>
          </w:p>
        </w:tc>
        <w:tc>
          <w:tcPr>
            <w:tcW w:w="1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658"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xml:space="preserve"> —</w:t>
            </w:r>
          </w:p>
        </w:tc>
      </w:tr>
      <w:tr w:rsidR="009534E2">
        <w:trPr>
          <w:jc w:val="center"/>
        </w:trPr>
        <w:tc>
          <w:tcPr>
            <w:tcW w:w="1495" w:type="pct"/>
            <w:tcBorders>
              <w:top w:val="nil"/>
              <w:left w:val="nil"/>
              <w:bottom w:val="nil"/>
              <w:right w:val="nil"/>
              <w:tl2br w:val="nil"/>
              <w:tr2bl w:val="nil"/>
            </w:tcBorders>
            <w:vAlign w:val="bottom"/>
          </w:tcPr>
          <w:p w:rsidR="009534E2" w:rsidRDefault="003369EB">
            <w:pPr>
              <w:keepNext/>
              <w:jc w:val="center"/>
              <w:rPr>
                <w:color w:val="000000"/>
              </w:rPr>
            </w:pPr>
            <w:bookmarkStart w:name="_aff8ddbf_3d38_4a69_996d_30792d9e5d73" w:id="558"/>
            <w:bookmarkEnd w:id="557"/>
            <w:r>
              <w:rPr>
                <w:rFonts w:ascii="Times New Roman" w:hAnsi="Times New Roman" w:eastAsia="Times New Roman" w:cs="Times New Roman"/>
                <w:color w:val="000000"/>
              </w:rPr>
              <w:t>2021 LTCIP</w:t>
            </w:r>
          </w:p>
        </w:tc>
        <w:tc>
          <w:tcPr>
            <w:tcW w:w="114"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658"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2021</w:t>
            </w:r>
          </w:p>
        </w:tc>
        <w:tc>
          <w:tcPr>
            <w:tcW w:w="114"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1077"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Performance Stock Units -(“PSU”)</w:t>
            </w:r>
          </w:p>
        </w:tc>
        <w:tc>
          <w:tcPr>
            <w:tcW w:w="114"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658"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xml:space="preserve"> 33,093,333</w:t>
            </w:r>
          </w:p>
        </w:tc>
        <w:tc>
          <w:tcPr>
            <w:tcW w:w="114"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658"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xml:space="preserve"> —</w:t>
            </w:r>
          </w:p>
        </w:tc>
      </w:tr>
      <w:tr w:rsidR="009534E2">
        <w:trPr>
          <w:jc w:val="center"/>
        </w:trPr>
        <w:tc>
          <w:tcPr>
            <w:tcW w:w="1495" w:type="pct"/>
            <w:tcBorders>
              <w:top w:val="nil"/>
              <w:left w:val="nil"/>
              <w:bottom w:val="nil"/>
              <w:right w:val="nil"/>
              <w:tl2br w:val="nil"/>
              <w:tr2bl w:val="nil"/>
            </w:tcBorders>
            <w:shd w:val="clear" w:color="auto" w:fill="CCEEFF"/>
            <w:vAlign w:val="bottom"/>
          </w:tcPr>
          <w:p w:rsidR="009534E2" w:rsidRDefault="003369EB">
            <w:pPr>
              <w:keepNext/>
              <w:jc w:val="center"/>
              <w:rPr>
                <w:color w:val="000000"/>
              </w:rPr>
            </w:pPr>
            <w:bookmarkStart w:name="_644da2dd_d2dc_4adb_8b6c_503120149900" w:id="559"/>
            <w:bookmarkEnd w:id="558"/>
            <w:r>
              <w:rPr>
                <w:rFonts w:ascii="Times New Roman" w:hAnsi="Times New Roman" w:eastAsia="Times New Roman" w:cs="Times New Roman"/>
                <w:color w:val="000000"/>
              </w:rPr>
              <w:t>2022 LTCIP</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658"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2022</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1077"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RSU</w:t>
            </w:r>
          </w:p>
        </w:tc>
        <w:tc>
          <w:tcPr>
            <w:tcW w:w="114" w:type="pct"/>
            <w:tcBorders>
              <w:top w:val="nil"/>
              <w:left w:val="nil"/>
              <w:bottom w:val="nil"/>
              <w:right w:val="nil"/>
              <w:tl2br w:val="nil"/>
              <w:tr2bl w:val="nil"/>
            </w:tcBorders>
            <w:shd w:val="clear" w:color="auto" w:fill="CCEEFF"/>
            <w:noWrap/>
            <w:vAlign w:val="bottom"/>
          </w:tcPr>
          <w:p w:rsidR="009534E2" w:rsidRDefault="009534E2">
            <w:pPr>
              <w:keepNext/>
              <w:jc w:val="center"/>
              <w:rPr>
                <w:color w:val="000000"/>
              </w:rPr>
            </w:pPr>
          </w:p>
        </w:tc>
        <w:tc>
          <w:tcPr>
            <w:tcW w:w="658"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xml:space="preserve"> 35,025,000</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658"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xml:space="preserve"> 35,025,000</w:t>
            </w:r>
          </w:p>
        </w:tc>
      </w:tr>
      <w:tr w:rsidR="009534E2">
        <w:trPr>
          <w:jc w:val="center"/>
        </w:trPr>
        <w:tc>
          <w:tcPr>
            <w:tcW w:w="1495" w:type="pct"/>
            <w:tcBorders>
              <w:top w:val="nil"/>
              <w:left w:val="nil"/>
              <w:bottom w:val="nil"/>
              <w:right w:val="nil"/>
              <w:tl2br w:val="nil"/>
              <w:tr2bl w:val="nil"/>
            </w:tcBorders>
            <w:vAlign w:val="bottom"/>
          </w:tcPr>
          <w:p w:rsidR="009534E2" w:rsidRDefault="003369EB">
            <w:pPr>
              <w:keepNext/>
              <w:jc w:val="center"/>
              <w:rPr>
                <w:color w:val="000000"/>
              </w:rPr>
            </w:pPr>
            <w:bookmarkStart w:name="_b0649675_c648_443f_bb88_8e511635163d" w:id="560"/>
            <w:bookmarkEnd w:id="559"/>
            <w:r>
              <w:rPr>
                <w:rFonts w:ascii="Times New Roman" w:hAnsi="Times New Roman" w:eastAsia="Times New Roman" w:cs="Times New Roman"/>
                <w:color w:val="000000"/>
              </w:rPr>
              <w:t>2022 LTCIP</w:t>
            </w:r>
          </w:p>
        </w:tc>
        <w:tc>
          <w:tcPr>
            <w:tcW w:w="114"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658"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2022</w:t>
            </w:r>
          </w:p>
        </w:tc>
        <w:tc>
          <w:tcPr>
            <w:tcW w:w="114"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1077"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PSU</w:t>
            </w:r>
          </w:p>
        </w:tc>
        <w:tc>
          <w:tcPr>
            <w:tcW w:w="114"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658"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xml:space="preserve"> —</w:t>
            </w:r>
          </w:p>
        </w:tc>
        <w:tc>
          <w:tcPr>
            <w:tcW w:w="114"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658"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xml:space="preserve"> 70,050,000</w:t>
            </w:r>
          </w:p>
        </w:tc>
      </w:tr>
      <w:tr w:rsidR="009534E2">
        <w:trPr>
          <w:jc w:val="center"/>
        </w:trPr>
        <w:tc>
          <w:tcPr>
            <w:tcW w:w="1495" w:type="pct"/>
            <w:tcBorders>
              <w:top w:val="nil"/>
              <w:left w:val="nil"/>
              <w:bottom w:val="nil"/>
              <w:right w:val="nil"/>
              <w:tl2br w:val="nil"/>
              <w:tr2bl w:val="nil"/>
            </w:tcBorders>
            <w:shd w:val="clear" w:color="auto" w:fill="CCEEFF"/>
            <w:vAlign w:val="bottom"/>
          </w:tcPr>
          <w:p w:rsidR="009534E2" w:rsidRDefault="003369EB">
            <w:pPr>
              <w:keepNext/>
              <w:jc w:val="center"/>
              <w:rPr>
                <w:color w:val="000000"/>
              </w:rPr>
            </w:pPr>
            <w:bookmarkStart w:name="_4425c68a_f613_46ff_8af8_5221ff8b967f" w:id="561"/>
            <w:bookmarkEnd w:id="560"/>
            <w:r>
              <w:rPr>
                <w:rFonts w:ascii="Times New Roman" w:hAnsi="Times New Roman" w:eastAsia="Times New Roman" w:cs="Times New Roman"/>
                <w:color w:val="000000"/>
              </w:rPr>
              <w:t>2023 LTCIP</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658"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2023</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1077"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RSU</w:t>
            </w:r>
          </w:p>
        </w:tc>
        <w:tc>
          <w:tcPr>
            <w:tcW w:w="114" w:type="pct"/>
            <w:tcBorders>
              <w:top w:val="nil"/>
              <w:left w:val="nil"/>
              <w:bottom w:val="nil"/>
              <w:right w:val="nil"/>
              <w:tl2br w:val="nil"/>
              <w:tr2bl w:val="nil"/>
            </w:tcBorders>
            <w:shd w:val="clear" w:color="auto" w:fill="CCEEFF"/>
            <w:noWrap/>
            <w:vAlign w:val="bottom"/>
          </w:tcPr>
          <w:p w:rsidR="009534E2" w:rsidRDefault="009534E2">
            <w:pPr>
              <w:keepNext/>
              <w:jc w:val="center"/>
              <w:rPr>
                <w:color w:val="000000"/>
              </w:rPr>
            </w:pPr>
          </w:p>
        </w:tc>
        <w:tc>
          <w:tcPr>
            <w:tcW w:w="658"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xml:space="preserve"> —</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658"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xml:space="preserve"> 70,050,000</w:t>
            </w:r>
          </w:p>
        </w:tc>
      </w:tr>
      <w:tr w:rsidR="009534E2">
        <w:trPr>
          <w:jc w:val="center"/>
        </w:trPr>
        <w:tc>
          <w:tcPr>
            <w:tcW w:w="1495" w:type="pct"/>
            <w:tcBorders>
              <w:top w:val="nil"/>
              <w:left w:val="nil"/>
              <w:bottom w:val="nil"/>
              <w:right w:val="nil"/>
              <w:tl2br w:val="nil"/>
              <w:tr2bl w:val="nil"/>
            </w:tcBorders>
            <w:vAlign w:val="bottom"/>
          </w:tcPr>
          <w:p w:rsidR="009534E2" w:rsidRDefault="003369EB">
            <w:pPr>
              <w:keepNext/>
              <w:jc w:val="center"/>
              <w:rPr>
                <w:color w:val="000000"/>
              </w:rPr>
            </w:pPr>
            <w:bookmarkStart w:name="_98afb8eb_d483_49da_bc7d_8046a6a15cba" w:id="562"/>
            <w:bookmarkEnd w:id="561"/>
            <w:r>
              <w:rPr>
                <w:rFonts w:ascii="Times New Roman" w:hAnsi="Times New Roman" w:eastAsia="Times New Roman" w:cs="Times New Roman"/>
                <w:color w:val="000000"/>
              </w:rPr>
              <w:t>2023 LTCIP</w:t>
            </w:r>
          </w:p>
        </w:tc>
        <w:tc>
          <w:tcPr>
            <w:tcW w:w="114"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658"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2023</w:t>
            </w:r>
          </w:p>
        </w:tc>
        <w:tc>
          <w:tcPr>
            <w:tcW w:w="114"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1077"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PSU</w:t>
            </w:r>
          </w:p>
        </w:tc>
        <w:tc>
          <w:tcPr>
            <w:tcW w:w="114" w:type="pct"/>
            <w:tcBorders>
              <w:top w:val="nil"/>
              <w:left w:val="nil"/>
              <w:bottom w:val="nil"/>
              <w:right w:val="nil"/>
              <w:tl2br w:val="nil"/>
              <w:tr2bl w:val="nil"/>
            </w:tcBorders>
            <w:noWrap/>
            <w:vAlign w:val="bottom"/>
          </w:tcPr>
          <w:p w:rsidR="009534E2" w:rsidRDefault="009534E2">
            <w:pPr>
              <w:keepNext/>
              <w:jc w:val="center"/>
              <w:rPr>
                <w:color w:val="000000"/>
              </w:rPr>
            </w:pPr>
          </w:p>
        </w:tc>
        <w:tc>
          <w:tcPr>
            <w:tcW w:w="658" w:type="pct"/>
            <w:tcBorders>
              <w:top w:val="nil"/>
              <w:left w:val="nil"/>
              <w:bottom w:val="nil"/>
              <w:right w:val="nil"/>
              <w:tl2br w:val="nil"/>
              <w:tr2bl w:val="nil"/>
            </w:tcBorders>
            <w:noWrap/>
            <w:vAlign w:val="bottom"/>
          </w:tcPr>
          <w:p w:rsidR="009534E2" w:rsidRDefault="003369EB">
            <w:pPr>
              <w:keepNext/>
              <w:jc w:val="center"/>
              <w:rPr>
                <w:rFonts w:ascii="Calibri" w:hAnsi="Calibri" w:eastAsia="Calibri" w:cs="Calibri"/>
                <w:color w:val="000000"/>
              </w:rPr>
            </w:pPr>
            <w:r>
              <w:rPr>
                <w:rFonts w:ascii="Calibri" w:hAnsi="Calibri" w:eastAsia="Calibri" w:cs="Calibri"/>
                <w:color w:val="000000"/>
              </w:rPr>
              <w:t xml:space="preserve"> —</w:t>
            </w:r>
          </w:p>
        </w:tc>
        <w:tc>
          <w:tcPr>
            <w:tcW w:w="114"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658"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xml:space="preserve"> 70,050,000</w:t>
            </w:r>
          </w:p>
        </w:tc>
      </w:tr>
      <w:bookmarkEnd w:id="555"/>
      <w:bookmarkEnd w:id="562"/>
    </w:tbl>
    <w:p w:rsidR="009534E2" w:rsidRDefault="009534E2">
      <w:pPr>
        <w:keepNext/>
        <w:keepLines/>
        <w:ind w:firstLine="461"/>
        <w:rPr>
          <w:rFonts w:asciiTheme="majorHAnsi" w:hAnsiTheme="majorHAnsi" w:cstheme="majorHAnsi"/>
        </w:rPr>
      </w:pPr>
    </w:p>
    <w:p w:rsidR="009534E2" w:rsidRDefault="003369EB">
      <w:pPr>
        <w:spacing w:after="200"/>
        <w:ind w:firstLine="461"/>
        <w:rPr>
          <w:rFonts w:asciiTheme="majorHAnsi" w:hAnsiTheme="majorHAnsi" w:cstheme="majorHAnsi"/>
        </w:rPr>
      </w:pPr>
      <w:r>
        <w:rPr>
          <w:rFonts w:asciiTheme="majorHAnsi" w:hAnsiTheme="majorHAnsi" w:cstheme="majorHAnsi"/>
        </w:rPr>
        <w:t>For information on share ownership and options held by our directors and senior management, please see “</w:t>
      </w:r>
      <w:r>
        <w:rPr>
          <w:rFonts w:asciiTheme="majorHAnsi" w:hAnsiTheme="majorHAnsi" w:cstheme="majorHAnsi"/>
          <w:i/>
          <w:iCs/>
        </w:rPr>
        <w:t>Major Shareholders and Related Party Transactions</w:t>
      </w:r>
      <w:r>
        <w:rPr>
          <w:rFonts w:asciiTheme="majorHAnsi" w:hAnsiTheme="majorHAnsi" w:cstheme="majorHAnsi"/>
        </w:rPr>
        <w:t>”.</w:t>
      </w:r>
    </w:p>
    <w:p w:rsidR="009534E2" w:rsidRDefault="003369EB">
      <w:pPr>
        <w:keepNext/>
        <w:tabs>
          <w:tab w:val="left" w:pos="479"/>
        </w:tabs>
        <w:spacing w:after="20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C.</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Board Practices</w:t>
      </w:r>
      <w:bookmarkStart w:name="CBoardPractices_505978" w:id="563"/>
      <w:bookmarkEnd w:id="563"/>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Board of Directors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Our company has a single-tier board structure, with a board of directors comprised of up to seven directors nominated and elected by the shareholders (subject to certain exemptions), including not less than three directors who shall be independent directors (see also “</w:t>
      </w:r>
      <w:r>
        <w:rPr>
          <w:rFonts w:eastAsia="Times New Roman" w:asciiTheme="majorHAnsi" w:hAnsiTheme="majorHAnsi" w:cstheme="majorHAnsi"/>
          <w:i/>
          <w:iCs/>
          <w:lang w:eastAsia="ru-RU"/>
        </w:rPr>
        <w:t>Description of Share Capital—Board of Directors</w:t>
      </w:r>
      <w:r>
        <w:rPr>
          <w:rFonts w:eastAsia="Times New Roman" w:asciiTheme="majorHAnsi" w:hAnsiTheme="majorHAnsi" w:cstheme="majorHAnsi"/>
          <w:lang w:eastAsia="ru-RU"/>
        </w:rPr>
        <w:t>”). The primary responsibility of our board of directors is to oversee the operations of our company, and to supervise the policies of senior management and the affairs of our company. The term for the directors serving on our board of directors at the time of the annual report will expire at the annual general meeting of shareholders to be held in 2023. Our directors shall be elected at each subsequent annual general meeting of shareholders. Our articles of association provide that we may have up to seven directors, including not less than three independent directors. Non-independent directors shall not be more than four.</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 xml:space="preserve">Under the Nasdaq Listing Rules, a director employed by us or that has, or had, certain relationships with us during the three years prior to this annual report, cannot be deemed to be an independent director, and each other director will qualify as independent only if our board of directors affirmatively determines that the director has no material relationship with us, either directly or as a partner, shareholder or officer of an organization that has a relationship with us. Ownership of a significant amount of our shares, by itself, does not constitute a material relationship. Our articles of association provide that any non-independent director may be qualified as an independent director if such director meets certain criteria under the Nasdaq Listing Rules. Accordingly, our board of directors has affirmatively determined that Mr. Alexey Blagirev, Mr. Alexey Ivanov and Mr. Alexey Solovyev are each an independent director in accordance with the Nasdaq Listing Rules. </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Committees of our Board of Directors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We have established three committees under the board of directors: the audit committee, the compensation committee and the strategy and sustainable development committee. We have adopted a charter for each of these committees. Each committee’s members and functions are as follows.</w:t>
      </w:r>
    </w:p>
    <w:p w:rsidR="009534E2" w:rsidRDefault="003369EB">
      <w:pPr>
        <w:spacing w:after="200"/>
        <w:ind w:firstLine="461"/>
        <w:rPr>
          <w:rFonts w:eastAsia="Times New Roman" w:asciiTheme="majorHAnsi" w:hAnsiTheme="majorHAnsi" w:cstheme="majorHAnsi"/>
          <w:i/>
          <w:lang w:eastAsia="ru-RU"/>
        </w:rPr>
      </w:pPr>
      <w:r>
        <w:rPr>
          <w:rFonts w:eastAsia="Times New Roman" w:asciiTheme="majorHAnsi" w:hAnsiTheme="majorHAnsi" w:cstheme="majorHAnsi"/>
          <w:i/>
          <w:lang w:eastAsia="ru-RU"/>
        </w:rPr>
        <w:t xml:space="preserve">Audit Committee. </w:t>
      </w:r>
      <w:r>
        <w:rPr>
          <w:rFonts w:eastAsia="Times New Roman" w:asciiTheme="majorHAnsi" w:hAnsiTheme="majorHAnsi" w:cstheme="majorHAnsi"/>
          <w:iCs/>
          <w:lang w:eastAsia="ru-RU"/>
        </w:rPr>
        <w:t>Our audit committee consists of Messrs. Blagirev, Ivanov and Kroll, Mr. Ivanov is the chair of the audit committee and our board of directors has determined that Mr. Ivanov qualifies as an “audit committee financial expert,” as defined under Nasdaq Listing Rules and the rules and regulations of the Exchange Act. Messrs. Blagirev, Ivanov and Kroll are each an independent director in accordance with the Nasdaq Listing Rules.</w:t>
      </w:r>
    </w:p>
    <w:p w:rsidR="009534E2" w:rsidRDefault="003369EB">
      <w:pPr>
        <w:spacing w:after="200"/>
        <w:ind w:firstLine="461"/>
        <w:rPr>
          <w:rFonts w:eastAsia="Times New Roman" w:asciiTheme="majorHAnsi" w:hAnsiTheme="majorHAnsi" w:cstheme="majorHAnsi"/>
          <w:iCs/>
          <w:sz w:val="24"/>
          <w:szCs w:val="24"/>
        </w:rPr>
      </w:pPr>
      <w:r>
        <w:rPr>
          <w:rFonts w:eastAsia="Times New Roman" w:asciiTheme="majorHAnsi" w:hAnsiTheme="majorHAnsi" w:cstheme="majorHAnsi"/>
          <w:iCs/>
          <w:lang w:eastAsia="ru-RU"/>
        </w:rPr>
        <w:t>The purpose of the audit committee is to assist our board of directors with its oversight responsibilities regarding: (a) the integrity of our financial statements, (b) our compliance with legal and regulatory requirements, (c) the independent auditor’s qualifications, independence and performance and (d) the performance of our internal audit function and independent auditor.</w:t>
      </w:r>
    </w:p>
    <w:p w:rsidR="009534E2" w:rsidRDefault="003369EB">
      <w:pPr>
        <w:keepNext/>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Our audit committee’s duties include, but are not limited to:</w:t>
      </w:r>
    </w:p>
    <w:p w:rsidR="009534E2" w:rsidRDefault="003369EB">
      <w:pPr>
        <w:spacing w:after="200"/>
        <w:ind w:left="821" w:hanging="360"/>
        <w:rPr>
          <w:rFonts w:eastAsia="Times New Roman" w:asciiTheme="majorHAnsi" w:hAnsiTheme="majorHAnsi" w:cstheme="majorHAnsi"/>
          <w:sz w:val="24"/>
          <w:szCs w:val="24"/>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selecting the independent registered public accounting firm and pre-approving all auditing and non-auditing services permitted to be performed by the independent registered public accounting firm;</w:t>
      </w:r>
    </w:p>
    <w:p w:rsidR="009534E2" w:rsidRDefault="003369EB">
      <w:pPr>
        <w:spacing w:after="200"/>
        <w:ind w:left="821" w:hanging="360"/>
        <w:rPr>
          <w:rFonts w:eastAsia="Times New Roman" w:asciiTheme="majorHAnsi" w:hAnsiTheme="majorHAnsi" w:cstheme="majorHAnsi"/>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reviewing with our independent registered public accounting firm the external audit plan and monitoring progress of its execution;</w:t>
      </w:r>
    </w:p>
    <w:p w:rsidR="009534E2" w:rsidRDefault="003369EB">
      <w:pPr>
        <w:spacing w:after="200"/>
        <w:ind w:left="821" w:hanging="360"/>
        <w:rPr>
          <w:rFonts w:eastAsia="Times New Roman" w:asciiTheme="majorHAnsi" w:hAnsiTheme="majorHAnsi" w:cstheme="majorHAnsi"/>
          <w:sz w:val="24"/>
          <w:szCs w:val="24"/>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reviewing with our independent registered public accounting firm any audit problems or difficulties and management’s response;</w:t>
      </w:r>
    </w:p>
    <w:p w:rsidR="009534E2" w:rsidRDefault="003369EB">
      <w:pPr>
        <w:spacing w:after="200"/>
        <w:ind w:left="821" w:hanging="360"/>
        <w:rPr>
          <w:rFonts w:eastAsia="Times New Roman" w:asciiTheme="majorHAnsi" w:hAnsiTheme="majorHAnsi" w:cstheme="majorHAnsi"/>
          <w:sz w:val="24"/>
          <w:szCs w:val="24"/>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reviewing all proposed related party transactions, as defined in Item 404 of Regulation S-K under the Securities Act;</w:t>
      </w:r>
    </w:p>
    <w:p w:rsidR="009534E2" w:rsidRDefault="003369EB">
      <w:pPr>
        <w:spacing w:after="200"/>
        <w:ind w:left="821" w:hanging="360"/>
        <w:rPr>
          <w:rFonts w:eastAsia="Times New Roman" w:asciiTheme="majorHAnsi" w:hAnsiTheme="majorHAnsi" w:cstheme="majorHAnsi"/>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discussing the financial statements and annual and quarterly reports with management and the independent registered public accounting firm;</w:t>
      </w:r>
    </w:p>
    <w:p w:rsidR="009534E2" w:rsidRDefault="003369EB">
      <w:pPr>
        <w:spacing w:after="200"/>
        <w:ind w:left="821" w:hanging="360"/>
        <w:rPr>
          <w:rFonts w:eastAsia="Times New Roman" w:asciiTheme="majorHAnsi" w:hAnsiTheme="majorHAnsi" w:cstheme="majorHAnsi"/>
          <w:sz w:val="12"/>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review the internal auditor's objectives, resources and effectiveness and their annual audit plan, as well as the adequacy and effectiveness of internal control policies and procedures on a regular basis;</w:t>
      </w:r>
    </w:p>
    <w:p w:rsidR="009534E2" w:rsidRDefault="003369EB">
      <w:pPr>
        <w:spacing w:after="200"/>
        <w:ind w:left="821" w:hanging="360"/>
        <w:rPr>
          <w:rFonts w:eastAsia="Times New Roman" w:asciiTheme="majorHAnsi" w:hAnsiTheme="majorHAnsi" w:cstheme="majorHAnsi"/>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discuss with management legal matters that may have a material impact on the financial statements or company’s compliance procedures;</w:t>
      </w:r>
    </w:p>
    <w:p w:rsidR="009534E2" w:rsidRDefault="003369EB">
      <w:pPr>
        <w:spacing w:after="200"/>
        <w:ind w:left="821" w:hanging="360"/>
        <w:rPr>
          <w:rFonts w:eastAsia="Times New Roman" w:asciiTheme="majorHAnsi" w:hAnsiTheme="majorHAnsi" w:cstheme="majorHAnsi"/>
          <w:sz w:val="24"/>
          <w:szCs w:val="24"/>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reviewing major issues as to the adequacy of our internal control and any special audit steps adopted in light of material control deficiencies; and</w:t>
      </w:r>
    </w:p>
    <w:p w:rsidR="009534E2" w:rsidRDefault="003369EB">
      <w:pPr>
        <w:spacing w:after="200"/>
        <w:ind w:left="821" w:hanging="360"/>
        <w:rPr>
          <w:rFonts w:eastAsia="Times New Roman" w:asciiTheme="majorHAnsi" w:hAnsiTheme="majorHAnsi" w:cstheme="majorHAnsi"/>
        </w:rPr>
      </w:pPr>
      <w:r>
        <w:rPr>
          <w:rFonts w:eastAsia="Times New Roman" w:asciiTheme="majorHAnsi" w:hAnsiTheme="majorHAnsi" w:cstheme="majorHAnsi"/>
        </w:rPr>
        <w:t></w:t>
      </w:r>
      <w:r>
        <w:rPr>
          <w:rFonts w:eastAsia="Times New Roman" w:asciiTheme="majorHAnsi" w:hAnsiTheme="majorHAnsi" w:cstheme="majorHAnsi"/>
        </w:rPr>
        <w:tab/>
      </w:r>
      <w:r>
        <w:rPr>
          <w:rFonts w:eastAsia="Times New Roman" w:asciiTheme="majorHAnsi" w:hAnsiTheme="majorHAnsi" w:cstheme="majorHAnsi"/>
          <w:lang w:eastAsia="ru-RU"/>
        </w:rPr>
        <w:t>meeting separately and periodically with management and our independent registered public accounting firm.</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i/>
          <w:lang w:eastAsia="ru-RU"/>
        </w:rPr>
        <w:t xml:space="preserve">Compensation Committee. </w:t>
      </w:r>
      <w:r>
        <w:rPr>
          <w:rFonts w:eastAsia="Times New Roman" w:asciiTheme="majorHAnsi" w:hAnsiTheme="majorHAnsi" w:cstheme="majorHAnsi"/>
          <w:iCs/>
          <w:lang w:eastAsia="ru-RU"/>
        </w:rPr>
        <w:t>Our compensation committee consists of Messrs. Ivanov, Sirotinina and Solovyev, Ms. Sirotinina is the chair of the compensation committee. Mr. Alexey Ivanov is an independent director in accordance with the Nasdaq Listing Rules, whereas Messrs. Sirotinina and Solovyev are non-independent director and independent director, respectively. We follow Cyprus law which does not require companies to have a compensation committee made up entirely of independent directors. None of the members of our compensation committee is an officer or employee of our company.</w:t>
      </w:r>
    </w:p>
    <w:p w:rsidR="009534E2" w:rsidRDefault="003369EB">
      <w:pPr>
        <w:keepNext/>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Our compensation committee’s duties include, but are not limited to:</w:t>
      </w:r>
    </w:p>
    <w:p w:rsidR="009534E2" w:rsidRDefault="003369EB">
      <w:pPr>
        <w:spacing w:after="200"/>
        <w:ind w:left="821" w:hanging="360"/>
        <w:rPr>
          <w:rFonts w:eastAsia="Times New Roman" w:asciiTheme="majorHAnsi" w:hAnsiTheme="majorHAnsi" w:cstheme="majorHAnsi"/>
          <w:sz w:val="24"/>
          <w:szCs w:val="24"/>
        </w:rPr>
      </w:pPr>
      <w:r>
        <w:rPr>
          <w:rFonts w:eastAsia="Times New Roman" w:asciiTheme="majorHAnsi" w:hAnsiTheme="majorHAnsi" w:cstheme="majorHAnsi"/>
          <w:lang w:val="ru-RU" w:eastAsia="ru-RU"/>
        </w:rPr>
        <w:t>·</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lang w:eastAsia="ru-RU"/>
        </w:rPr>
        <w:t>approving the compensation package of the chief executive officer;</w:t>
      </w:r>
    </w:p>
    <w:p w:rsidR="009534E2" w:rsidRDefault="003369EB">
      <w:pPr>
        <w:spacing w:after="200"/>
        <w:ind w:left="821" w:hanging="360"/>
        <w:rPr>
          <w:rFonts w:eastAsia="Times New Roman" w:asciiTheme="majorHAnsi" w:hAnsiTheme="majorHAnsi" w:cstheme="majorHAnsi"/>
          <w:sz w:val="24"/>
          <w:szCs w:val="24"/>
        </w:rPr>
      </w:pPr>
      <w:r>
        <w:rPr>
          <w:rFonts w:eastAsia="Times New Roman" w:asciiTheme="majorHAnsi" w:hAnsiTheme="majorHAnsi" w:cstheme="majorHAnsi"/>
          <w:lang w:val="ru-RU" w:eastAsia="ru-RU"/>
        </w:rPr>
        <w:t>·</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lang w:eastAsia="ru-RU"/>
        </w:rPr>
        <w:t>administering our equity incentive plan;</w:t>
      </w:r>
    </w:p>
    <w:p w:rsidR="009534E2" w:rsidRDefault="003369EB">
      <w:pPr>
        <w:spacing w:after="200"/>
        <w:ind w:left="821" w:hanging="360"/>
        <w:rPr>
          <w:rFonts w:eastAsia="Times New Roman" w:asciiTheme="majorHAnsi" w:hAnsiTheme="majorHAnsi" w:cstheme="majorHAnsi"/>
          <w:sz w:val="12"/>
        </w:rPr>
      </w:pPr>
      <w:r>
        <w:rPr>
          <w:rFonts w:eastAsia="Times New Roman" w:asciiTheme="majorHAnsi" w:hAnsiTheme="majorHAnsi" w:cstheme="majorHAnsi"/>
          <w:lang w:eastAsia="ru-RU"/>
        </w:rPr>
        <w:t>·</w:t>
      </w:r>
      <w:r>
        <w:rPr>
          <w:rFonts w:eastAsia="Times New Roman" w:asciiTheme="majorHAnsi" w:hAnsiTheme="majorHAnsi" w:cstheme="majorHAnsi"/>
          <w:lang w:eastAsia="ru-RU"/>
        </w:rPr>
        <w:tab/>
        <w:t>overseeing, and advising the board of directors on, overall compensation plans and benefit programs; and</w:t>
      </w:r>
    </w:p>
    <w:p w:rsidR="009534E2" w:rsidRDefault="003369EB">
      <w:pPr>
        <w:spacing w:after="200"/>
        <w:ind w:left="821" w:hanging="360"/>
        <w:rPr>
          <w:rFonts w:eastAsia="Times New Roman" w:asciiTheme="majorHAnsi" w:hAnsiTheme="majorHAnsi" w:cstheme="majorHAnsi"/>
        </w:rPr>
      </w:pPr>
      <w:r>
        <w:rPr>
          <w:rFonts w:eastAsia="Times New Roman" w:asciiTheme="majorHAnsi" w:hAnsiTheme="majorHAnsi" w:cstheme="majorHAnsi"/>
          <w:lang w:eastAsia="ru-RU"/>
        </w:rPr>
        <w:t>·</w:t>
      </w:r>
      <w:r>
        <w:rPr>
          <w:rFonts w:eastAsia="Times New Roman" w:asciiTheme="majorHAnsi" w:hAnsiTheme="majorHAnsi" w:cstheme="majorHAnsi"/>
          <w:lang w:eastAsia="ru-RU"/>
        </w:rPr>
        <w:tab/>
        <w:t>authorizing the repurchase of shares from terminated employees.</w:t>
      </w:r>
    </w:p>
    <w:p w:rsidR="009534E2" w:rsidRDefault="003369EB">
      <w:pPr>
        <w:spacing w:after="200"/>
        <w:ind w:firstLine="461"/>
        <w:rPr>
          <w:rFonts w:eastAsia="Times New Roman" w:asciiTheme="majorHAnsi" w:hAnsiTheme="majorHAnsi" w:cstheme="majorHAnsi"/>
          <w:bCs/>
        </w:rPr>
      </w:pPr>
      <w:r>
        <w:rPr>
          <w:rFonts w:eastAsia="Times New Roman" w:asciiTheme="majorHAnsi" w:hAnsiTheme="majorHAnsi" w:cstheme="majorHAnsi"/>
          <w:bCs/>
          <w:i/>
          <w:lang w:eastAsia="ru-RU"/>
        </w:rPr>
        <w:t xml:space="preserve">Strategy and Sustainable Development Committee. </w:t>
      </w:r>
      <w:r>
        <w:rPr>
          <w:rFonts w:eastAsia="Times New Roman" w:asciiTheme="majorHAnsi" w:hAnsiTheme="majorHAnsi" w:cstheme="majorHAnsi"/>
          <w:bCs/>
          <w:iCs/>
          <w:lang w:eastAsia="ru-RU"/>
        </w:rPr>
        <w:t>Our strategy and sustainable development committee (previously known as the strategy committee) consists of Messrs. Blagirev, Solovyev, Protopopov and Kroll. Mr. Blagirev is the chair of the strategy and sustainable development committee. Our strategy and sustainable development committee has a key role in defining our strategic goals and objectives, including but not limited to Environmental, Social and Governance area, advises our board of directors on the implementation of our strategic goals and objectives and oversees their implementation.</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Directors’ Duties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Under Cyprus law, our directors owe fiduciary duties both under common law and statute, including a statutory duty and common law duty to act honestly, in good faith and in what the director believes are the best interests of the company. When exercising powers or performing duties as a director, the director is required to exercise the care, diligence and skill that a responsible director would exercise in the same circumstances taking into account, without limitation, the nature of the company, the nature of the decision and the position of the director and the nature of the responsibilities undertaken by him. The directors are required to exercise their powers for a proper purpose and must not act or agree to the company acting in a manner that contravenes our articles of association or Cyprus law.</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Employment Agreements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We have entered into employment agreements with each of our executive officers. Each of these contains standard terms and conditions in compliance with Russian or other local labor law. The terms of these employment agreements include, among other things, duration, remuneration, the treatment of confidential information, social insurance and employment benefits.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We may terminate the employment agreements with our executive officers in accordance with the general provisions envisaged by Russian or other local labor law if, among other things, one of our executive officers commits serious breach of duties, is guilty of any gross misconduct in connection with the handling of money or valuables, or takes an erroneous decision that leads to the improper use of, or causes damage to, our property. In addition, Russian labor law and employment agreements of some of our executive officers contain certain additional provisions whereby we may terminate their employment agreements if such officers are dismissed from office in accordance with Russian bankruptcy legislation.</w:t>
      </w:r>
    </w:p>
    <w:p w:rsidR="009534E2" w:rsidRDefault="003369EB">
      <w:pPr>
        <w:spacing w:after="200"/>
        <w:ind w:firstLine="461"/>
        <w:rPr>
          <w:rFonts w:eastAsia="Times New Roman" w:asciiTheme="majorHAnsi" w:hAnsiTheme="majorHAnsi" w:cstheme="majorHAnsi"/>
          <w:sz w:val="16"/>
          <w:szCs w:val="16"/>
          <w:lang w:eastAsia="ru-RU"/>
        </w:rPr>
      </w:pPr>
      <w:r>
        <w:rPr>
          <w:rFonts w:eastAsia="Times New Roman" w:asciiTheme="majorHAnsi" w:hAnsiTheme="majorHAnsi" w:cstheme="majorHAnsi"/>
          <w:lang w:eastAsia="ru-RU"/>
        </w:rPr>
        <w:t>Each executive officer has agreed to hold in strict confidence any confidential information or trade secrets of our company. Each executive officer also agrees to comply with all material applicable laws and regulations related to his or her responsibilities at our company as well as all material corporate and business policies and procedures of our company.</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Limitation on Liability and Indemnification of Directors and Officers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Our memorandum and articles of association provide that, subject to certain limitations, we will indemnify our directors and officers against any losses or liabilities which they may sustain or incur in or about the execution of their duties including liability incurred in defending any proceedings, whether civil or criminal, in which judgment is given in their favor or in which they are acquitted.</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Insofar as indemnification for liabilities arising under the Securities Act of 1933 may be permitted to directors, officers or persons controlling us pursuant to the foregoing provisions, in the opinion of the US Securities and Exchange Commission such indemnification is against public policy as expressed in the Securities Act of 1933 and may therefore be unenforceable.</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Interests of our Directors and our Employees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Certain of our directors and our executive officers have beneficial ownership interests in our shares or hold options to purchase shares. The economic interests through these holdings may give rise to a conflict of interest between their duties owed to us and their private interests. For example, it could cause them to pursue short-term gains in respect of those private interests instead of acting in our best interest. Other than the potential conflicts of interest described in the footnotes to the table in “Principal and Selling Shareholders”, we are not aware of any other potential conflicts of interest between any duties owed by members of our board of directors or our executive officers to us and their private interests and/or other duties.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Under our articles of association and Cyprus Law, a director who is in any way, directly or indirectly, interested in a contract or proposed contract with us must declare the nature of his or her interest at a meeting of our board of directors. In addition, a director has no right to vote in respect of any contract or arrangement in which he or she is interested, and if the director does vote, his or her vote will not be counted nor will he or she be counted for purposes of determining whether quorum at the meeting has been established.</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Our directors are generally not prohibited from owning or acquiring interests in companies that could compete with us in the future for investments or business, and each of them has a range of business relationships outside the context of their relationship with us that could influence their decisions in the future.</w:t>
      </w:r>
    </w:p>
    <w:p w:rsidR="009534E2" w:rsidRDefault="003369EB">
      <w:pPr>
        <w:spacing w:after="200"/>
        <w:rPr>
          <w:rFonts w:eastAsia="Times New Roman" w:asciiTheme="majorHAnsi" w:hAnsiTheme="majorHAnsi" w:cstheme="majorHAnsi"/>
          <w:b/>
          <w:bCs/>
          <w:lang w:eastAsia="ru-RU"/>
        </w:rPr>
      </w:pPr>
      <w:r>
        <w:rPr>
          <w:rFonts w:eastAsia="Times New Roman" w:asciiTheme="majorHAnsi" w:hAnsiTheme="majorHAnsi" w:cstheme="majorHAnsi"/>
          <w:b/>
          <w:bCs/>
          <w:lang w:eastAsia="ru-RU"/>
        </w:rPr>
        <w:t>Code of Ethics and Business Conduct</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have adopted a Code of Ethics and Business Conduct that applies to all of our directors, officers and employees. The Code of Ethics and Business Conduct is intended to promote honest and ethical conduct, full and accurate reporting, and compliance with laws as well as other matters. The first version of the Code was introduced in April 2013, and then amended in November 2019 and March 2021 in order to reflect the development of the business environment and our company. A copy of the Code of Ethics and Business Conduct is available on our website: https://investor.qiwi.com/governance/documents/#accordion-governance-documents.</w:t>
      </w:r>
    </w:p>
    <w:p w:rsidR="009534E2" w:rsidRDefault="003369EB">
      <w:pPr>
        <w:keepNext/>
        <w:keepLines/>
        <w:spacing w:after="200"/>
        <w:ind w:left="461" w:hanging="461"/>
        <w:rPr>
          <w:rFonts w:eastAsia="Times New Roman" w:asciiTheme="majorHAnsi" w:hAnsiTheme="majorHAnsi" w:cstheme="majorHAnsi"/>
          <w:b/>
          <w:bCs/>
          <w:lang w:eastAsia="ru-RU"/>
        </w:rPr>
      </w:pPr>
      <w:r>
        <w:rPr>
          <w:rFonts w:eastAsia="Times New Roman" w:asciiTheme="majorHAnsi" w:hAnsiTheme="majorHAnsi" w:cstheme="majorHAnsi"/>
          <w:b/>
          <w:bCs/>
          <w:lang w:eastAsia="ru-RU"/>
        </w:rPr>
        <w:t>D.</w:t>
      </w:r>
      <w:r>
        <w:rPr>
          <w:rFonts w:eastAsia="Times New Roman" w:asciiTheme="majorHAnsi" w:hAnsiTheme="majorHAnsi" w:cstheme="majorHAnsi"/>
          <w:b/>
          <w:bCs/>
          <w:lang w:eastAsia="ru-RU"/>
        </w:rPr>
        <w:tab/>
        <w:t>Employees</w:t>
      </w:r>
      <w:bookmarkStart w:name="DEmployees_262427" w:id="564"/>
      <w:bookmarkEnd w:id="564"/>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See Item 4B “</w:t>
      </w:r>
      <w:r>
        <w:rPr>
          <w:rFonts w:eastAsia="Times New Roman" w:asciiTheme="majorHAnsi" w:hAnsiTheme="majorHAnsi" w:cstheme="majorHAnsi"/>
          <w:i/>
          <w:iCs/>
          <w:lang w:eastAsia="ru-RU"/>
        </w:rPr>
        <w:t>Business overview—Employees</w:t>
      </w:r>
      <w:r>
        <w:rPr>
          <w:rFonts w:eastAsia="Times New Roman" w:asciiTheme="majorHAnsi" w:hAnsiTheme="majorHAnsi" w:cstheme="majorHAnsi"/>
          <w:lang w:eastAsia="ru-RU"/>
        </w:rPr>
        <w:t>”.</w:t>
      </w:r>
    </w:p>
    <w:p w:rsidR="009534E2" w:rsidRDefault="003369EB">
      <w:pPr>
        <w:keepNext/>
        <w:keepLines/>
        <w:tabs>
          <w:tab w:val="left" w:pos="479"/>
        </w:tabs>
        <w:spacing w:after="20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E.</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Share Ownership</w:t>
      </w:r>
      <w:bookmarkStart w:name="EShareOwnership_963004" w:id="565"/>
      <w:bookmarkEnd w:id="565"/>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See Item 7A “</w:t>
      </w:r>
      <w:r>
        <w:rPr>
          <w:rFonts w:eastAsia="Times New Roman" w:asciiTheme="majorHAnsi" w:hAnsiTheme="majorHAnsi" w:cstheme="majorHAnsi"/>
          <w:i/>
          <w:iCs/>
          <w:lang w:eastAsia="ru-RU"/>
        </w:rPr>
        <w:t>Major Shareholders</w:t>
      </w:r>
      <w:r>
        <w:rPr>
          <w:rFonts w:eastAsia="Times New Roman" w:asciiTheme="majorHAnsi" w:hAnsiTheme="majorHAnsi" w:cstheme="majorHAnsi"/>
          <w:lang w:eastAsia="ru-RU"/>
        </w:rPr>
        <w:t>” for information on the shareholdings of our directors and executive officers.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See Item 6B “</w:t>
      </w:r>
      <w:r>
        <w:rPr>
          <w:rFonts w:eastAsia="Times New Roman" w:asciiTheme="majorHAnsi" w:hAnsiTheme="majorHAnsi" w:cstheme="majorHAnsi"/>
          <w:i/>
          <w:iCs/>
          <w:lang w:eastAsia="ru-RU"/>
        </w:rPr>
        <w:t>Compensation—Outstanding Equity Awards to Certain Executive Officers</w:t>
      </w:r>
      <w:r>
        <w:rPr>
          <w:rFonts w:eastAsia="Times New Roman" w:asciiTheme="majorHAnsi" w:hAnsiTheme="majorHAnsi" w:cstheme="majorHAnsi"/>
          <w:lang w:eastAsia="ru-RU"/>
        </w:rPr>
        <w:t>” for information on options granted to our executive officers.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See Item 6B “</w:t>
      </w:r>
      <w:r>
        <w:rPr>
          <w:rFonts w:eastAsia="Times New Roman" w:asciiTheme="majorHAnsi" w:hAnsiTheme="majorHAnsi" w:cstheme="majorHAnsi"/>
          <w:i/>
          <w:iCs/>
          <w:lang w:eastAsia="ru-RU"/>
        </w:rPr>
        <w:t>Compensation—Employee Stock Option Plan</w:t>
      </w:r>
      <w:r>
        <w:rPr>
          <w:rFonts w:eastAsia="Times New Roman" w:asciiTheme="majorHAnsi" w:hAnsiTheme="majorHAnsi" w:cstheme="majorHAnsi"/>
          <w:lang w:eastAsia="ru-RU"/>
        </w:rPr>
        <w:t>” for a description of our employee stock option plan.</w:t>
      </w:r>
    </w:p>
    <w:p w:rsidR="009534E2" w:rsidRDefault="003369EB">
      <w:pPr>
        <w:keepNext/>
        <w:keepLines/>
        <w:tabs>
          <w:tab w:val="left" w:pos="938"/>
        </w:tabs>
        <w:spacing w:after="200"/>
        <w:ind w:left="864" w:hanging="864"/>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7.</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eastAsia="ru-RU"/>
        </w:rPr>
        <w:t>Major Shareholders and Related Party Transactions</w:t>
      </w:r>
      <w:bookmarkStart w:name="ITEM7MajorShareholdersandRelatedPartyTra" w:id="566"/>
      <w:bookmarkEnd w:id="566"/>
    </w:p>
    <w:p w:rsidR="009534E2" w:rsidRDefault="003369EB">
      <w:pPr>
        <w:keepNext/>
        <w:keepLines/>
        <w:tabs>
          <w:tab w:val="left" w:pos="479"/>
        </w:tabs>
        <w:spacing w:after="200"/>
        <w:ind w:left="403" w:hanging="403"/>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A.</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Major Shareholders</w:t>
      </w:r>
      <w:bookmarkStart w:name="AMajorShareholders_58879" w:id="567"/>
      <w:bookmarkEnd w:id="567"/>
    </w:p>
    <w:p w:rsidR="009534E2" w:rsidRDefault="003369EB">
      <w:pPr>
        <w:keepNext/>
        <w:spacing w:after="200"/>
        <w:ind w:left="461"/>
        <w:rPr>
          <w:rFonts w:eastAsia="Times New Roman" w:asciiTheme="majorHAnsi" w:hAnsiTheme="majorHAnsi" w:cstheme="majorHAnsi"/>
          <w:sz w:val="24"/>
          <w:szCs w:val="24"/>
        </w:rPr>
      </w:pPr>
      <w:r>
        <w:rPr>
          <w:rFonts w:eastAsia="Times New Roman" w:asciiTheme="majorHAnsi" w:hAnsiTheme="majorHAnsi" w:cstheme="majorHAnsi"/>
          <w:lang w:eastAsia="ru-RU"/>
        </w:rPr>
        <w:t>The following table sets forth information with respect to the beneficial ownership of our ordinary shares, as of March 31, 2023, by:</w:t>
      </w:r>
    </w:p>
    <w:p w:rsidR="009534E2" w:rsidRDefault="003369EB">
      <w:pPr>
        <w:pStyle w:val="ListParagraph"/>
        <w:numPr>
          <w:ilvl w:val="0"/>
          <w:numId w:val="43"/>
        </w:numPr>
        <w:spacing w:after="200"/>
        <w:ind w:left="821"/>
        <w:rPr>
          <w:rFonts w:eastAsia="Times New Roman" w:asciiTheme="majorHAnsi" w:hAnsiTheme="majorHAnsi" w:cstheme="majorHAnsi"/>
          <w:sz w:val="24"/>
          <w:szCs w:val="24"/>
        </w:rPr>
      </w:pPr>
      <w:r>
        <w:rPr>
          <w:rFonts w:eastAsia="Times New Roman" w:asciiTheme="majorHAnsi" w:hAnsiTheme="majorHAnsi" w:cstheme="majorHAnsi"/>
          <w:lang w:eastAsia="ru-RU"/>
        </w:rPr>
        <w:t>each of our directors and executive officers; and</w:t>
      </w:r>
    </w:p>
    <w:p w:rsidR="009534E2" w:rsidRDefault="003369EB">
      <w:pPr>
        <w:pStyle w:val="ListParagraph"/>
        <w:numPr>
          <w:ilvl w:val="0"/>
          <w:numId w:val="43"/>
        </w:numPr>
        <w:spacing w:after="200"/>
        <w:ind w:left="821"/>
        <w:rPr>
          <w:rFonts w:eastAsia="Times New Roman" w:asciiTheme="majorHAnsi" w:hAnsiTheme="majorHAnsi" w:cstheme="majorHAnsi"/>
          <w:sz w:val="24"/>
          <w:szCs w:val="24"/>
        </w:rPr>
      </w:pPr>
      <w:r>
        <w:rPr>
          <w:rFonts w:eastAsia="Times New Roman" w:asciiTheme="majorHAnsi" w:hAnsiTheme="majorHAnsi" w:cstheme="majorHAnsi"/>
          <w:lang w:eastAsia="ru-RU"/>
        </w:rPr>
        <w:t>each person known to us to own beneficially more than 5% of our ordinary shares.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Beneficial ownership is determined in accordance with the rules and regulations of the SEC. In computing the number of shares beneficially owned by a person and the percentage ownership of that person, we have included shares that the person has the right to acquire within 60 days, including through the exercise of any option, warrant or other right or the conversion of any other security. These shares, however, are not included in the computation of the percentage ownership of any other person.</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The calculations in the table below are based on 10,413,522 class A shares and 52,299,453 class B shares outstanding as of March 31 2023, which comprise our entire issued and outstanding share capital as of that date. Class A ordinary shares have ten votes per share, and Class B shares have one vote per share.</w:t>
      </w:r>
    </w:p>
    <w:p w:rsidR="009534E2" w:rsidRDefault="003369EB">
      <w:pPr>
        <w:keepNext/>
        <w:keepLines/>
        <w:spacing w:after="200"/>
        <w:ind w:firstLine="461"/>
        <w:rPr>
          <w:rFonts w:eastAsia="Times New Roman" w:asciiTheme="majorHAnsi" w:hAnsiTheme="majorHAnsi" w:cstheme="majorHAnsi"/>
          <w:lang w:val="x-none" w:eastAsia="ru-RU"/>
        </w:rPr>
      </w:pPr>
      <w:r>
        <w:rPr>
          <w:rFonts w:eastAsia="Times New Roman" w:asciiTheme="majorHAnsi" w:hAnsiTheme="majorHAnsi" w:cstheme="majorHAnsi"/>
          <w:lang w:eastAsia="ru-RU"/>
        </w:rPr>
        <w:t>Currently, none of our ordinary shares are held by US holders. To our knowledge, as of March 31, 2023, a total of 51,979,248 Class B ordinary shares are held by one record holder in the US. The holder is The Bank of New York Mellon, the depositary of the ADS program. None of our outstanding Class A ordinary shares are held by record holders in the US. The number of beneficial owners of the ADSs in the US is likely to be much larger than the number of record holders of our ordinary shares in the US.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324"/>
        <w:gridCol w:w="200"/>
        <w:gridCol w:w="1010"/>
        <w:gridCol w:w="200"/>
        <w:gridCol w:w="910"/>
        <w:gridCol w:w="201"/>
        <w:gridCol w:w="851"/>
        <w:gridCol w:w="201"/>
        <w:gridCol w:w="851"/>
        <w:gridCol w:w="201"/>
        <w:gridCol w:w="851"/>
      </w:tblGrid>
      <w:tr w:rsidR="009534E2">
        <w:trPr>
          <w:trHeight w:val="20" w:hRule="exact"/>
          <w:jc w:val="center"/>
        </w:trPr>
        <w:tc>
          <w:tcPr>
            <w:tcW w:w="2473"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e5b86c13_932c_432f_b443_dc86886254a8" w:id="568"/>
            <w:bookmarkStart w:name="_270b5bc7_7e0e_46e4_bba3_e8da5411b63c" w:colFirst="0" w:colLast="0" w:id="569"/>
            <w:bookmarkStart w:name="_2a40a30c_c858_4b63_baaf_34668d2d132e" w:colFirst="1" w:colLast="1" w:id="570"/>
            <w:bookmarkStart w:name="_bdad980d_c427_47a3_a3d0_723a8a4353ef" w:colFirst="2" w:colLast="2" w:id="571"/>
            <w:bookmarkStart w:name="_50904aaa_e115_4dcc_8738_94e055bf2ea9" w:colFirst="3" w:colLast="3" w:id="572"/>
            <w:bookmarkStart w:name="_f0e5b989_ef36_4b4e_a07d_ddf6841b19c9" w:colFirst="4" w:colLast="4" w:id="573"/>
            <w:bookmarkStart w:name="_a6fcb9eb_f68c_47bf_b6de_19891905e6a3" w:colFirst="5" w:colLast="5" w:id="574"/>
            <w:bookmarkStart w:name="_531b1876_5cf6_4e57_bd44_8c8cb65bd5cd" w:colFirst="6" w:colLast="6" w:id="575"/>
            <w:bookmarkStart w:name="_6573445a_f545_432a_8a2a_a081d7f4ca07" w:colFirst="7" w:colLast="7" w:id="576"/>
            <w:bookmarkStart w:name="_8bd2b3fa_bd32_4f5f_844f_bd584291c4d1" w:colFirst="8" w:colLast="8" w:id="577"/>
            <w:bookmarkStart w:name="_19125a3f_11ea_4463_993f_69d925340d66" w:colFirst="9" w:colLast="9" w:id="578"/>
            <w:bookmarkStart w:name="_18aa0024_c4b0_4af0_9daa_d2e38a737574" w:colFirst="10" w:colLast="10" w:id="579"/>
            <w:bookmarkStart w:name="_e8a6537d_514d_4323_a0c1_ab1ad3f8021b" w:id="580"/>
            <w:bookmarkEnd w:id="568"/>
          </w:p>
        </w:tc>
        <w:tc>
          <w:tcPr>
            <w:tcW w:w="10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2473"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5f81eebc_ad48_4d25_b310_467b7022ced7" w:id="581"/>
            <w:bookmarkEnd w:id="569"/>
            <w:bookmarkEnd w:id="570"/>
            <w:bookmarkEnd w:id="571"/>
            <w:bookmarkEnd w:id="572"/>
            <w:bookmarkEnd w:id="573"/>
            <w:bookmarkEnd w:id="574"/>
            <w:bookmarkEnd w:id="575"/>
            <w:bookmarkEnd w:id="576"/>
            <w:bookmarkEnd w:id="577"/>
            <w:bookmarkEnd w:id="578"/>
            <w:bookmarkEnd w:id="579"/>
          </w:p>
        </w:tc>
        <w:tc>
          <w:tcPr>
            <w:tcW w:w="10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10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10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 %</w:t>
            </w:r>
          </w:p>
        </w:tc>
        <w:tc>
          <w:tcPr>
            <w:tcW w:w="10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 %</w:t>
            </w:r>
          </w:p>
        </w:tc>
        <w:tc>
          <w:tcPr>
            <w:tcW w:w="10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 % of</w:t>
            </w:r>
          </w:p>
        </w:tc>
      </w:tr>
      <w:tr w:rsidR="009534E2">
        <w:trPr>
          <w:jc w:val="center"/>
        </w:trPr>
        <w:tc>
          <w:tcPr>
            <w:tcW w:w="2473"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97e417bb_9536_4166_9167_6cb404c5d061" w:id="582"/>
            <w:bookmarkEnd w:id="581"/>
          </w:p>
        </w:tc>
        <w:tc>
          <w:tcPr>
            <w:tcW w:w="10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10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w:t>
            </w:r>
          </w:p>
        </w:tc>
        <w:tc>
          <w:tcPr>
            <w:tcW w:w="10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of Issued</w:t>
            </w:r>
          </w:p>
        </w:tc>
        <w:tc>
          <w:tcPr>
            <w:tcW w:w="10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of Issued</w:t>
            </w:r>
          </w:p>
        </w:tc>
        <w:tc>
          <w:tcPr>
            <w:tcW w:w="10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Votes</w:t>
            </w:r>
          </w:p>
        </w:tc>
      </w:tr>
      <w:tr w:rsidR="009534E2">
        <w:trPr>
          <w:jc w:val="center"/>
        </w:trPr>
        <w:tc>
          <w:tcPr>
            <w:tcW w:w="2473"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10e66b03_1ae3_49cb_b800_484632f6de27" w:id="583"/>
            <w:bookmarkEnd w:id="582"/>
          </w:p>
        </w:tc>
        <w:tc>
          <w:tcPr>
            <w:tcW w:w="10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 Class A</w:t>
            </w:r>
          </w:p>
        </w:tc>
        <w:tc>
          <w:tcPr>
            <w:tcW w:w="10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Class B</w:t>
            </w:r>
          </w:p>
        </w:tc>
        <w:tc>
          <w:tcPr>
            <w:tcW w:w="10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Class A</w:t>
            </w:r>
          </w:p>
        </w:tc>
        <w:tc>
          <w:tcPr>
            <w:tcW w:w="10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Class B</w:t>
            </w:r>
          </w:p>
        </w:tc>
        <w:tc>
          <w:tcPr>
            <w:tcW w:w="10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at a General</w:t>
            </w:r>
          </w:p>
        </w:tc>
      </w:tr>
      <w:tr w:rsidR="009534E2">
        <w:trPr>
          <w:jc w:val="center"/>
        </w:trPr>
        <w:tc>
          <w:tcPr>
            <w:tcW w:w="2473"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fed58153_ad7e_45bf_9f26_ca4c1eb18a02" w:id="584"/>
            <w:bookmarkEnd w:id="583"/>
          </w:p>
        </w:tc>
        <w:tc>
          <w:tcPr>
            <w:tcW w:w="10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Shares</w:t>
            </w:r>
          </w:p>
        </w:tc>
        <w:tc>
          <w:tcPr>
            <w:tcW w:w="10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Shares</w:t>
            </w:r>
          </w:p>
        </w:tc>
        <w:tc>
          <w:tcPr>
            <w:tcW w:w="10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Shares</w:t>
            </w:r>
          </w:p>
        </w:tc>
        <w:tc>
          <w:tcPr>
            <w:tcW w:w="10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Shares</w:t>
            </w:r>
          </w:p>
        </w:tc>
        <w:tc>
          <w:tcPr>
            <w:tcW w:w="10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Meeting</w:t>
            </w:r>
          </w:p>
        </w:tc>
      </w:tr>
      <w:tr w:rsidR="009534E2">
        <w:trPr>
          <w:jc w:val="center"/>
        </w:trPr>
        <w:tc>
          <w:tcPr>
            <w:tcW w:w="2473"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63db33af_e084_4d98_9a38_8aa029796b68" w:id="585"/>
            <w:bookmarkEnd w:id="584"/>
            <w:r>
              <w:rPr>
                <w:rFonts w:eastAsia="Times New Roman" w:asciiTheme="majorHAnsi" w:hAnsiTheme="majorHAnsi" w:cstheme="majorHAnsi"/>
                <w:b/>
                <w:color w:val="000000"/>
              </w:rPr>
              <w:t>Directors and Executive Officers:</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r>
      <w:tr w:rsidR="009534E2">
        <w:trPr>
          <w:jc w:val="center"/>
        </w:trPr>
        <w:tc>
          <w:tcPr>
            <w:tcW w:w="2473"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b2f57a26_2db5_4e71_9c0b_48be2dae3793" w:id="586"/>
            <w:bookmarkEnd w:id="585"/>
            <w:r>
              <w:rPr>
                <w:rFonts w:eastAsia="Times New Roman" w:asciiTheme="majorHAnsi" w:hAnsiTheme="majorHAnsi" w:cstheme="majorHAnsi"/>
                <w:color w:val="000000"/>
              </w:rPr>
              <w:t>Sergey Solonin (1)</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10,413,510</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7,299,049</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99.9999</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14.0</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71.2</w:t>
            </w:r>
          </w:p>
        </w:tc>
      </w:tr>
      <w:tr w:rsidR="009534E2">
        <w:trPr>
          <w:jc w:val="center"/>
        </w:trPr>
        <w:tc>
          <w:tcPr>
            <w:tcW w:w="2473"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3d3af99d_5ec8_4967_bc54_efda5e7915c3" w:id="587"/>
            <w:bookmarkEnd w:id="586"/>
            <w:r>
              <w:rPr>
                <w:rFonts w:eastAsia="Times New Roman" w:asciiTheme="majorHAnsi" w:hAnsiTheme="majorHAnsi" w:cstheme="majorHAnsi"/>
                <w:color w:val="000000"/>
              </w:rPr>
              <w:t>Alexey Ivanov</w:t>
            </w: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473"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7a836401_f376_4596_ba25_b095652fc249" w:id="588"/>
            <w:bookmarkEnd w:id="587"/>
            <w:r>
              <w:rPr>
                <w:rFonts w:eastAsia="Times New Roman" w:asciiTheme="majorHAnsi" w:hAnsiTheme="majorHAnsi" w:cstheme="majorHAnsi"/>
                <w:color w:val="000000"/>
              </w:rPr>
              <w:t>Alexey Blagirev</w:t>
            </w:r>
          </w:p>
        </w:tc>
        <w:tc>
          <w:tcPr>
            <w:tcW w:w="102"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473"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c2f197e8_6175_4c68_a85c_b72ec0ebdffb" w:id="589"/>
            <w:bookmarkEnd w:id="588"/>
            <w:r>
              <w:rPr>
                <w:rFonts w:eastAsia="Times New Roman" w:asciiTheme="majorHAnsi" w:hAnsiTheme="majorHAnsi" w:cstheme="majorHAnsi"/>
                <w:color w:val="000000"/>
              </w:rPr>
              <w:t>Alexey Solovyev</w:t>
            </w: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473"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ff947d6d_22b6_4ede_b7f3_e6ffe7cbc97d" w:id="590"/>
            <w:bookmarkEnd w:id="589"/>
            <w:r>
              <w:rPr>
                <w:rFonts w:eastAsia="Times New Roman" w:asciiTheme="majorHAnsi" w:hAnsiTheme="majorHAnsi" w:cstheme="majorHAnsi"/>
                <w:color w:val="000000"/>
              </w:rPr>
              <w:t>Oxana Sirotinina</w:t>
            </w:r>
          </w:p>
        </w:tc>
        <w:tc>
          <w:tcPr>
            <w:tcW w:w="102"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473"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df793d64_4b76_42d9_94c0_60751f36449d" w:id="591"/>
            <w:bookmarkEnd w:id="590"/>
            <w:r>
              <w:rPr>
                <w:rFonts w:eastAsia="Times New Roman" w:asciiTheme="majorHAnsi" w:hAnsiTheme="majorHAnsi" w:cstheme="majorHAnsi"/>
                <w:color w:val="000000"/>
              </w:rPr>
              <w:t>Lev Kroll</w:t>
            </w: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473"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2e9baa2f_dab2_4e4c_bc4d_922218401528" w:id="592"/>
            <w:bookmarkEnd w:id="591"/>
            <w:r>
              <w:rPr>
                <w:rFonts w:eastAsia="Times New Roman" w:asciiTheme="majorHAnsi" w:hAnsiTheme="majorHAnsi" w:cstheme="majorHAnsi"/>
                <w:color w:val="000000"/>
              </w:rPr>
              <w:t>Andrey Protopopov</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143,700</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473"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ab497176_8e97_401f_b5d9_e2c9cdbc0e72" w:id="593"/>
            <w:bookmarkEnd w:id="592"/>
            <w:r>
              <w:rPr>
                <w:rFonts w:eastAsia="Times New Roman" w:asciiTheme="majorHAnsi" w:hAnsiTheme="majorHAnsi" w:cstheme="majorHAnsi"/>
                <w:color w:val="000000"/>
              </w:rPr>
              <w:t>Maria Shevchenko</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473"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8d7824e2_9c72_45ea_aa4d_e3c1804ee1bf" w:id="594"/>
            <w:bookmarkEnd w:id="593"/>
            <w:r>
              <w:rPr>
                <w:rFonts w:eastAsia="Times New Roman" w:asciiTheme="majorHAnsi" w:hAnsiTheme="majorHAnsi" w:cstheme="majorHAnsi"/>
                <w:color w:val="000000"/>
              </w:rPr>
              <w:t>Alexey Mashchenkov</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35,938</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473" w:type="pct"/>
            <w:tcBorders>
              <w:top w:val="nil"/>
              <w:left w:val="nil"/>
              <w:bottom w:val="nil"/>
              <w:right w:val="nil"/>
              <w:tl2br w:val="nil"/>
              <w:tr2bl w:val="nil"/>
            </w:tcBorders>
            <w:shd w:val="clear" w:color="auto" w:fill="CCEEFF"/>
            <w:vAlign w:val="bottom"/>
          </w:tcPr>
          <w:p w:rsidR="009534E2" w:rsidRDefault="009534E2">
            <w:pPr>
              <w:keepNext/>
              <w:rPr>
                <w:rFonts w:asciiTheme="majorHAnsi" w:hAnsiTheme="majorHAnsi" w:cstheme="majorHAnsi"/>
                <w:color w:val="000000"/>
              </w:rPr>
            </w:pPr>
            <w:bookmarkStart w:name="_41789e38_21f0_4560_b59b_b0f87393b1fe" w:id="595"/>
            <w:bookmarkEnd w:id="594"/>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10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r>
      <w:tr w:rsidR="009534E2">
        <w:trPr>
          <w:jc w:val="center"/>
        </w:trPr>
        <w:tc>
          <w:tcPr>
            <w:tcW w:w="2473" w:type="pct"/>
            <w:tcBorders>
              <w:top w:val="nil"/>
              <w:left w:val="nil"/>
              <w:bottom w:val="nil"/>
              <w:right w:val="nil"/>
              <w:tl2br w:val="nil"/>
              <w:tr2bl w:val="nil"/>
            </w:tcBorders>
            <w:vAlign w:val="bottom"/>
          </w:tcPr>
          <w:p w:rsidR="009534E2" w:rsidRDefault="003369EB">
            <w:pPr>
              <w:keepNext/>
              <w:rPr>
                <w:rFonts w:asciiTheme="majorHAnsi" w:hAnsiTheme="majorHAnsi" w:cstheme="majorHAnsi"/>
                <w:b/>
                <w:color w:val="000000"/>
              </w:rPr>
            </w:pPr>
            <w:bookmarkStart w:name="_22e8e219_bac4_4c48_b9d2_35b3a502afe1" w:id="596"/>
            <w:bookmarkEnd w:id="595"/>
            <w:r>
              <w:rPr>
                <w:rFonts w:eastAsia="Times New Roman" w:asciiTheme="majorHAnsi" w:hAnsiTheme="majorHAnsi" w:cstheme="majorHAnsi"/>
                <w:b/>
                <w:color w:val="000000"/>
              </w:rPr>
              <w:t>All directors and executive officers as a group</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473"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a357ecd2_b781_499a_9702_651986d6ddff" w:id="597"/>
            <w:bookmarkEnd w:id="596"/>
            <w:r>
              <w:rPr>
                <w:rFonts w:eastAsia="Times New Roman" w:asciiTheme="majorHAnsi" w:hAnsiTheme="majorHAnsi" w:cstheme="majorHAnsi"/>
                <w:color w:val="000000"/>
              </w:rPr>
              <w:t>Principal Shareholders:</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473"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797c9bb9_783a_4ca4_ba47_6e57b4239380" w:id="598"/>
            <w:bookmarkEnd w:id="597"/>
            <w:r>
              <w:rPr>
                <w:rFonts w:eastAsia="Times New Roman" w:asciiTheme="majorHAnsi" w:hAnsiTheme="majorHAnsi" w:cstheme="majorHAnsi"/>
                <w:color w:val="000000"/>
              </w:rPr>
              <w:t>Sergey Solonin (2)</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10,413,510</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7,299,049</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99.9999</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14.0</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w:t>
            </w:r>
            <w:r>
              <w:rPr>
                <w:color w:val="000000"/>
              </w:rPr>
              <w:t>1</w:t>
            </w:r>
            <w:r>
              <w:rPr>
                <w:rFonts w:eastAsia="Times New Roman" w:asciiTheme="majorHAnsi" w:hAnsiTheme="majorHAnsi" w:cstheme="majorHAnsi"/>
                <w:color w:val="000000"/>
              </w:rPr>
              <w:t>.2</w:t>
            </w:r>
          </w:p>
        </w:tc>
      </w:tr>
    </w:tbl>
    <w:bookmarkEnd w:id="580"/>
    <w:bookmarkEnd w:id="598"/>
    <w:p w:rsidR="009534E2" w:rsidRDefault="00EC0AE1">
      <w:pPr>
        <w:tabs>
          <w:tab w:val="left" w:pos="479"/>
        </w:tabs>
        <w:ind w:left="490" w:hanging="490"/>
        <w:rPr>
          <w:rFonts w:eastAsia="Times New Roman" w:asciiTheme="majorHAnsi" w:hAnsiTheme="majorHAnsi" w:cstheme="majorHAnsi"/>
          <w:u w:val="single"/>
        </w:rPr>
      </w:pPr>
      <w:r>
        <w:rPr>
          <w:rFonts w:eastAsia="Times New Roman" w:asciiTheme="majorHAnsi" w:hAnsiTheme="majorHAnsi" w:cstheme="majorHAnsi"/>
          <w:sz w:val="8"/>
          <w:szCs w:val="8"/>
          <w:lang w:eastAsia="ru-RU"/>
        </w:rPr>
        <w:pict w14:anchorId="53E2AF23">
          <v:rect id="_x0000_i1046" style="width:128.9pt;height:1pt" o:hr="t" o:hrstd="t" o:hrnoshade="t" o:hrpct="250" fillcolor="black" stroked="f"/>
        </w:pict>
      </w:r>
    </w:p>
    <w:p w:rsidR="009534E2" w:rsidRDefault="003369EB">
      <w:pPr>
        <w:tabs>
          <w:tab w:val="left" w:pos="479"/>
        </w:tabs>
        <w:ind w:left="490" w:hanging="490"/>
        <w:rPr>
          <w:rFonts w:eastAsia="Times New Roman" w:asciiTheme="majorHAnsi" w:hAnsiTheme="majorHAnsi" w:cstheme="majorHAnsi"/>
          <w:sz w:val="24"/>
          <w:szCs w:val="24"/>
        </w:rPr>
      </w:pPr>
      <w:r>
        <w:rPr>
          <w:rFonts w:eastAsia="Times New Roman" w:asciiTheme="majorHAnsi" w:hAnsiTheme="majorHAnsi" w:cstheme="majorHAnsi"/>
          <w:lang w:eastAsia="ru-RU"/>
        </w:rPr>
        <w:t>*</w:t>
      </w:r>
      <w:r>
        <w:rPr>
          <w:rFonts w:eastAsia="Times New Roman" w:asciiTheme="majorHAnsi" w:hAnsiTheme="majorHAnsi" w:cstheme="majorHAnsi"/>
          <w:sz w:val="24"/>
          <w:szCs w:val="24"/>
          <w:lang w:eastAsia="ru-RU"/>
        </w:rPr>
        <w:tab/>
      </w:r>
      <w:r>
        <w:rPr>
          <w:rFonts w:eastAsia="Times New Roman" w:asciiTheme="majorHAnsi" w:hAnsiTheme="majorHAnsi" w:cstheme="majorHAnsi"/>
          <w:lang w:eastAsia="ru-RU"/>
        </w:rPr>
        <w:t>Represents less than 1%.</w:t>
      </w:r>
    </w:p>
    <w:p w:rsidR="009534E2" w:rsidRDefault="003369EB">
      <w:pPr>
        <w:tabs>
          <w:tab w:val="left" w:pos="479"/>
        </w:tabs>
        <w:ind w:left="490" w:hanging="490"/>
        <w:rPr>
          <w:rFonts w:eastAsia="Times New Roman" w:asciiTheme="majorHAnsi" w:hAnsiTheme="majorHAnsi" w:cstheme="majorHAnsi"/>
          <w:sz w:val="24"/>
          <w:szCs w:val="24"/>
        </w:rPr>
      </w:pPr>
      <w:r>
        <w:rPr>
          <w:rFonts w:eastAsia="Times New Roman" w:asciiTheme="majorHAnsi" w:hAnsiTheme="majorHAnsi" w:cstheme="majorHAnsi"/>
          <w:lang w:eastAsia="ru-RU"/>
        </w:rPr>
        <w:t>(1)</w:t>
      </w:r>
      <w:r>
        <w:rPr>
          <w:rFonts w:eastAsia="Times New Roman" w:asciiTheme="majorHAnsi" w:hAnsiTheme="majorHAnsi" w:cstheme="majorHAnsi"/>
          <w:sz w:val="24"/>
          <w:szCs w:val="24"/>
          <w:lang w:eastAsia="ru-RU"/>
        </w:rPr>
        <w:tab/>
      </w:r>
      <w:r>
        <w:rPr>
          <w:rFonts w:eastAsia="Times New Roman" w:asciiTheme="majorHAnsi" w:hAnsiTheme="majorHAnsi" w:cstheme="majorHAnsi"/>
          <w:lang w:eastAsia="ru-RU"/>
        </w:rPr>
        <w:t>Includes (a) 10,413,510 class A ordinary shares owned directly, and (b) 7,299,049 class B ordinary shares held by Dalliance Services Company, a corporation wholly owned by the Sergey Solonin.</w:t>
      </w:r>
    </w:p>
    <w:p w:rsidR="009534E2" w:rsidRDefault="003369EB">
      <w:pPr>
        <w:tabs>
          <w:tab w:val="left" w:pos="479"/>
        </w:tabs>
        <w:spacing w:after="200"/>
        <w:ind w:left="485" w:hanging="485"/>
        <w:rPr>
          <w:rFonts w:eastAsia="Times New Roman" w:asciiTheme="majorHAnsi" w:hAnsiTheme="majorHAnsi" w:cstheme="majorHAnsi"/>
        </w:rPr>
      </w:pPr>
      <w:r>
        <w:rPr>
          <w:rFonts w:eastAsia="Times New Roman" w:asciiTheme="majorHAnsi" w:hAnsiTheme="majorHAnsi" w:cstheme="majorHAnsi"/>
          <w:lang w:eastAsia="ru-RU"/>
        </w:rPr>
        <w:t>(2)</w:t>
      </w:r>
      <w:r>
        <w:rPr>
          <w:rFonts w:eastAsia="Times New Roman" w:asciiTheme="majorHAnsi" w:hAnsiTheme="majorHAnsi" w:cstheme="majorHAnsi"/>
          <w:lang w:eastAsia="ru-RU"/>
        </w:rPr>
        <w:tab/>
        <w:t xml:space="preserve">Based solely on the Schedule 13-D/A filed by Sergey Solonin with the Securities and Exchange Commission on December 28, 2022. Includes (a) 10,413,510 class A ordinary shares and (b) 7,299,049 class B ordinary shares held by Dalliance Services Company, a corporation wholly owned by the Sergey Solonin. </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eastAsia="ru-RU"/>
        </w:rPr>
        <w:t>B.</w:t>
      </w:r>
      <w:r>
        <w:rPr>
          <w:rFonts w:eastAsia="Times New Roman" w:asciiTheme="majorHAnsi" w:hAnsiTheme="majorHAnsi" w:cstheme="majorHAnsi"/>
          <w:sz w:val="24"/>
          <w:szCs w:val="24"/>
          <w:lang w:eastAsia="ru-RU"/>
        </w:rPr>
        <w:tab/>
      </w:r>
      <w:r>
        <w:rPr>
          <w:rFonts w:eastAsia="Times New Roman" w:asciiTheme="majorHAnsi" w:hAnsiTheme="majorHAnsi" w:cstheme="majorHAnsi"/>
          <w:b/>
          <w:bCs/>
          <w:lang w:eastAsia="ru-RU"/>
        </w:rPr>
        <w:t>Related Party Transactions</w:t>
      </w:r>
      <w:bookmarkStart w:name="BRelatedPartyTransactions_628716" w:id="599"/>
      <w:bookmarkEnd w:id="599"/>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Bank Accounts and Deposits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Qiwi Bank maintains accounts and deposits of various affiliates of our directors, executive officers and shareholders in the ordinary course of its business amounting to RUB 13 million as of December 31, 2022. We believe that all of the agreements pertaining to such accounts and deposits are entered into on arm’s length terms and do not deviate in any material aspect from the terms that we would use in similar contracts with non-related parties.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Employment Agreements and Share Options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See “</w:t>
      </w:r>
      <w:r>
        <w:rPr>
          <w:rFonts w:eastAsia="Times New Roman" w:asciiTheme="majorHAnsi" w:hAnsiTheme="majorHAnsi" w:cstheme="majorHAnsi"/>
          <w:i/>
          <w:iCs/>
          <w:lang w:eastAsia="ru-RU"/>
        </w:rPr>
        <w:t>Management – Employment Agreements</w:t>
      </w:r>
      <w:r>
        <w:rPr>
          <w:rFonts w:eastAsia="Times New Roman" w:asciiTheme="majorHAnsi" w:hAnsiTheme="majorHAnsi" w:cstheme="majorHAnsi"/>
          <w:lang w:eastAsia="ru-RU"/>
        </w:rPr>
        <w:t>” and “</w:t>
      </w:r>
      <w:r>
        <w:rPr>
          <w:rFonts w:eastAsia="Times New Roman" w:asciiTheme="majorHAnsi" w:hAnsiTheme="majorHAnsi" w:cstheme="majorHAnsi"/>
          <w:i/>
          <w:iCs/>
          <w:lang w:eastAsia="ru-RU"/>
        </w:rPr>
        <w:t>Management – Employee Stock Option Plan</w:t>
      </w:r>
      <w:r>
        <w:rPr>
          <w:rFonts w:eastAsia="Times New Roman" w:asciiTheme="majorHAnsi" w:hAnsiTheme="majorHAnsi" w:cstheme="majorHAnsi"/>
          <w:lang w:eastAsia="ru-RU"/>
        </w:rPr>
        <w:t>”.</w:t>
      </w:r>
    </w:p>
    <w:p w:rsidR="009534E2" w:rsidRDefault="003369EB">
      <w:pPr>
        <w:keepNext/>
        <w:keepLines/>
        <w:tabs>
          <w:tab w:val="left" w:pos="1221"/>
        </w:tabs>
        <w:spacing w:after="200"/>
        <w:ind w:left="461" w:hanging="461"/>
        <w:rPr>
          <w:rFonts w:eastAsia="Times New Roman" w:asciiTheme="majorHAnsi" w:hAnsiTheme="majorHAnsi" w:cstheme="majorHAnsi"/>
          <w:szCs w:val="24"/>
        </w:rPr>
      </w:pPr>
      <w:r>
        <w:rPr>
          <w:rFonts w:eastAsia="Times New Roman" w:asciiTheme="majorHAnsi" w:hAnsiTheme="majorHAnsi" w:cstheme="majorHAnsi"/>
          <w:b/>
          <w:bCs/>
          <w:lang w:val="ru-RU" w:eastAsia="ru-RU"/>
        </w:rPr>
        <w:t>C.</w:t>
      </w:r>
      <w:r>
        <w:rPr>
          <w:rFonts w:eastAsia="Times New Roman" w:asciiTheme="majorHAnsi" w:hAnsiTheme="majorHAnsi" w:cstheme="majorHAnsi"/>
          <w:szCs w:val="24"/>
          <w:lang w:val="ru-RU" w:eastAsia="ru-RU"/>
        </w:rPr>
        <w:tab/>
      </w:r>
      <w:r>
        <w:rPr>
          <w:rFonts w:eastAsia="Times New Roman" w:asciiTheme="majorHAnsi" w:hAnsiTheme="majorHAnsi" w:cstheme="majorHAnsi"/>
          <w:b/>
          <w:bCs/>
          <w:lang w:eastAsia="ru-RU"/>
        </w:rPr>
        <w:t>Interests of Experts and Counsel</w:t>
      </w:r>
      <w:bookmarkStart w:name="CInterestsofExpertsandCounsel_576233" w:id="600"/>
      <w:bookmarkEnd w:id="600"/>
    </w:p>
    <w:p w:rsidR="009534E2" w:rsidRDefault="003369EB">
      <w:pPr>
        <w:ind w:firstLine="461"/>
        <w:rPr>
          <w:rFonts w:eastAsia="Times New Roman" w:asciiTheme="majorHAnsi" w:hAnsiTheme="majorHAnsi" w:cstheme="majorHAnsi"/>
          <w:sz w:val="24"/>
          <w:szCs w:val="24"/>
        </w:rPr>
      </w:pPr>
      <w:r>
        <w:rPr>
          <w:rFonts w:eastAsia="Times New Roman" w:asciiTheme="majorHAnsi" w:hAnsiTheme="majorHAnsi" w:cstheme="majorHAnsi"/>
          <w:lang w:val="ru-RU" w:eastAsia="ru-RU"/>
        </w:rPr>
        <w:t>Not applicable.</w:t>
      </w:r>
    </w:p>
    <w:p w:rsidR="009534E2" w:rsidRDefault="009534E2">
      <w:pPr>
        <w:rPr>
          <w:rFonts w:eastAsia="Times New Roman" w:asciiTheme="majorHAnsi" w:hAnsiTheme="majorHAnsi" w:cstheme="majorHAnsi"/>
          <w:lang w:val="ru-RU" w:eastAsia="ru-RU"/>
        </w:rPr>
      </w:pPr>
    </w:p>
    <w:p w:rsidR="009534E2" w:rsidRDefault="003369EB">
      <w:pPr>
        <w:keepNext/>
        <w:keepLines/>
        <w:tabs>
          <w:tab w:val="left" w:pos="1671"/>
        </w:tabs>
        <w:spacing w:after="200"/>
        <w:ind w:left="1008" w:hanging="1008"/>
        <w:rPr>
          <w:rFonts w:eastAsia="Times New Roman" w:asciiTheme="majorHAnsi" w:hAnsiTheme="majorHAnsi" w:cstheme="majorHAnsi"/>
          <w:szCs w:val="24"/>
        </w:rPr>
      </w:pPr>
      <w:r>
        <w:rPr>
          <w:rFonts w:eastAsia="Times New Roman" w:asciiTheme="majorHAnsi" w:hAnsiTheme="majorHAnsi" w:cstheme="majorHAnsi"/>
          <w:b/>
          <w:bCs/>
          <w:lang w:val="ru-RU" w:eastAsia="ru-RU"/>
        </w:rPr>
        <w:t>ITEM 8.</w:t>
      </w:r>
      <w:r>
        <w:rPr>
          <w:rFonts w:eastAsia="Times New Roman" w:asciiTheme="majorHAnsi" w:hAnsiTheme="majorHAnsi" w:cstheme="majorHAnsi"/>
          <w:szCs w:val="24"/>
          <w:lang w:eastAsia="ru-RU"/>
        </w:rPr>
        <w:tab/>
      </w:r>
      <w:r>
        <w:rPr>
          <w:rFonts w:eastAsia="Times New Roman" w:asciiTheme="majorHAnsi" w:hAnsiTheme="majorHAnsi" w:cstheme="majorHAnsi"/>
          <w:b/>
          <w:bCs/>
          <w:lang w:val="ru-RU" w:eastAsia="ru-RU"/>
        </w:rPr>
        <w:t>Financial Information</w:t>
      </w:r>
      <w:bookmarkStart w:name="ITEM8FinancialInformation_847039" w:id="601"/>
      <w:bookmarkEnd w:id="601"/>
    </w:p>
    <w:p w:rsidR="009534E2" w:rsidRDefault="003369EB">
      <w:pPr>
        <w:keepNext/>
        <w:keepLines/>
        <w:spacing w:after="200"/>
        <w:ind w:left="461" w:hanging="461"/>
        <w:rPr>
          <w:rFonts w:eastAsia="Times New Roman" w:asciiTheme="majorHAnsi" w:hAnsiTheme="majorHAnsi" w:cstheme="majorHAnsi"/>
          <w:b/>
          <w:bCs/>
          <w:szCs w:val="24"/>
        </w:rPr>
      </w:pPr>
      <w:r>
        <w:rPr>
          <w:rFonts w:eastAsia="Times New Roman" w:asciiTheme="majorHAnsi" w:hAnsiTheme="majorHAnsi" w:cstheme="majorHAnsi"/>
          <w:b/>
          <w:bCs/>
          <w:lang w:val="ru-RU" w:eastAsia="ru-RU"/>
        </w:rPr>
        <w:t>A.</w:t>
      </w:r>
      <w:r>
        <w:rPr>
          <w:rFonts w:eastAsia="Times New Roman" w:asciiTheme="majorHAnsi" w:hAnsiTheme="majorHAnsi" w:cstheme="majorHAnsi"/>
          <w:b/>
          <w:bCs/>
          <w:szCs w:val="24"/>
          <w:lang w:eastAsia="ru-RU"/>
        </w:rPr>
        <w:tab/>
      </w:r>
      <w:r>
        <w:rPr>
          <w:rFonts w:eastAsia="Times New Roman" w:asciiTheme="majorHAnsi" w:hAnsiTheme="majorHAnsi" w:cstheme="majorHAnsi"/>
          <w:b/>
          <w:bCs/>
          <w:lang w:eastAsia="ru-RU"/>
        </w:rPr>
        <w:t>Consolidated Financial Statements and Other Financial Information</w:t>
      </w:r>
      <w:bookmarkStart w:name="AConsolidatedFinancialStatementsandOther" w:id="602"/>
      <w:bookmarkEnd w:id="602"/>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See Item 18 “</w:t>
      </w:r>
      <w:r>
        <w:rPr>
          <w:rFonts w:eastAsia="Times New Roman" w:asciiTheme="majorHAnsi" w:hAnsiTheme="majorHAnsi" w:cstheme="majorHAnsi"/>
          <w:i/>
          <w:iCs/>
          <w:lang w:eastAsia="ru-RU"/>
        </w:rPr>
        <w:t>Financial Statements</w:t>
      </w:r>
      <w:r>
        <w:rPr>
          <w:rFonts w:eastAsia="Times New Roman" w:asciiTheme="majorHAnsi" w:hAnsiTheme="majorHAnsi" w:cstheme="majorHAnsi"/>
          <w:lang w:eastAsia="ru-RU"/>
        </w:rPr>
        <w:t>”.</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Legal Proceedings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From time to time, we have been and will continue to be subject to legal proceedings and claims. We are not presently a party to any legal proceedings that, if determined adversely to us, would individually or taken together have a material adverse effect on our business, results of operations, financial condition, or cash flows. The results of any current or future litigation cannot be predicted with certainty, and regardless of the outcome, litigation can have an adverse impact on us because of defense and settlement costs, diversion of management resources, and other factors.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Please refer to Note 27—Commitments and Contingencies and Item 3D Risk Factors -</w:t>
      </w:r>
      <w:r>
        <w:rPr>
          <w:rFonts w:eastAsia="Times New Roman" w:asciiTheme="majorHAnsi" w:hAnsiTheme="majorHAnsi" w:cstheme="majorHAnsi"/>
          <w:i/>
          <w:iCs/>
          <w:lang w:eastAsia="ru-RU"/>
        </w:rPr>
        <w:t xml:space="preserve"> “We have become subject to lawsuits in connection with the abrupt decrease in our share price caused by our disclosure of the restrictions introduced by the CBR with respect to Qiwi Bank’s operations in December 2020” </w:t>
      </w:r>
      <w:r>
        <w:rPr>
          <w:rFonts w:eastAsia="Times New Roman" w:asciiTheme="majorHAnsi" w:hAnsiTheme="majorHAnsi" w:cstheme="majorHAnsi"/>
          <w:lang w:eastAsia="ru-RU"/>
        </w:rPr>
        <w:t>for discussion around our legal proceedings.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Dividend Policy</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In general, we aim to distribute surplus cash to our shareholders in the form of dividends, buyback or combination of both.</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Surplus cash is defined as adjusted net profit for a reported period less an amount management deems necessary for near term corporate action or other business needs including but not limited to merger and acquisition activities, capital expenditures and/or other forms of investments for development of the business. The board of directors reserves the right to distribute the dividend on a quarterly basis as it deems necessary.</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This statement is a general declaration of intention and the actual declaration of dividends will require corporate action at the relevant time by the board of directors or by the general meeting of the company's shareholders, as the case may be, and will depend on the precise circumstances prevailing at that time, including the present or future business needs of the company. Shareholders and potential investors should not treat this statement as an obligation or similar undertaking by us that dividends will be declared as set out herein. Under Cyprus law, we are not allowed to make distributions if the distribution would reduce our shareholders’ equity below the sum of the issued share capital, including any share premium, and the reserves.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As a holding company, the level of our income and our ability to pay dividends depends primarily upon the receipt of dividends and other distributions from our subsidiaries. The payment of dividends by our subsidiaries is contingent upon the sufficiency of their earnings, cash flows, regulatory capital requirements, and distributable profits.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Due to the lingering stock market infrastructure issues resulting from the introduction of European sanctions against the Russian National Settlement Depositary, the company does not see the opportunity to arrange the distribution of dividends or repurchase shares with the equal treatment of all its shareholders. Respectively the Board decided to keep the distribution of dividends under review until changes of the sanction regime in respect of the Russian National Settlement Depositary or other developments that may enable the company to distribute dividends to all of its shareholders.</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B.</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Significant Changes</w:t>
      </w:r>
      <w:bookmarkStart w:name="BSignificantChanges_201217" w:id="603"/>
      <w:bookmarkEnd w:id="603"/>
    </w:p>
    <w:p w:rsidR="009534E2" w:rsidRDefault="003369EB">
      <w:pPr>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Except as disclosed elsewhere in this annual report, we have not experienced any significant changes since the date of our audited consolidated financial statements included in this annual report.</w:t>
      </w:r>
    </w:p>
    <w:p w:rsidR="009534E2" w:rsidRDefault="009534E2">
      <w:pPr>
        <w:rPr>
          <w:rFonts w:eastAsia="Times New Roman" w:asciiTheme="majorHAnsi" w:hAnsiTheme="majorHAnsi" w:cstheme="majorHAnsi"/>
        </w:rPr>
      </w:pPr>
    </w:p>
    <w:p w:rsidR="009534E2" w:rsidRDefault="003369EB">
      <w:pPr>
        <w:keepNext/>
        <w:keepLines/>
        <w:tabs>
          <w:tab w:val="left" w:pos="938"/>
        </w:tabs>
        <w:spacing w:after="200"/>
        <w:ind w:left="1008" w:hanging="1008"/>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9.</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The Offer and Listing</w:t>
      </w:r>
      <w:bookmarkStart w:name="ITEM9TheOfferandListing_300489" w:id="604"/>
      <w:bookmarkEnd w:id="604"/>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A.</w:t>
      </w:r>
      <w:r>
        <w:rPr>
          <w:rFonts w:eastAsia="Times New Roman" w:asciiTheme="majorHAnsi" w:hAnsiTheme="majorHAnsi" w:cstheme="majorHAnsi"/>
          <w:sz w:val="24"/>
          <w:szCs w:val="24"/>
          <w:lang w:val="ru-RU" w:eastAsia="ru-RU"/>
        </w:rPr>
        <w:tab/>
      </w:r>
      <w:r>
        <w:rPr>
          <w:rFonts w:eastAsia="Times New Roman" w:asciiTheme="majorHAnsi" w:hAnsiTheme="majorHAnsi" w:cstheme="majorHAnsi"/>
          <w:b/>
          <w:bCs/>
          <w:lang w:val="ru-RU" w:eastAsia="ru-RU"/>
        </w:rPr>
        <w:t>Offer and Listing Details.</w:t>
      </w:r>
      <w:bookmarkStart w:name="AOfferandListingDetails_658540" w:id="605"/>
      <w:bookmarkEnd w:id="605"/>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val="ru-RU" w:eastAsia="ru-RU"/>
        </w:rPr>
        <w:t>See Item 9C “—</w:t>
      </w:r>
      <w:r>
        <w:rPr>
          <w:rFonts w:eastAsia="Times New Roman" w:asciiTheme="majorHAnsi" w:hAnsiTheme="majorHAnsi" w:cstheme="majorHAnsi"/>
          <w:lang w:eastAsia="ru-RU"/>
        </w:rPr>
        <w:t xml:space="preserve"> </w:t>
      </w:r>
      <w:r>
        <w:rPr>
          <w:rFonts w:eastAsia="Times New Roman" w:asciiTheme="majorHAnsi" w:hAnsiTheme="majorHAnsi" w:cstheme="majorHAnsi"/>
          <w:i/>
          <w:iCs/>
          <w:lang w:val="ru-RU" w:eastAsia="ru-RU"/>
        </w:rPr>
        <w:t>Markets</w:t>
      </w:r>
      <w:r>
        <w:rPr>
          <w:rFonts w:eastAsia="Times New Roman" w:asciiTheme="majorHAnsi" w:hAnsiTheme="majorHAnsi" w:cstheme="majorHAnsi"/>
          <w:lang w:val="ru-RU" w:eastAsia="ru-RU"/>
        </w:rPr>
        <w:t>”</w:t>
      </w:r>
      <w:r>
        <w:rPr>
          <w:rFonts w:eastAsia="Times New Roman" w:asciiTheme="majorHAnsi" w:hAnsiTheme="majorHAnsi" w:cstheme="majorHAnsi"/>
          <w:lang w:eastAsia="ru-RU"/>
        </w:rPr>
        <w:t>.</w:t>
      </w:r>
    </w:p>
    <w:p w:rsidR="009534E2" w:rsidRDefault="003369EB">
      <w:pPr>
        <w:keepNext/>
        <w:keepLines/>
        <w:tabs>
          <w:tab w:val="left" w:pos="501"/>
        </w:tabs>
        <w:spacing w:after="200"/>
        <w:ind w:left="461" w:hanging="461"/>
        <w:rPr>
          <w:rFonts w:eastAsia="Times New Roman" w:asciiTheme="majorHAnsi" w:hAnsiTheme="majorHAnsi" w:cstheme="majorHAnsi"/>
          <w:sz w:val="22"/>
        </w:rPr>
      </w:pPr>
      <w:r>
        <w:rPr>
          <w:rFonts w:eastAsia="Times New Roman" w:asciiTheme="majorHAnsi" w:hAnsiTheme="majorHAnsi" w:cstheme="majorHAnsi"/>
          <w:b/>
          <w:lang w:val="ru-RU" w:eastAsia="ru-RU"/>
        </w:rPr>
        <w:t>B.</w:t>
      </w:r>
      <w:r>
        <w:rPr>
          <w:rFonts w:eastAsia="Times New Roman" w:asciiTheme="majorHAnsi" w:hAnsiTheme="majorHAnsi" w:cstheme="majorHAnsi"/>
          <w:szCs w:val="24"/>
        </w:rPr>
        <w:tab/>
      </w:r>
      <w:r>
        <w:rPr>
          <w:rFonts w:eastAsia="Times New Roman" w:asciiTheme="majorHAnsi" w:hAnsiTheme="majorHAnsi" w:cstheme="majorHAnsi"/>
          <w:b/>
          <w:lang w:val="ru-RU" w:eastAsia="ru-RU"/>
        </w:rPr>
        <w:t>Plan of Distribution.</w:t>
      </w:r>
      <w:bookmarkStart w:name="BPlanofDistribution_249456" w:id="606"/>
      <w:bookmarkEnd w:id="606"/>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val="ru-RU" w:eastAsia="ru-RU"/>
        </w:rPr>
        <w:t>Not applicable.</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C.</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Markets.</w:t>
      </w:r>
      <w:bookmarkStart w:name="CMarkets_619882" w:id="607"/>
      <w:bookmarkEnd w:id="607"/>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Our ADSs, each representing one class B share, have been listed on the Nasdaq since May 3, 2013 and have been admitted to trading on the Moscow Exchange since May 20, 2013, under the symbol “QIWI”.</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On February 28, 2022, trading on the Moscow Exchange in all equity securities was suspended (including our ADSs), which suspension was later extended until the limited resumption of stock trading on the Moscow Exchange on March 24, 2022, and further resumption of stock trading on the Moscow Exchange on March 28, 2022. Trading by non-Russian investors on the Moscow Exchange remained significantly restricted since then. </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Also, on February 28, 2022, Nasdaq halted trading in our ADSs along with securities of certain other Russian companies. On March 15, 2023, we received a notice from the Staff indicating that the Staff has determined to delist our ADSs, each representing one Class B ordinary share of the Company, from the Nasdaq Global Select Market. In the notice the Staff referred to Nasdaq Listing Rule 5101 that empowers Nasdaq to determine delisting of Company’s securities based on any event, condition, or circumstance that exists or occurs that makes initial or continued listing of the securities on Nasdaq inadvisable or unwarranted in the opinion of Nasdaq, even though the securities meet all enumerated criteria for initial or continued listing on Nasdaq. </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believe we are in compliance with all applicable disclosure requirements, adhere to high standards of corporate governance and meet all qualitative and quantitative listing criteria of Nasdaq. On March 21, 2023, we requested an oral hearing to appeal the Staff's determination to delist our ADSs. On March 21, 2023, Nasdaq Listing Qualifications Hearings department provided a formal notice that the Panel will consider our appeal at an oral hearing on April 27, 2023. Pursuant to the notice all submissions for the hearing must be filed with the Panel by April 7, 2023. We will need to state with specificity the grounds upon which the Company is seeking review of Staff’s determination letter. The delisting action has been stayed, pending a final written decision by the Panel.</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We aim to protect our shareholders’ rights and interests, but there can be no guarantee that Nasdaq will not proceed with the delisting action and no assurance when or if the trading halt will be lifted and the trading in our ADSs will be resumed. For as long as trading halt is in place, our ADSs remain effectively illiquid. If the trading halt ultimately results into the delisting, there will no longer be a liquid market for our ADSs on Nasdaq and only over the counter (OTC) transactions will be available with our ADSs. The trading of our ADSs on the Moscow Exchange is not affected by the Nasdaq delisting determination. We are analyzing various options to restore liquidity for our shareholders, including alternative listing of securities, redomiciliation, restructuring, and others. However there is no assurance we will be able to find a solution or that any such solution will not have any adverse tax consequences or liquidity issues for all holders of our ADSs or underlying shares. (See “- </w:t>
      </w:r>
      <w:r>
        <w:rPr>
          <w:rFonts w:eastAsia="Times New Roman" w:asciiTheme="majorHAnsi" w:hAnsiTheme="majorHAnsi" w:cstheme="majorHAnsi"/>
          <w:i/>
          <w:iCs/>
          <w:lang w:eastAsia="ru-RU"/>
        </w:rPr>
        <w:t>Holders of our ADSs currently have limited or no liquidity in our ADSs. Following the trading halt introduced on our ADSs by Nasdaq, Nasdaq informed us of its determination to delist our securities. Although we requested a hearing to appeal the delisting determination, there can be no assurance that Nasdaq will reverse its decision and when or if the trading will be resumed. Trading in our ADSs on the Moscow Exchange is subject to certain limitations</w:t>
      </w:r>
      <w:r>
        <w:rPr>
          <w:rFonts w:eastAsia="Times New Roman" w:asciiTheme="majorHAnsi" w:hAnsiTheme="majorHAnsi" w:cstheme="majorHAnsi"/>
          <w:lang w:eastAsia="ru-RU"/>
        </w:rPr>
        <w:t>”).</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eastAsia="ru-RU"/>
        </w:rPr>
        <w:t>D.</w:t>
      </w:r>
      <w:r>
        <w:rPr>
          <w:rFonts w:eastAsia="Times New Roman" w:asciiTheme="majorHAnsi" w:hAnsiTheme="majorHAnsi" w:cstheme="majorHAnsi"/>
          <w:sz w:val="24"/>
          <w:szCs w:val="24"/>
        </w:rPr>
        <w:tab/>
      </w:r>
      <w:r>
        <w:rPr>
          <w:rFonts w:eastAsia="Times New Roman" w:asciiTheme="majorHAnsi" w:hAnsiTheme="majorHAnsi" w:cstheme="majorHAnsi"/>
          <w:b/>
          <w:bCs/>
          <w:lang w:eastAsia="ru-RU"/>
        </w:rPr>
        <w:t>Selling Shareholders.</w:t>
      </w:r>
      <w:bookmarkStart w:name="DSellingShareholders_842452" w:id="608"/>
      <w:bookmarkEnd w:id="608"/>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Not applicable.</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eastAsia="ru-RU"/>
        </w:rPr>
        <w:t>E.</w:t>
      </w:r>
      <w:r>
        <w:rPr>
          <w:rFonts w:eastAsia="Times New Roman" w:asciiTheme="majorHAnsi" w:hAnsiTheme="majorHAnsi" w:cstheme="majorHAnsi"/>
          <w:sz w:val="24"/>
          <w:szCs w:val="24"/>
        </w:rPr>
        <w:tab/>
      </w:r>
      <w:r>
        <w:rPr>
          <w:rFonts w:eastAsia="Times New Roman" w:asciiTheme="majorHAnsi" w:hAnsiTheme="majorHAnsi" w:cstheme="majorHAnsi"/>
          <w:b/>
          <w:bCs/>
          <w:lang w:eastAsia="ru-RU"/>
        </w:rPr>
        <w:t>Dilution.</w:t>
      </w:r>
      <w:bookmarkStart w:name="EDilution_619245" w:id="609"/>
      <w:bookmarkEnd w:id="609"/>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Not applicable.</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eastAsia="ru-RU"/>
        </w:rPr>
        <w:t>F.</w:t>
      </w:r>
      <w:r>
        <w:rPr>
          <w:rFonts w:eastAsia="Times New Roman" w:asciiTheme="majorHAnsi" w:hAnsiTheme="majorHAnsi" w:cstheme="majorHAnsi"/>
          <w:sz w:val="24"/>
          <w:szCs w:val="24"/>
        </w:rPr>
        <w:tab/>
      </w:r>
      <w:r>
        <w:rPr>
          <w:rFonts w:eastAsia="Times New Roman" w:asciiTheme="majorHAnsi" w:hAnsiTheme="majorHAnsi" w:cstheme="majorHAnsi"/>
          <w:b/>
          <w:bCs/>
          <w:lang w:eastAsia="ru-RU"/>
        </w:rPr>
        <w:t>Expenses of the Issue.</w:t>
      </w:r>
      <w:bookmarkStart w:name="FExpensesoftheIssue_756883" w:id="610"/>
      <w:bookmarkEnd w:id="610"/>
    </w:p>
    <w:p w:rsidR="009534E2" w:rsidRDefault="003369EB">
      <w:pPr>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Not applicable.</w:t>
      </w:r>
    </w:p>
    <w:p w:rsidR="009534E2" w:rsidRDefault="009534E2">
      <w:pPr>
        <w:rPr>
          <w:rFonts w:eastAsia="Times New Roman" w:asciiTheme="majorHAnsi" w:hAnsiTheme="majorHAnsi" w:cstheme="majorHAnsi"/>
        </w:rPr>
      </w:pPr>
    </w:p>
    <w:p w:rsidR="009534E2" w:rsidRDefault="003369EB">
      <w:pPr>
        <w:keepNext/>
        <w:keepLines/>
        <w:tabs>
          <w:tab w:val="left" w:pos="1168"/>
        </w:tabs>
        <w:spacing w:after="200"/>
        <w:ind w:left="1008" w:hanging="1008"/>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10.</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Additional Information</w:t>
      </w:r>
      <w:bookmarkStart w:name="ITEM10AdditionalInformation_704734" w:id="611"/>
      <w:bookmarkEnd w:id="611"/>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A.</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Share Capital.</w:t>
      </w:r>
      <w:bookmarkStart w:name="AShareCapital_499485" w:id="612"/>
      <w:bookmarkEnd w:id="612"/>
    </w:p>
    <w:p w:rsidR="009534E2" w:rsidRDefault="003369EB">
      <w:pPr>
        <w:spacing w:after="200"/>
        <w:ind w:left="461"/>
        <w:rPr>
          <w:rFonts w:eastAsia="Times New Roman" w:asciiTheme="majorHAnsi" w:hAnsiTheme="majorHAnsi" w:cstheme="majorHAnsi"/>
          <w:sz w:val="24"/>
          <w:szCs w:val="24"/>
        </w:rPr>
      </w:pPr>
      <w:r>
        <w:rPr>
          <w:rFonts w:eastAsia="Times New Roman" w:asciiTheme="majorHAnsi" w:hAnsiTheme="majorHAnsi" w:cstheme="majorHAnsi"/>
          <w:lang w:val="ru-RU" w:eastAsia="ru-RU"/>
        </w:rPr>
        <w:t>Not applicable.</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B.</w:t>
      </w:r>
      <w:r>
        <w:rPr>
          <w:rFonts w:eastAsia="Times New Roman" w:asciiTheme="majorHAnsi" w:hAnsiTheme="majorHAnsi" w:cstheme="majorHAnsi"/>
          <w:sz w:val="24"/>
          <w:szCs w:val="24"/>
        </w:rPr>
        <w:tab/>
      </w:r>
      <w:r>
        <w:rPr>
          <w:rFonts w:eastAsia="Times New Roman" w:asciiTheme="majorHAnsi" w:hAnsiTheme="majorHAnsi" w:cstheme="majorHAnsi"/>
          <w:b/>
          <w:bCs/>
          <w:lang w:eastAsia="ru-RU"/>
        </w:rPr>
        <w:t>Memorandum and Articles of Association.</w:t>
      </w:r>
      <w:bookmarkStart w:name="BMemorandumandArticlesofAssociation_9618" w:id="613"/>
      <w:bookmarkEnd w:id="613"/>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Our memorandum and articles of association contain, among others, the following provisions: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Objects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Our objects are set forth in full in Regulation 3 of our memorandum of association. The objects for which we are established are to assist in carrying on the business of a variety of entities, both public and private, with no restriction as to type, industry, legal form, or services provided. We aim to engage and train professional, technical, and other staff, retain such staff internally for the benefit of our company, or allocate the aforesaid personnel or their services to those requiring such services and assistance. We are empowered to purchase or otherwise acquire all or any part or interest in the business and liabilities of other entities that we determine will be of benefit to us and our shareholders. We are additionally authorized to borrow, raise money or secure obligations in on such terms as we see fit, to issue any type of securities, both secured or unsecured (and upon such terms as priority or otherwise), and to invest moneys not immediately required, other than towards our shares. We may enter into any arrangement for working jointly with any other company, partnership or person, provided the joint work is in furtherance of our business or our interests and generally do all such other things as may appear to be incidental or conductive to the attainment of our objects.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Shareholders’ General Meetings</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lang w:eastAsia="ru-RU"/>
        </w:rPr>
        <w:t>Share Capital</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Our share capital is divided into two classes of shares: class A shares, each of which carries ten votes at shareholders’ general meetings, and class B shares, each of which carries one vote at shareholders’ general meetings.</w:t>
      </w:r>
    </w:p>
    <w:p w:rsidR="009534E2" w:rsidRDefault="003369EB">
      <w:pPr>
        <w:keepNext/>
        <w:spacing w:after="200"/>
        <w:rPr>
          <w:rFonts w:eastAsia="Times New Roman" w:asciiTheme="majorHAnsi" w:hAnsiTheme="majorHAnsi" w:cstheme="majorHAnsi"/>
          <w:sz w:val="24"/>
          <w:szCs w:val="24"/>
        </w:rPr>
      </w:pPr>
      <w:r>
        <w:rPr>
          <w:rFonts w:eastAsia="Times New Roman" w:asciiTheme="majorHAnsi" w:hAnsiTheme="majorHAnsi" w:cstheme="majorHAnsi"/>
          <w:lang w:eastAsia="ru-RU"/>
        </w:rPr>
        <w:t>Convening Shareholders’ Meetings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An annual general meeting must be held not more than 15 months after the prior annual general meeting, and at least one annual general meeting must be held in each calendar year.</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Our board of directors, at its discretion, may convene an extraordinary general meeting. Extraordinary general meetings must also be convened by the board of directors at the request of shareholders holding in aggregate at the date of the deposit of the requisition either (a) not less than 10% of our outstanding share capital or (b) not less than 10% of the voting rights attached to our issued shares, or, in case the board of directors fails to do so within 21 days from the date of the deposit of the requisition notice, such requisitioning shareholders, or any of them representing more than one half of the total voting rights of all of them, may themselves convene an extraordinary general meeting, but any meeting so convened may not be held after the expiration of 3 months from the date that is 21 days from the date of the deposit of the requisition notice.</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 xml:space="preserve">The annual general meeting and a shareholders’ general meeting called for the election of directors or for a matter for which Cypriot law requires a special resolution, which means a resolution passed by a majority of not less than 75% of the voting rights attached to our issued shares present and voting at a duly convened and quorate general meeting, must be called with no less than 45 days’ written notice (not counting the day in which it was </w:t>
      </w:r>
      <w:r>
        <w:rPr>
          <w:rFonts w:eastAsia="Times New Roman" w:asciiTheme="majorHAnsi" w:hAnsiTheme="majorHAnsi" w:cstheme="majorHAnsi"/>
          <w:color w:val="000000"/>
          <w:lang w:val="en-GB" w:eastAsia="ru-RU"/>
        </w:rPr>
        <w:t>served or deemed to be served</w:t>
      </w:r>
      <w:r>
        <w:rPr>
          <w:rFonts w:eastAsia="Times New Roman" w:asciiTheme="majorHAnsi" w:hAnsiTheme="majorHAnsi" w:cstheme="majorHAnsi"/>
          <w:lang w:eastAsia="ru-RU"/>
        </w:rPr>
        <w:t xml:space="preserve"> and the date for which it is given). Other shareholders’ general meetings must be called with no less than 30 days’ written notice.</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A notice convening a shareholders’ general meeting shall be served within 5 days after the record date for determining the shareholders entitled to receive notice of attend and vote at such General Meeting, which is fixed by the Board and is not more than 60 days and not less than 45 days prior to an Annual General Meeting, or a General Meeting called for the passing of a Special Resolution, or for the election of Directors, and not more than 45 days and not less than 30 days prior to any other General Meeting. A notice convening a shareholders’ general meeting must be sent to each of the shareholders, provided that the accidental failure to give notice of a meeting to, or the non-receipt of notice of a meeting by, any person entitled to receive notice will invalidate the proceedings at that meeting to which such notice refers in the event that a shareholder holding not less than 5% of our outstanding share capital is not in attendance as a result of the accidental failure to give notice or non-receipt thereof.</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All shareholders are entitled to attend the shareholders’ general meeting or be represented by a proxy authorized in writing. The quorum for a shareholders’ general meeting will consist of shareholders representing 50.01% of the voting rights attached to our issued shares, whether present in person or by proxy.</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The agenda of the shareholders’ general meeting is determined by our board of directors or by whoever else is calling the meeting.</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Voting</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Matters determined at shareholders’ general meetings require an ordinary resolution, which requires a simple majority of the votes cast at any particular general meeting duly convened and quorate, unless our articles of association and the Companies Law specify differently. It is within the powers of the shareholders to have a resolution executed in writing by all shareholders and in such event no meeting needs to take place or notice to be given.</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Reserved Matters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Our articles of association provide for special majorities for resolutions concerning, among other things, the following matters (for so long as class A shares are in issue and outstanding): (i) any variance to the rights attached to any class of shares requires approval of the holders of 75% of the shares of the affected class, passed at a separate meeting of the holders of the shares of the relevant class, as well as a special resolution of the general meeting; and (ii) approval of the total number of shares and classes of shares to be reserved for issuance under any of our or our subsidiaries’ employee stock option plan or any other equity-based incentive compensation program requires approval of a majority of not less than 75% of the voting rights attached to all issued shares present and voting at a duly convened and quorate general meeting.</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Board of Directors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Appointment of Directors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Our articles of association provide that we shall have up to seven directors, including not less than three independent directors. As a foreign private issuer, we have elected to follow Cyprus corporate governance practices, which, unlike the applicable Nasdaq requirements for domestic issuers, do not require the majority of directors to be independent.</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It is understood that, if at a proposed general meeting there shall be elections of both non-independent directors and independent directors, (i) there shall be two separate sets of voting procedures, one with respect to the non-independent directors and one with respect to the independent directors; (ii) at each such procedure the shareholders shall have the number of votes provided by the articles of association for the election of non-independent directors and independent directors respectively and (iii) the voting procedure in respect of the minimum number of independent directors, being three directors, shall take place first.</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Each of the board and any shareholder or group of shareholders is entitled to nominate one or more individuals for election (or re-election) to our board of directors not less than 30 days prior to any general meeting at which the non-independent directors are scheduled to be appointed. The board shall screen all submitted nominations for compliance with the provisions of our articles of association following which it shall compile and circulate a final slate of nominees to be voted on at the general meeting to all the shareholders entitled to attend and vote at the relevant general meeting at least 15 days prior to the scheduled date thereof.</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Except as set out below, the non-independent directors are appointed by shareholder weighted voting, under which each shareholder has the right to cast among one or more nominees as many votes as the voting rights attached to its shares multiplied by a number equal to the number of non-independent directors to be appointed. Non-independent directors are appointed as follows: (1) the term of office of the non-independent directors shall be for a period from the date of the annual general meeting at which they were elected until the following annual general meeting; (2) all the non-independent directors shall retire from office at each annual general meeting; (3) all retiring non-independent directors shall be eligible for re-election; and (4) the vacated position may be filled at the meeting at which the non-independent directors retire by electing another individual nominated to the office of non-independent director by any of the board, any shareholder or group of shareholders by serving a notice at least 30 days prior to such general meeting, and in default the retiring non-independent director shall, if offering himself for re-election and if he has been so nominated by the board, be deemed to have been re-elected, unless at such meeting it is expressly resolved not to fill such vacated position or unless a resolution for the re-election of such non-independent director shall have been put to the meeting and not adopted.</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The independent directors are nominated by the board, a shareholder or group of shareholders. All independent directors are appointed by shareholder weighted voting in the same manner as voting for non-independent directors. The independent directors will be appointed as follows: (1) the term of office of each independent director shall be for a period from the date of the annual meeting at which such independent director has been duly elected and qualified until the following annual general meeting; (2) all the independent directors shall retire from office at each annual general meeting; (3) all retiring independent directors shall be eligible for re-election; and (4) the vacated position may be filled at the meeting at which the independent directors retire by electing another individual nominated by any of the board, a shareholder or a group of shareholders by serving a notice at least 30 days prior to such general meeting, and in default the retiring independent director shall, if offering himself for re-election and if he has been so nominated by the board, be deemed to have been re-elected, unless at such meeting it is expressly resolved not to fill such vacated position or unless a resolution for the re-election of such independent director shall have been put to the meeting and not adopted.</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At any moment of time after the appointment of the non-independent directors any director may request the board to screen the non-independent directors for compliance with independence criteria within the meaning of the Nasdaq Listing Rules. In case the board determines that any non-independent director meets the criteria, such non-independent director shall be re-classified as the independent director.</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In the event that the entire board of directors is terminated by a shareholder or a group of shareholders representing at least 10.01% of the voting rights attached to our issued shares in relation to exercise by the board of directors of its right to appoint a director to fill a vacancy on the board, the board will remain in office only to summon a general meeting for purposes of (1) terminating the entire board pursuant to a request of the requesting shareholders and (2) appointing new non-independent directors, and new independent directors. If, for any reason, the number of directors falls below the number fixed by the articles of association as the necessary quorum for board meetings and the vacant positions are not filled as per the above procedure within 21 days, the remaining directors may remain in office only to convene a general meeting, at which all directors must retire and new directors will be appointed as provided above.</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Our board of directors can elect a chairman by an absolute majority of votes of all the directors, provided that an affirmative vote of at least one independent director is received (for so long as class A shares are in issue and are outstanding).</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Removal of Directors</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 xml:space="preserve">Under Cyprus law, notwithstanding any provision in our articles of association, a director may be removed by an ordinary resolution of the general shareholders’ meeting. The shareholders who desire the removal of the director could, with 28 days’ notice, request the Board to call a general meeting for such removal. The office of any of the directors shall be vacated if, among other things, the director (a) becomes bankrupt or makes any arrangement or composition with his or her creditors generally; or (b) becomes permanently incapable of performing his or her duties due to mental or physical illness or due to his or her death. If our board of directors exercises its right to appoint a director to fill in a vacancy on the board created during the term of a director’s appointment as provided in our articles of association, a shareholder or a group of shareholders holding at least 10.01% of the voting rights attached to our issued shares may terminate the appointment of the entire board of directors. See also </w:t>
      </w:r>
      <w:r>
        <w:rPr>
          <w:rFonts w:eastAsia="Times New Roman" w:asciiTheme="majorHAnsi" w:hAnsiTheme="majorHAnsi" w:cstheme="majorHAnsi"/>
          <w:i/>
          <w:iCs/>
          <w:lang w:eastAsia="ru-RU"/>
        </w:rPr>
        <w:t>“—Appointment of Directors”</w:t>
      </w:r>
      <w:r>
        <w:rPr>
          <w:rFonts w:eastAsia="Times New Roman" w:asciiTheme="majorHAnsi" w:hAnsiTheme="majorHAnsi" w:cstheme="majorHAnsi"/>
          <w:lang w:eastAsia="ru-RU"/>
        </w:rPr>
        <w:t>.</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Powers of the Board of Directors</w:t>
      </w:r>
    </w:p>
    <w:p w:rsidR="009534E2" w:rsidRDefault="003369EB">
      <w:pPr>
        <w:keepNext/>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Our board of directors has been granted authority to manage our business affairs and has the authority to decide, among other things, on the following:</w:t>
      </w:r>
    </w:p>
    <w:p w:rsidR="009534E2" w:rsidRDefault="003369EB">
      <w:pPr>
        <w:tabs>
          <w:tab w:val="left" w:pos="478"/>
          <w:tab w:val="left" w:pos="956"/>
        </w:tabs>
        <w:spacing w:after="200"/>
        <w:ind w:left="821" w:hanging="360"/>
        <w:rPr>
          <w:rFonts w:eastAsia="Times New Roman" w:asciiTheme="majorHAnsi" w:hAnsiTheme="majorHAnsi" w:cstheme="majorHAnsi"/>
          <w:sz w:val="22"/>
        </w:rPr>
      </w:pPr>
      <w:r>
        <w:rPr>
          <w:rFonts w:eastAsia="Times New Roman" w:asciiTheme="majorHAnsi" w:hAnsiTheme="majorHAnsi" w:cstheme="majorHAnsi"/>
        </w:rPr>
        <w:t>(a)</w:t>
      </w:r>
      <w:r>
        <w:rPr>
          <w:rFonts w:eastAsia="Times New Roman" w:asciiTheme="majorHAnsi" w:hAnsiTheme="majorHAnsi" w:cstheme="majorHAnsi"/>
        </w:rPr>
        <w:tab/>
      </w:r>
      <w:r>
        <w:rPr>
          <w:rFonts w:eastAsia="Times New Roman" w:asciiTheme="majorHAnsi" w:hAnsiTheme="majorHAnsi" w:cstheme="majorHAnsi"/>
          <w:lang w:eastAsia="ru-RU"/>
        </w:rPr>
        <w:t>approval of strategy and annual budget and for the group;</w:t>
      </w:r>
    </w:p>
    <w:p w:rsidR="009534E2" w:rsidRDefault="003369EB">
      <w:pPr>
        <w:tabs>
          <w:tab w:val="left" w:pos="478"/>
          <w:tab w:val="left" w:pos="956"/>
        </w:tabs>
        <w:spacing w:after="200"/>
        <w:ind w:left="821" w:hanging="360"/>
        <w:rPr>
          <w:rFonts w:eastAsia="Times New Roman" w:asciiTheme="majorHAnsi" w:hAnsiTheme="majorHAnsi" w:cstheme="majorHAnsi"/>
          <w:lang w:eastAsia="ru-RU"/>
        </w:rPr>
      </w:pPr>
      <w:r>
        <w:rPr>
          <w:rFonts w:eastAsia="Times New Roman" w:asciiTheme="majorHAnsi" w:hAnsiTheme="majorHAnsi" w:cstheme="majorHAnsi"/>
          <w:lang w:eastAsia="ru-RU"/>
        </w:rPr>
        <w:t>(b)</w:t>
      </w:r>
      <w:r>
        <w:rPr>
          <w:rFonts w:eastAsia="Times New Roman" w:asciiTheme="majorHAnsi" w:hAnsiTheme="majorHAnsi" w:cstheme="majorHAnsi"/>
          <w:lang w:eastAsia="ru-RU"/>
        </w:rPr>
        <w:tab/>
        <w:t>approval of certain transactions, including material transactions (as defined in our articles of association), borrowings as well as transactions involving sale or disposition of any interest in any group company (other than QIWI plc) or all or substantially all of the assets of any group company;</w:t>
      </w:r>
    </w:p>
    <w:p w:rsidR="009534E2" w:rsidRDefault="003369EB">
      <w:pPr>
        <w:tabs>
          <w:tab w:val="left" w:pos="478"/>
          <w:tab w:val="left" w:pos="956"/>
        </w:tabs>
        <w:spacing w:after="200"/>
        <w:ind w:left="821" w:hanging="360"/>
        <w:rPr>
          <w:rFonts w:eastAsia="Times New Roman" w:asciiTheme="majorHAnsi" w:hAnsiTheme="majorHAnsi" w:cstheme="majorHAnsi"/>
          <w:sz w:val="24"/>
          <w:szCs w:val="24"/>
        </w:rPr>
      </w:pPr>
      <w:r>
        <w:rPr>
          <w:rFonts w:eastAsia="Times New Roman" w:asciiTheme="majorHAnsi" w:hAnsiTheme="majorHAnsi" w:cstheme="majorHAnsi"/>
          <w:szCs w:val="24"/>
        </w:rPr>
        <w:t>(c)</w:t>
      </w:r>
      <w:r>
        <w:rPr>
          <w:rFonts w:eastAsia="Times New Roman" w:asciiTheme="majorHAnsi" w:hAnsiTheme="majorHAnsi" w:cstheme="majorHAnsi"/>
          <w:szCs w:val="24"/>
        </w:rPr>
        <w:tab/>
      </w:r>
      <w:r>
        <w:rPr>
          <w:rFonts w:eastAsia="Times New Roman" w:asciiTheme="majorHAnsi" w:hAnsiTheme="majorHAnsi" w:cstheme="majorHAnsi"/>
          <w:lang w:eastAsia="ru-RU"/>
        </w:rPr>
        <w:t>any group company’s exit from or closing of a business or business segment, or a down-sizing, reduction in force or streamlining of any operation over certain thresholds as set out in our articles of association;</w:t>
      </w:r>
    </w:p>
    <w:p w:rsidR="009534E2" w:rsidRDefault="003369EB">
      <w:pPr>
        <w:spacing w:after="200"/>
        <w:ind w:left="821" w:hanging="360"/>
        <w:rPr>
          <w:rFonts w:eastAsia="Times New Roman" w:asciiTheme="majorHAnsi" w:hAnsiTheme="majorHAnsi" w:cstheme="majorHAnsi"/>
          <w:lang w:eastAsia="ru-RU"/>
        </w:rPr>
      </w:pPr>
      <w:r>
        <w:rPr>
          <w:rFonts w:eastAsia="Times New Roman" w:asciiTheme="majorHAnsi" w:hAnsiTheme="majorHAnsi" w:cstheme="majorHAnsi"/>
          <w:lang w:eastAsia="ru-RU"/>
        </w:rPr>
        <w:t>(d)</w:t>
      </w:r>
      <w:r>
        <w:rPr>
          <w:rFonts w:eastAsia="Times New Roman" w:asciiTheme="majorHAnsi" w:hAnsiTheme="majorHAnsi" w:cstheme="majorHAnsi"/>
          <w:lang w:eastAsia="ru-RU"/>
        </w:rPr>
        <w:tab/>
        <w:t>any merger, consolidation, amalgamation, conversion, reorganization, scheme of arrangement, dissolution or liquidation involving any group company (other than QIWI plc);</w:t>
      </w:r>
    </w:p>
    <w:p w:rsidR="009534E2" w:rsidRDefault="003369EB">
      <w:pPr>
        <w:spacing w:after="200"/>
        <w:ind w:left="821" w:hanging="360"/>
        <w:rPr>
          <w:rFonts w:eastAsia="Times New Roman" w:asciiTheme="majorHAnsi" w:hAnsiTheme="majorHAnsi" w:cstheme="majorHAnsi"/>
          <w:lang w:eastAsia="ru-RU"/>
        </w:rPr>
      </w:pPr>
      <w:r>
        <w:rPr>
          <w:rFonts w:eastAsia="Times New Roman" w:asciiTheme="majorHAnsi" w:hAnsiTheme="majorHAnsi" w:cstheme="majorHAnsi"/>
          <w:lang w:eastAsia="ru-RU"/>
        </w:rPr>
        <w:t>(e)</w:t>
      </w:r>
      <w:r>
        <w:rPr>
          <w:rFonts w:eastAsia="Times New Roman" w:asciiTheme="majorHAnsi" w:hAnsiTheme="majorHAnsi" w:cstheme="majorHAnsi"/>
          <w:lang w:eastAsia="ru-RU"/>
        </w:rPr>
        <w:tab/>
        <w:t>entry into (whether by renewal or otherwise) any agreement or transaction with a related party except for: (1) transactions in the ordinary course of business (as defined in our articles of association) on an arm’s length basis, (2) intra-group transactions, (3) transactions at a price less than US $50,000 (if the price can be determined at the time the transaction is entered into);</w:t>
      </w:r>
    </w:p>
    <w:p w:rsidR="009534E2" w:rsidRDefault="003369EB">
      <w:pPr>
        <w:spacing w:after="200"/>
        <w:ind w:left="821" w:hanging="360"/>
        <w:rPr>
          <w:rFonts w:eastAsia="Times New Roman" w:asciiTheme="majorHAnsi" w:hAnsiTheme="majorHAnsi" w:cstheme="majorHAnsi"/>
          <w:sz w:val="22"/>
        </w:rPr>
      </w:pPr>
      <w:r>
        <w:rPr>
          <w:rFonts w:eastAsia="Times New Roman" w:asciiTheme="majorHAnsi" w:hAnsiTheme="majorHAnsi" w:cstheme="majorHAnsi"/>
        </w:rPr>
        <w:t>(f)</w:t>
      </w:r>
      <w:r>
        <w:rPr>
          <w:rFonts w:eastAsia="Times New Roman" w:asciiTheme="majorHAnsi" w:hAnsiTheme="majorHAnsi" w:cstheme="majorHAnsi"/>
        </w:rPr>
        <w:tab/>
      </w:r>
      <w:r>
        <w:rPr>
          <w:rFonts w:eastAsia="Times New Roman" w:asciiTheme="majorHAnsi" w:hAnsiTheme="majorHAnsi" w:cstheme="majorHAnsi"/>
          <w:lang w:eastAsia="ru-RU"/>
        </w:rPr>
        <w:t>issuance and allotment of shares by us for consideration other than cash; and</w:t>
      </w:r>
    </w:p>
    <w:p w:rsidR="009534E2" w:rsidRDefault="003369EB">
      <w:pPr>
        <w:tabs>
          <w:tab w:val="left" w:pos="478"/>
          <w:tab w:val="left" w:pos="956"/>
        </w:tabs>
        <w:spacing w:after="200"/>
        <w:ind w:left="821" w:hanging="360"/>
        <w:rPr>
          <w:rFonts w:eastAsia="Times New Roman" w:asciiTheme="majorHAnsi" w:hAnsiTheme="majorHAnsi" w:cstheme="majorHAnsi"/>
          <w:sz w:val="24"/>
          <w:szCs w:val="24"/>
        </w:rPr>
      </w:pPr>
      <w:r>
        <w:rPr>
          <w:rFonts w:eastAsia="Times New Roman" w:asciiTheme="majorHAnsi" w:hAnsiTheme="majorHAnsi" w:cstheme="majorHAnsi"/>
          <w:szCs w:val="24"/>
        </w:rPr>
        <w:t>(g)</w:t>
      </w:r>
      <w:r>
        <w:rPr>
          <w:rFonts w:eastAsia="Times New Roman" w:asciiTheme="majorHAnsi" w:hAnsiTheme="majorHAnsi" w:cstheme="majorHAnsi"/>
          <w:szCs w:val="24"/>
        </w:rPr>
        <w:tab/>
      </w:r>
      <w:r>
        <w:rPr>
          <w:rFonts w:eastAsia="Times New Roman" w:asciiTheme="majorHAnsi" w:hAnsiTheme="majorHAnsi" w:cstheme="majorHAnsi"/>
          <w:lang w:eastAsia="ru-RU"/>
        </w:rPr>
        <w:t>adoption of any employee stock option plan or any other equity-based incentive compensation program for our group (subject to a general meeting approving the total number of shares and classes of shares to be reserved for issuance under any such program).</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Our board of directors may exercise all the powers of the company to borrow or raise money.</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Proceedings of the Board of Directors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Our board of directors meets at such times and in such manner as the directors determine to be necessary or desirable. For as long as any class A shares are issued and outstanding, the quorum necessary for a meeting of our board of directors to be validly convened is a simple majority of the total number of the non-independent directors and the then-existing independent directors.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A resolution at a duly constituted meeting of our board of directors is approved by an absolute majority of votes of all the directors unless a higher majority and/or affirmative vote of any independent directors is required on a particular matter. The chairman does not have a second or casting vote in case of a tie. A resolution consented to in writing, signed or approved by all directors will be as valid as if it had been passed at a meeting of our board of directors or a committee when signed by all the directors.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 xml:space="preserve">Where a director has, directly or indirectly, an interest in a contract or proposed contract, that director must disclose the nature of his or her interest at the meeting of the board of directors and shall not vote on such contract or arrangement, </w:t>
      </w:r>
      <w:r>
        <w:rPr>
          <w:rFonts w:eastAsia="Times New Roman" w:asciiTheme="majorHAnsi" w:hAnsiTheme="majorHAnsi" w:cstheme="majorHAnsi"/>
          <w:color w:val="000000"/>
          <w:lang w:eastAsia="ru-RU"/>
        </w:rPr>
        <w:t>nor</w:t>
      </w:r>
      <w:r>
        <w:rPr>
          <w:rFonts w:eastAsia="Times New Roman" w:asciiTheme="majorHAnsi" w:hAnsiTheme="majorHAnsi" w:cstheme="majorHAnsi"/>
          <w:lang w:eastAsia="ru-RU"/>
        </w:rPr>
        <w:t xml:space="preserve"> shall he be counted in the quorum present at the meeting.</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Chief Executive Officer</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Our board of directors may by an absolute majority of votes of all the directors appoint a director to be our chief executive officer to be in charge and responsible for all day-to-day affairs of our group. Our chief executive officer is to be appointed for such period and on such terms as our board of directors thinks fit, and, subject to the terms of any agreement entered into in any particular case, his appointment may be terminated by our board of directors at any time as provided in our articles of association. The term of appointment for our chief executive officer shall be for a period from the date of his appointment until the first meeting of the board on the second year after the date of his appointment.</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Rights Attaching to Shares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i/>
          <w:lang w:eastAsia="ru-RU"/>
        </w:rPr>
        <w:t>Voting rights.</w:t>
      </w:r>
      <w:r>
        <w:rPr>
          <w:rFonts w:eastAsia="Times New Roman" w:asciiTheme="majorHAnsi" w:hAnsiTheme="majorHAnsi" w:cstheme="majorHAnsi"/>
          <w:lang w:eastAsia="ru-RU"/>
        </w:rPr>
        <w:t xml:space="preserve"> For so long as class A shares are in issue and are outstanding, each class A share has the right to ten votes at a meeting of our shareholders; and each class B share has the right to one vote at a meeting of our shareholders.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i/>
          <w:lang w:eastAsia="ru-RU"/>
        </w:rPr>
        <w:t>Issue of shares and pre-emptive rights.</w:t>
      </w:r>
      <w:r>
        <w:rPr>
          <w:rFonts w:eastAsia="Times New Roman" w:asciiTheme="majorHAnsi" w:hAnsiTheme="majorHAnsi" w:cstheme="majorHAnsi"/>
          <w:lang w:eastAsia="ru-RU"/>
        </w:rPr>
        <w:t xml:space="preserve"> Subject to the Cypriot law and our articles of association, already authorized but not yet issued shares are at the disposal of our board of directors, which may allot or otherwise dispose of any unissued shares as it may decide. All new shares and/or other securities giving right to the purchase of our shares or which are convertible into our shares must be offered before their issue to our shareholders on a pro rata basis. If the new securities are of the same class as existing shares, the offer must first be made on a pro rata basis to the shareholders of the relevant class and, if any such new securities are not taken up by those shareholders, an offer to purchase the excess will be made to all other shareholders on a pro rata basis (provided that such pre-emption rights have not been removed). On May 8, 2018 the disapplication of pre-emptive rights in connection with the issues of up to an additional 52,000,000 class B shares, including in the form of ADSs, previously authorized by our shareholders, has expired and since then any issuance and allotment of class B shares by the company for cash consideration is subject to pre-emptive rights.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i/>
          <w:lang w:eastAsia="ru-RU"/>
        </w:rPr>
        <w:t>Conversion.</w:t>
      </w:r>
      <w:r>
        <w:rPr>
          <w:rFonts w:eastAsia="Times New Roman" w:asciiTheme="majorHAnsi" w:hAnsiTheme="majorHAnsi" w:cstheme="majorHAnsi"/>
          <w:lang w:eastAsia="ru-RU"/>
        </w:rPr>
        <w:t xml:space="preserve"> At the irrevocable request of any class A shareholder, all or part of the class A shares held by such shareholder will convert into class B shares, on the basis that each class A share shall convert into one class B share, and the class B shares resulting from such conversion shall rank pari passu in all respects with the existing class B shares in issue.</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In addition, class A shares will be automatically converted into class B shares, on a one-to-one basis, in the following circumstances: (1) all class A shares which are transferred by a holder, except in circumstances permitted under our articles of association, shall, immediately upon such transfer, be automatically converted into class B shares; (2) all class A shares held by a shareholder will be automatically converted into class B shares on the occurrence of a change of control (as defined in our articles of association) of that class A shareholder; and (3) all class A shares will be automatically converted into class B shares in the event that the aggregate number of class A shares constitute less than 10% of the aggregate number of class A and class B shares outstanding.</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For so long as class A shares are in issue and are outstanding, class A shares will not convert into class B shares where: (1) the transfer is to one or more of the transferor’s directly or indirectly controlled affiliates (as defined in our articles of association); (2) 10% or more of the total number of class A shares in issue are transferred as a single transaction or a series of related transactions by a shareholder or a group of shareholders; (3) the transfer is to one or more of the existing class A shareholders; and (4) the transfer is to the person(s) that was (were) the ultimate beneficial owner(s) of class A shareholder at the time of Listing. In the case of (2) above the transfer of A shares is permitted if: (a) it is approved in writing by the shareholders holding in aggregate at least 75% of the total number of class A shares in issue; or (b) the shareholder (or a group of shareholders) transferring class A shares has (or have) offered such shares to the other then existing shareholders holding class A shares in accordance with the procedure set out in the articles of association.</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i/>
          <w:lang w:eastAsia="ru-RU"/>
        </w:rPr>
        <w:t>Dividend.</w:t>
      </w:r>
      <w:r>
        <w:rPr>
          <w:rFonts w:eastAsia="Times New Roman" w:asciiTheme="majorHAnsi" w:hAnsiTheme="majorHAnsi" w:cstheme="majorHAnsi"/>
          <w:lang w:eastAsia="ru-RU"/>
        </w:rPr>
        <w:t xml:space="preserve"> For so long as class A shares are in issue and are outstanding, our board may declare dividend, including final dividend, but no dividend will be paid except out of our profits. Our board of directors may set aside out of our profits such sums as it thinks proper as a reserve. The board of directors may also, without establishing a reserve, carry forward to the next year any profits it may think prudent not to distribute as a dividend. The class A shares and the class B shares have the right to an equal share in any dividend or other distribution we pay. Please see “</w:t>
      </w:r>
      <w:r>
        <w:rPr>
          <w:rFonts w:eastAsia="Times New Roman" w:asciiTheme="majorHAnsi" w:hAnsiTheme="majorHAnsi" w:cstheme="majorHAnsi"/>
          <w:i/>
          <w:iCs/>
          <w:lang w:eastAsia="ru-RU"/>
        </w:rPr>
        <w:t>Dividend Policy</w:t>
      </w:r>
      <w:r>
        <w:rPr>
          <w:rFonts w:eastAsia="Times New Roman" w:asciiTheme="majorHAnsi" w:hAnsiTheme="majorHAnsi" w:cstheme="majorHAnsi"/>
          <w:lang w:eastAsia="ru-RU"/>
        </w:rPr>
        <w:t>” for more details.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i/>
          <w:lang w:eastAsia="ru-RU"/>
        </w:rPr>
        <w:t>Winding Up.</w:t>
      </w:r>
      <w:r>
        <w:rPr>
          <w:rFonts w:eastAsia="Times New Roman" w:asciiTheme="majorHAnsi" w:hAnsiTheme="majorHAnsi" w:cstheme="majorHAnsi"/>
          <w:lang w:eastAsia="ru-RU"/>
        </w:rPr>
        <w:t xml:space="preserve"> If our company is wound up, the liquidator may, upon a special resolution and any other procedure prescribed by the Cypriot law, (i) divide in specie or kind all or part of our assets among the shareholders; and (ii) vest the whole or any part of such assets in trustees for the benefit of the contributories as the liquidator shall think fit, but so that no shareholder is compelled to accept any shares or other securities with any attached liability.</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i/>
          <w:lang w:eastAsia="ru-RU"/>
        </w:rPr>
        <w:t>Form and transfer of shares</w:t>
      </w:r>
      <w:r>
        <w:rPr>
          <w:rFonts w:eastAsia="Times New Roman" w:asciiTheme="majorHAnsi" w:hAnsiTheme="majorHAnsi" w:cstheme="majorHAnsi"/>
          <w:lang w:eastAsia="ru-RU"/>
        </w:rPr>
        <w:t>. The instrument of transfer of any share must be executed by or on behalf of the transferor and the transferee, and the transferor will be deemed to be the holder of the share until the name of the transferee is entered into the register of shareholders. Except as set out above and in our articles of association, shareholders are entitled to transfer all or any of their shares by instrument of transfer in writing in any usual or common form or in any other form, including electronic form, which the directors may approve.</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There is no limitation under Cypriot law or our articles of association on the right of non-Cypriot residents or nationals to own or vote our shares.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Relevant Provisions of Cypriot law</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The liability of our shareholders is limited. Under the Cypriot law, a shareholder of a company is not personally liable for the acts of the company, except that a shareholder may become personally liable by reason of his or her own acts.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As of the date of this annual report, Cypriot law does not contain any requirement for a mandatory offer to be made by a person acquiring shares or depositary receipts of a Cypriot company even if such an acquisition confers on such person control over us if neither the shares nor depositary receipts are listed on a regulated market in the European Economic Area (EEA). Neither our shares nor depositary receipts are listed on a regulated market in the EEA.</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Cypriot Companies Law contains provisions in respect of squeeze-out rights. The effect of these provisions is that, where a company makes a takeover bid for all the shares or for the whole of any class of shares of another company, and the offer is accepted by the holders of 90% in value of the shares concerned, the offeror can upon the same terms acquire the shares of shareholders who have not accepted the offer, unless such persons can persuade the Cypriot courts not to permit the acquisition. If the offeror company already holds more than 10%, in value of the shares concerned, additional requirements need to be met before the minority can be squeezed out. If the company making the takeover bid acquires sufficient shares to aggregate, together with those which it already holds, more than 90%, then, within one month of the date the bidder holds more than 90%, it must give notice of the fact to the remaining shareholders and such shareholders may, within three months of receiving such notice, require the offeror company to acquire their shares and the offeror company shall be bound to do so upon the same terms on which the shares were acquired or on such other terms as may be agreed between them or upon such terms as the court may order.</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C.</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Material Contracts.</w:t>
      </w:r>
      <w:bookmarkStart w:name="CMaterialContracts_119435" w:id="614"/>
      <w:bookmarkEnd w:id="614"/>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The following is a summary of each material contract, other than material contracts entered into in the ordinary course of business, to which we are or have been a party, for the two years immediately preceding the date of this Annual Report:</w:t>
      </w:r>
    </w:p>
    <w:p w:rsidR="009534E2" w:rsidRDefault="003369EB">
      <w:pPr>
        <w:keepNext/>
        <w:keepLines/>
        <w:spacing w:after="200"/>
        <w:rPr>
          <w:rFonts w:eastAsia="Times New Roman" w:asciiTheme="majorHAnsi" w:hAnsiTheme="majorHAnsi" w:cstheme="majorHAnsi"/>
          <w:i/>
          <w:szCs w:val="24"/>
          <w:lang w:eastAsia="ru-RU"/>
        </w:rPr>
      </w:pPr>
      <w:r>
        <w:rPr>
          <w:rFonts w:eastAsia="Times New Roman" w:asciiTheme="majorHAnsi" w:hAnsiTheme="majorHAnsi" w:cstheme="majorHAnsi"/>
          <w:i/>
          <w:szCs w:val="24"/>
          <w:lang w:eastAsia="ru-RU"/>
        </w:rPr>
        <w:t>Agreement for the transfer the ownership of the of shares related to the project Tochka</w:t>
      </w:r>
    </w:p>
    <w:p w:rsidR="009534E2" w:rsidRDefault="003369EB">
      <w:pPr>
        <w:spacing w:after="200"/>
        <w:ind w:firstLine="460"/>
        <w:rPr>
          <w:rFonts w:eastAsia="Times New Roman" w:asciiTheme="majorHAnsi" w:hAnsiTheme="majorHAnsi" w:cstheme="majorHAnsi"/>
          <w:szCs w:val="24"/>
          <w:lang w:val="en-GB"/>
        </w:rPr>
      </w:pPr>
      <w:r>
        <w:rPr>
          <w:rFonts w:eastAsia="Times New Roman" w:asciiTheme="majorHAnsi" w:hAnsiTheme="majorHAnsi" w:cstheme="majorHAnsi"/>
          <w:szCs w:val="24"/>
          <w:lang w:val="en-GB"/>
        </w:rPr>
        <w:t>On September 14, 2021, the company terminated its participation in the Tochka project by selling its stake (the “Transaction”) in JSC Tochka (“Tochka”) to Otkritie Bank (the “Counterparty”). The Transaction was documented by a share sale and purchase agreement and a number of ancillary agreements aimed at discontinuing our operational participation in Tochka, terminating non-competition and non-solicitation arrangements previously entered into in connection with our ownership of Tochka, providing certain indemnities in connection with the Transaction, etc.</w:t>
      </w:r>
    </w:p>
    <w:p w:rsidR="009534E2" w:rsidRDefault="003369EB">
      <w:pPr>
        <w:keepNext/>
        <w:keepLines/>
        <w:spacing w:after="200"/>
        <w:rPr>
          <w:rFonts w:eastAsia="Times New Roman" w:asciiTheme="majorHAnsi" w:hAnsiTheme="majorHAnsi" w:cstheme="majorHAnsi"/>
          <w:i/>
          <w:iCs/>
          <w:szCs w:val="24"/>
          <w:lang w:val="en-GB"/>
        </w:rPr>
      </w:pPr>
      <w:r>
        <w:rPr>
          <w:rFonts w:eastAsia="Times New Roman" w:asciiTheme="majorHAnsi" w:hAnsiTheme="majorHAnsi" w:cstheme="majorHAnsi"/>
          <w:i/>
          <w:iCs/>
          <w:szCs w:val="24"/>
          <w:lang w:val="en-GB"/>
        </w:rPr>
        <w:t>Shares Sale and Purchase Agreement dated July 21, 2021 (“SPA”)</w:t>
      </w:r>
    </w:p>
    <w:p w:rsidR="009534E2" w:rsidRDefault="003369EB">
      <w:pPr>
        <w:spacing w:after="200"/>
        <w:ind w:firstLine="460"/>
        <w:rPr>
          <w:rFonts w:eastAsia="Times New Roman" w:asciiTheme="majorHAnsi" w:hAnsiTheme="majorHAnsi" w:cstheme="majorHAnsi"/>
          <w:szCs w:val="24"/>
          <w:lang w:val="en-GB"/>
        </w:rPr>
      </w:pPr>
      <w:r>
        <w:rPr>
          <w:rFonts w:eastAsia="Times New Roman" w:asciiTheme="majorHAnsi" w:hAnsiTheme="majorHAnsi" w:cstheme="majorHAnsi"/>
          <w:szCs w:val="24"/>
          <w:lang w:val="en-GB"/>
        </w:rPr>
        <w:t xml:space="preserve">The subject of the SPA was selling of company’s 40% stake in Tochka. The initial price of the shares was set at RUB 4.95 billion plus performance adjustment gain contingent on Tochka’s earnings for the year 2021. The payment of initial price and transfer of shares ownership were completed in September 2021. The consideration for the sale of the stake in Tochka was comprised of a fixed portion paid at the time of closing and a contingent portion which was paid in the amount of RUB 4.85 billion in the second quarter of 2022. </w:t>
      </w:r>
    </w:p>
    <w:p w:rsidR="009534E2" w:rsidRDefault="003369EB">
      <w:pPr>
        <w:keepNext/>
        <w:keepLines/>
        <w:spacing w:after="200"/>
        <w:rPr>
          <w:rFonts w:eastAsia="Times New Roman" w:asciiTheme="majorHAnsi" w:hAnsiTheme="majorHAnsi" w:cstheme="majorHAnsi"/>
          <w:i/>
          <w:iCs/>
          <w:szCs w:val="24"/>
          <w:lang w:val="en-GB"/>
        </w:rPr>
      </w:pPr>
      <w:r>
        <w:rPr>
          <w:rFonts w:eastAsia="Times New Roman" w:asciiTheme="majorHAnsi" w:hAnsiTheme="majorHAnsi" w:cstheme="majorHAnsi"/>
          <w:i/>
          <w:iCs/>
          <w:szCs w:val="24"/>
          <w:lang w:val="en-GB"/>
        </w:rPr>
        <w:t xml:space="preserve">Deed of amendment and termination dated September 01, 2021 with respect to the Deed of non-competition and non-solicitation dated June 21, 2019 </w:t>
      </w:r>
    </w:p>
    <w:p w:rsidR="009534E2" w:rsidRDefault="003369EB">
      <w:pPr>
        <w:spacing w:after="200"/>
        <w:ind w:firstLine="460"/>
        <w:rPr>
          <w:rFonts w:eastAsia="Times New Roman" w:asciiTheme="majorHAnsi" w:hAnsiTheme="majorHAnsi" w:cstheme="majorHAnsi"/>
          <w:szCs w:val="24"/>
          <w:lang w:val="en-GB"/>
        </w:rPr>
      </w:pPr>
      <w:r>
        <w:rPr>
          <w:rFonts w:eastAsia="Times New Roman" w:asciiTheme="majorHAnsi" w:hAnsiTheme="majorHAnsi" w:cstheme="majorHAnsi"/>
          <w:szCs w:val="24"/>
          <w:lang w:val="en-GB"/>
        </w:rPr>
        <w:t>Under the Deed of amendment and termination with respect to the Deed of non-competition and non-solicitation, QIWI shall no longer be a party to the Deed of non-competition and non-solicitation dated June 21, 2019 among Tochka’s shareholders, and all references to the arrangements in relation to QIWI shall be removed once company’s ownership of Tochka shares terminates in accordance with the terms and conditions of the Transaction.</w:t>
      </w:r>
    </w:p>
    <w:p w:rsidR="009534E2" w:rsidRDefault="003369EB">
      <w:pPr>
        <w:keepNext/>
        <w:keepLines/>
        <w:spacing w:after="200"/>
        <w:rPr>
          <w:rFonts w:eastAsia="Times New Roman" w:asciiTheme="majorHAnsi" w:hAnsiTheme="majorHAnsi" w:cstheme="majorHAnsi"/>
          <w:i/>
          <w:iCs/>
          <w:szCs w:val="24"/>
          <w:lang w:val="en-GB"/>
        </w:rPr>
      </w:pPr>
      <w:r>
        <w:rPr>
          <w:rFonts w:eastAsia="Times New Roman" w:asciiTheme="majorHAnsi" w:hAnsiTheme="majorHAnsi" w:cstheme="majorHAnsi"/>
          <w:i/>
          <w:iCs/>
          <w:szCs w:val="24"/>
          <w:lang w:val="en-GB"/>
        </w:rPr>
        <w:t>Deed of amendment and termination to the Deed of warranty dated September 01, 2021</w:t>
      </w:r>
    </w:p>
    <w:p w:rsidR="009534E2" w:rsidRDefault="003369EB">
      <w:pPr>
        <w:spacing w:after="200"/>
        <w:ind w:firstLine="460"/>
        <w:rPr>
          <w:rFonts w:eastAsia="Times New Roman" w:asciiTheme="majorHAnsi" w:hAnsiTheme="majorHAnsi" w:cstheme="majorHAnsi"/>
          <w:szCs w:val="24"/>
          <w:lang w:val="en-GB"/>
        </w:rPr>
      </w:pPr>
      <w:r>
        <w:rPr>
          <w:rFonts w:eastAsia="Times New Roman" w:asciiTheme="majorHAnsi" w:hAnsiTheme="majorHAnsi" w:cstheme="majorHAnsi"/>
          <w:szCs w:val="24"/>
          <w:lang w:val="en-GB"/>
        </w:rPr>
        <w:t>Under the Deed of amendment and termination with respect to the Deed of warranty QIWI shall no longer be a party to the Deed of warranty dated June 21, 2019, under which Tochka founders gave certain warranties in respect of the software used by, and all references to the arrangements in relation to QIWI shall be removed once company’s ownership of Tochka shares terminates in accordance with the terms and conditions of the Transaction.</w:t>
      </w:r>
    </w:p>
    <w:p w:rsidR="009534E2" w:rsidRDefault="003369EB">
      <w:pPr>
        <w:keepNext/>
        <w:keepLines/>
        <w:spacing w:after="200"/>
        <w:rPr>
          <w:rFonts w:eastAsia="Times New Roman" w:asciiTheme="majorHAnsi" w:hAnsiTheme="majorHAnsi" w:cstheme="majorHAnsi"/>
          <w:i/>
          <w:iCs/>
          <w:szCs w:val="24"/>
          <w:lang w:val="en-GB"/>
        </w:rPr>
      </w:pPr>
      <w:r>
        <w:rPr>
          <w:rFonts w:eastAsia="Times New Roman" w:asciiTheme="majorHAnsi" w:hAnsiTheme="majorHAnsi" w:cstheme="majorHAnsi"/>
          <w:i/>
          <w:iCs/>
          <w:szCs w:val="24"/>
          <w:lang w:val="en-GB"/>
        </w:rPr>
        <w:t>Indemnity agreement dated June 21, 2021 (“Indemnity agreement”)</w:t>
      </w:r>
    </w:p>
    <w:p w:rsidR="009534E2" w:rsidRDefault="003369EB">
      <w:pPr>
        <w:spacing w:after="200"/>
        <w:ind w:firstLine="460"/>
        <w:rPr>
          <w:rFonts w:eastAsia="Times New Roman" w:asciiTheme="majorHAnsi" w:hAnsiTheme="majorHAnsi" w:cstheme="majorHAnsi"/>
          <w:szCs w:val="24"/>
          <w:lang w:val="en-GB"/>
        </w:rPr>
      </w:pPr>
      <w:r>
        <w:rPr>
          <w:rFonts w:eastAsia="Times New Roman" w:asciiTheme="majorHAnsi" w:hAnsiTheme="majorHAnsi" w:cstheme="majorHAnsi"/>
          <w:szCs w:val="24"/>
          <w:lang w:val="en-GB"/>
        </w:rPr>
        <w:t>The Indemnity Agreement provides for reimbursement of certain tax losses of Otkritie, Tochka or Qiwi Bank during the period from the termination of company’s ownership of Tochka shares until March 1, 2025. The total limit on possible reimbursement by QIWI or Otkritie under the Indemnity Deed shall not exceed 2 RUB billion.</w:t>
      </w:r>
    </w:p>
    <w:p w:rsidR="009534E2" w:rsidRDefault="003369EB">
      <w:pPr>
        <w:keepNext/>
        <w:keepLines/>
        <w:spacing w:after="200"/>
        <w:rPr>
          <w:rFonts w:eastAsia="Times New Roman" w:asciiTheme="majorHAnsi" w:hAnsiTheme="majorHAnsi" w:cstheme="majorHAnsi"/>
          <w:i/>
          <w:iCs/>
          <w:szCs w:val="24"/>
          <w:lang w:val="en-GB"/>
        </w:rPr>
      </w:pPr>
      <w:r>
        <w:rPr>
          <w:rFonts w:eastAsia="Times New Roman" w:asciiTheme="majorHAnsi" w:hAnsiTheme="majorHAnsi" w:cstheme="majorHAnsi"/>
          <w:i/>
          <w:iCs/>
          <w:szCs w:val="24"/>
          <w:lang w:val="en-GB"/>
        </w:rPr>
        <w:t>Payment Deed dated September 10, 2021</w:t>
      </w:r>
    </w:p>
    <w:p w:rsidR="009534E2" w:rsidRDefault="003369EB">
      <w:pPr>
        <w:spacing w:after="200"/>
        <w:ind w:firstLine="460"/>
        <w:rPr>
          <w:rFonts w:eastAsia="Times New Roman" w:asciiTheme="majorHAnsi" w:hAnsiTheme="majorHAnsi" w:cstheme="majorHAnsi"/>
          <w:szCs w:val="24"/>
          <w:lang w:val="en-GB"/>
        </w:rPr>
      </w:pPr>
      <w:r>
        <w:rPr>
          <w:rFonts w:eastAsia="Times New Roman" w:asciiTheme="majorHAnsi" w:hAnsiTheme="majorHAnsi" w:cstheme="majorHAnsi"/>
          <w:szCs w:val="24"/>
          <w:lang w:val="en-GB"/>
        </w:rPr>
        <w:t>On September 10, 2021, the Counterparty, the company, Qiwi Bank and Tochka entered into a Payment Deed providing for mutual obligations for payments upon the following circumstances:</w:t>
      </w:r>
    </w:p>
    <w:p w:rsidR="009534E2" w:rsidRDefault="003369EB">
      <w:pPr>
        <w:pStyle w:val="ListParagraph"/>
        <w:numPr>
          <w:ilvl w:val="1"/>
          <w:numId w:val="50"/>
        </w:numPr>
        <w:ind w:left="1080"/>
        <w:rPr>
          <w:rFonts w:eastAsia="Times New Roman" w:asciiTheme="majorHAnsi" w:hAnsiTheme="majorHAnsi" w:cstheme="majorHAnsi"/>
          <w:szCs w:val="24"/>
          <w:lang w:val="en-GB"/>
        </w:rPr>
      </w:pPr>
      <w:r>
        <w:rPr>
          <w:rFonts w:eastAsia="Times New Roman" w:asciiTheme="majorHAnsi" w:hAnsiTheme="majorHAnsi" w:cstheme="majorHAnsi"/>
          <w:szCs w:val="24"/>
          <w:lang w:val="en-GB"/>
        </w:rPr>
        <w:t>sending Clients or its representatives personalized offers by Qiwi Bank to switch Tochka’s bank accounts to the Qiwi’s payout services and actual client transition,</w:t>
      </w:r>
    </w:p>
    <w:p w:rsidR="009534E2" w:rsidRDefault="003369EB">
      <w:pPr>
        <w:pStyle w:val="ListParagraph"/>
        <w:numPr>
          <w:ilvl w:val="1"/>
          <w:numId w:val="50"/>
        </w:numPr>
        <w:spacing w:after="200"/>
        <w:ind w:left="1080"/>
        <w:rPr>
          <w:rFonts w:eastAsia="Times New Roman" w:asciiTheme="majorHAnsi" w:hAnsiTheme="majorHAnsi" w:cstheme="majorHAnsi"/>
          <w:szCs w:val="24"/>
          <w:lang w:val="en-GB"/>
        </w:rPr>
      </w:pPr>
      <w:r>
        <w:rPr>
          <w:rFonts w:eastAsia="Times New Roman" w:asciiTheme="majorHAnsi" w:hAnsiTheme="majorHAnsi" w:cstheme="majorHAnsi"/>
          <w:szCs w:val="24"/>
          <w:lang w:val="en-GB"/>
        </w:rPr>
        <w:t>sending Clients or its representatives personalized offers by Tochka to use Tochka’s payout services and actual client transition.</w:t>
      </w:r>
    </w:p>
    <w:p w:rsidR="009534E2" w:rsidRDefault="003369EB">
      <w:pPr>
        <w:spacing w:after="200"/>
        <w:ind w:firstLine="460"/>
        <w:rPr>
          <w:rFonts w:eastAsia="Times New Roman" w:asciiTheme="majorHAnsi" w:hAnsiTheme="majorHAnsi" w:cstheme="majorHAnsi"/>
          <w:szCs w:val="24"/>
          <w:lang w:val="en-GB"/>
        </w:rPr>
      </w:pPr>
      <w:r>
        <w:rPr>
          <w:rFonts w:eastAsia="Times New Roman" w:asciiTheme="majorHAnsi" w:hAnsiTheme="majorHAnsi" w:cstheme="majorHAnsi"/>
          <w:szCs w:val="24"/>
          <w:lang w:val="en-GB"/>
        </w:rPr>
        <w:t>These terms and conditions apply to the agreed list of Clients and for a limited period.</w:t>
      </w:r>
    </w:p>
    <w:p w:rsidR="009534E2" w:rsidRDefault="003369EB">
      <w:pPr>
        <w:spacing w:after="200"/>
        <w:ind w:firstLine="461"/>
        <w:rPr>
          <w:rFonts w:eastAsia="Times New Roman" w:asciiTheme="majorHAnsi" w:hAnsiTheme="majorHAnsi" w:cstheme="majorHAnsi"/>
          <w:szCs w:val="24"/>
        </w:rPr>
      </w:pPr>
      <w:r>
        <w:rPr>
          <w:rFonts w:eastAsia="Times New Roman" w:asciiTheme="majorHAnsi" w:hAnsiTheme="majorHAnsi" w:cstheme="majorHAnsi"/>
          <w:lang w:eastAsia="ru-RU"/>
        </w:rPr>
        <w:t>See Exhibit 4.3 for the agreement for the transfer of the ownership of the shares related to the project “Tochka”.</w:t>
      </w:r>
    </w:p>
    <w:p w:rsidR="009534E2" w:rsidRDefault="003369EB">
      <w:pPr>
        <w:keepNext/>
        <w:keepLines/>
        <w:tabs>
          <w:tab w:val="left" w:pos="479"/>
        </w:tabs>
        <w:spacing w:after="200"/>
        <w:ind w:left="461" w:hanging="461"/>
        <w:rPr>
          <w:rFonts w:eastAsia="Times New Roman" w:asciiTheme="majorHAnsi" w:hAnsiTheme="majorHAnsi" w:cstheme="majorHAnsi"/>
          <w:b/>
          <w:bCs/>
          <w:lang w:val="ru-RU" w:eastAsia="ru-RU"/>
        </w:rPr>
      </w:pPr>
      <w:r>
        <w:rPr>
          <w:rFonts w:eastAsia="Times New Roman" w:asciiTheme="majorHAnsi" w:hAnsiTheme="majorHAnsi" w:cstheme="majorHAnsi"/>
          <w:b/>
          <w:bCs/>
          <w:lang w:val="ru-RU" w:eastAsia="ru-RU"/>
        </w:rPr>
        <w:t>D.</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Exchange Controls.</w:t>
      </w:r>
      <w:bookmarkStart w:name="DExchangeControls_359512" w:id="615"/>
      <w:bookmarkEnd w:id="615"/>
    </w:p>
    <w:p w:rsidR="009534E2" w:rsidRDefault="003369EB">
      <w:pPr>
        <w:tabs>
          <w:tab w:val="left" w:pos="479"/>
        </w:tabs>
        <w:spacing w:after="200"/>
        <w:ind w:left="461"/>
        <w:rPr>
          <w:rFonts w:eastAsia="Times New Roman" w:asciiTheme="majorHAnsi" w:hAnsiTheme="majorHAnsi" w:cstheme="majorHAnsi"/>
          <w:lang w:eastAsia="ru-RU"/>
        </w:rPr>
      </w:pPr>
      <w:r>
        <w:rPr>
          <w:rFonts w:eastAsia="Times New Roman" w:asciiTheme="majorHAnsi" w:hAnsiTheme="majorHAnsi" w:cstheme="majorHAnsi"/>
          <w:lang w:eastAsia="ru-RU"/>
        </w:rPr>
        <w:t>Cyprus currently has no exchange control restrictions.</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E.</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Taxation.</w:t>
      </w:r>
      <w:bookmarkStart w:name="ETaxation_645776" w:id="616"/>
      <w:bookmarkEnd w:id="616"/>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The following summary of the Cypriot tax, Russian tax and United States federal income tax consequences of ownership of the ADSs is based upon laws, regulations, decrees, rulings, income tax conventions (treaties), administrative practice and judicial decisions in effect at the date of this annual report. Legislative, judicial or administrative changes or interpretations may, however, be forthcoming that could alter or modify the statements and conclusions set forth herein. Any such changes or interpretations may be retroactive and could affect the tax consequences to holders of the ADSs. This summary does not purport to be a legal opinion or to address all tax aspects that may be relevant to a holder of the ADSs. Each prospective holder is urged to consult its own tax advisor as to the particular tax consequences to such holder of the ownership and disposition of the ADSs, including the applicability and effect of any other tax laws or tax treaties, of pending or proposed changes in applicable tax laws as of the date of this annual report, and of any actual changes in applicable tax laws after such date.</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Material Cypriot Tax Considerations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Cyprus Tax residency of a company</w:t>
      </w:r>
    </w:p>
    <w:p w:rsidR="009534E2" w:rsidRDefault="003369EB">
      <w:pPr>
        <w:spacing w:after="200"/>
        <w:ind w:firstLine="460"/>
        <w:rPr>
          <w:rFonts w:eastAsia="Times New Roman" w:asciiTheme="majorHAnsi" w:hAnsiTheme="majorHAnsi" w:cstheme="majorHAnsi"/>
          <w:color w:val="000000"/>
        </w:rPr>
      </w:pPr>
      <w:r>
        <w:rPr>
          <w:rFonts w:eastAsia="Times New Roman" w:asciiTheme="majorHAnsi" w:hAnsiTheme="majorHAnsi" w:cstheme="majorHAnsi"/>
          <w:color w:val="000000"/>
        </w:rPr>
        <w:t xml:space="preserve">In accordance with the Cyprus Income Tax Law, a company is tax resident in Cyprus if its management and control is exercised in Cyprus. There is no definition in the Cyprus Income Tax Law as to what constitutes management and control however it is understood that the concept of </w:t>
      </w:r>
      <w:r>
        <w:rPr>
          <w:rFonts w:eastAsia="Times New Roman" w:asciiTheme="majorHAnsi" w:hAnsiTheme="majorHAnsi" w:cstheme="majorHAnsi"/>
          <w:szCs w:val="24"/>
          <w:lang w:val="en-GB" w:eastAsia="zh-CN" w:bidi="he-IL"/>
        </w:rPr>
        <w:t>“</w:t>
      </w:r>
      <w:r>
        <w:rPr>
          <w:rFonts w:eastAsia="Times New Roman" w:asciiTheme="majorHAnsi" w:hAnsiTheme="majorHAnsi" w:cstheme="majorHAnsi"/>
          <w:color w:val="000000"/>
        </w:rPr>
        <w:t>central management and control</w:t>
      </w:r>
      <w:r>
        <w:rPr>
          <w:rFonts w:eastAsia="Times New Roman" w:asciiTheme="majorHAnsi" w:hAnsiTheme="majorHAnsi" w:cstheme="majorHAnsi"/>
          <w:szCs w:val="24"/>
          <w:lang w:val="en-GB" w:eastAsia="zh-CN" w:bidi="he-IL"/>
        </w:rPr>
        <w:t>”</w:t>
      </w:r>
      <w:r>
        <w:rPr>
          <w:rFonts w:eastAsia="Times New Roman" w:asciiTheme="majorHAnsi" w:hAnsiTheme="majorHAnsi" w:cstheme="majorHAnsi"/>
          <w:color w:val="000000"/>
        </w:rPr>
        <w:t xml:space="preserve"> followed by the Cyprus tax authorities is in line with such concepts applied in other common law countries and as it has developed through case law. The concept refers to the highest level at which the business of the company is controlled and the policy decisions of the directors are taken. This place is usually where the shareholders and/or the board of directors meet and take key management and commercial decisions.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 xml:space="preserve">In accordance with Circular 2015/19 issued by the Cyprus tax authorities a questionnaire should be duly completed and submitted for </w:t>
      </w:r>
      <w:r>
        <w:rPr>
          <w:rFonts w:eastAsia="Times New Roman" w:asciiTheme="majorHAnsi" w:hAnsiTheme="majorHAnsi" w:cstheme="majorHAnsi"/>
          <w:color w:val="000000"/>
        </w:rPr>
        <w:t>issuance of a tax residency certificate indicating information that needs to be provided by a company when obtaining a Cyprus tax residency certificate</w:t>
      </w:r>
      <w:r>
        <w:rPr>
          <w:rFonts w:eastAsia="Times New Roman" w:asciiTheme="majorHAnsi" w:hAnsiTheme="majorHAnsi" w:cstheme="majorHAnsi"/>
          <w:lang w:eastAsia="ru-RU"/>
        </w:rPr>
        <w:t>, including the following questions: (i) whether the company is incorporated in Cyprus and is a tax resident only in Cyprus; (ii) whether the majority of the Board of Directors meetings take place in Cyprus; (iii) whether the Board of Directors exercise control and make key management and commercial decisions necessary for a company’s operations and general policies; (iv) whether Board of Directors’ minutes are prepared and kept in Cyprus; (v) whether the majority of the Board of Directors are Cyprus tax residents; (vi) whether shareholders’ meetings take place in Cyprus; (vii) whether the company issued any General Power of Attorney; etc. Depending on the answers to the above questionnaire the Cyprus tax authorities may or may not issue a tax residency certificate to a company.</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We consider the company to be a resident of Cyprus for tax purposes. However, taking into consideration that the majority of our board of directors is comprised of non-Cyprus tax residents and a number of other factors which may be treated as not fully in line with the abovementioned requirements, our tax residency in Cyprus may be challenged.</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In December 2021, the Cyprus Parliament voted to pass into law two bills for amending the Cyprus tax legislation in order to address aggressive tax planning, one of which being the introduction of a corporate tax residency test based on incorporation in addition to the existing “management and control” test. This additional test aims to capture Cyprus incorporated / registered companies that are not tax resident in any other jurisdiction. The bill is stated to enter into force on 31 December 2022. However, it is not expected that the company shall be impacted by this additional test on the basis that the company intends to continue meeting the existing “management and control” test.</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 xml:space="preserve">Moreover, we may be deemed to be a tax resident outside of Cyprus, for further details see Risk factor </w:t>
      </w:r>
      <w:r>
        <w:rPr>
          <w:rFonts w:eastAsia="Times New Roman" w:asciiTheme="majorHAnsi" w:hAnsiTheme="majorHAnsi" w:cstheme="majorHAnsi"/>
          <w:i/>
          <w:lang w:eastAsia="ru-RU"/>
        </w:rPr>
        <w:t>“Risk Factors – Risks Related to Taxation – We may be deemed to be a tax resident outside of Cyprus.”</w:t>
      </w:r>
    </w:p>
    <w:p w:rsidR="009534E2" w:rsidRDefault="003369EB">
      <w:pPr>
        <w:keepNext/>
        <w:keepLines/>
        <w:spacing w:after="200"/>
        <w:rPr>
          <w:rFonts w:eastAsia="Times New Roman" w:asciiTheme="majorHAnsi" w:hAnsiTheme="majorHAnsi" w:cstheme="majorHAnsi"/>
          <w:bCs/>
        </w:rPr>
      </w:pPr>
      <w:r>
        <w:rPr>
          <w:rFonts w:eastAsia="Times New Roman" w:asciiTheme="majorHAnsi" w:hAnsiTheme="majorHAnsi" w:cstheme="majorHAnsi"/>
          <w:b/>
          <w:bCs/>
          <w:lang w:eastAsia="ru-RU"/>
        </w:rPr>
        <w:t>Cyprus Tax residency of an individual</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Cyprus tax resident individuals are taxed on all chargeable income accrued or derived from all sources in Cyprus and abroad. Individuals who are not tax residents of Cyprus are taxed on income accrued or derived from Cyprus sources only.</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With respect to the individual holders of our ADSs, an individual is considered to be a tax resident in Cyprus in any one calendar year (which corresponds to a period from January 1 to December 31) if such individual is physically present in Cyprus for a period or periods exceeding in aggregate more than 183 days in that one calendar year.</w:t>
      </w:r>
    </w:p>
    <w:p w:rsidR="009534E2" w:rsidRDefault="003369EB">
      <w:pPr>
        <w:keepNext/>
        <w:keepLines/>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Furthermore, on January 1, 2017 an amendment to the Income Tax Law entered into force introducing a second tax residency test – the “60 day rule” – for the purposes of determining Cyprus tax residency for individuals. An individual is considered to be a tax resident in Cyprus, if he/she satisfies either the “183 day rule” as above or the “60 day rule” for the relevant tax year (coinciding with calendar year). The “60 day rule” applies to an individual who in the relevant tax year:</w:t>
      </w:r>
    </w:p>
    <w:p w:rsidR="009534E2" w:rsidRDefault="003369EB">
      <w:pPr>
        <w:keepNext/>
        <w:spacing w:after="200"/>
        <w:ind w:left="821" w:hanging="360"/>
        <w:rPr>
          <w:rFonts w:eastAsia="Times New Roman" w:asciiTheme="majorHAnsi" w:hAnsiTheme="majorHAnsi" w:cstheme="majorHAnsi"/>
          <w:lang w:eastAsia="ru-RU"/>
        </w:rPr>
      </w:pPr>
      <w:r>
        <w:rPr>
          <w:rFonts w:eastAsia="Times New Roman" w:asciiTheme="majorHAnsi" w:hAnsiTheme="majorHAnsi" w:cstheme="majorHAnsi"/>
          <w:lang w:eastAsia="ru-RU"/>
        </w:rPr>
        <w:t></w:t>
      </w:r>
      <w:r>
        <w:rPr>
          <w:rFonts w:eastAsia="Times New Roman" w:asciiTheme="majorHAnsi" w:hAnsiTheme="majorHAnsi" w:cstheme="majorHAnsi"/>
          <w:lang w:eastAsia="ru-RU"/>
        </w:rPr>
        <w:tab/>
        <w:t>does not reside in any other single state for a period exceeding 183 days in aggregate, and</w:t>
      </w:r>
    </w:p>
    <w:p w:rsidR="009534E2" w:rsidRDefault="003369EB">
      <w:pPr>
        <w:spacing w:after="200"/>
        <w:ind w:left="821" w:hanging="360"/>
        <w:rPr>
          <w:rFonts w:eastAsia="Times New Roman" w:asciiTheme="majorHAnsi" w:hAnsiTheme="majorHAnsi" w:cstheme="majorHAnsi"/>
          <w:lang w:eastAsia="ru-RU"/>
        </w:rPr>
      </w:pPr>
      <w:r>
        <w:rPr>
          <w:rFonts w:eastAsia="Times New Roman" w:asciiTheme="majorHAnsi" w:hAnsiTheme="majorHAnsi" w:cstheme="majorHAnsi"/>
          <w:lang w:eastAsia="ru-RU"/>
        </w:rPr>
        <w:t></w:t>
      </w:r>
      <w:r>
        <w:rPr>
          <w:rFonts w:eastAsia="Times New Roman" w:asciiTheme="majorHAnsi" w:hAnsiTheme="majorHAnsi" w:cstheme="majorHAnsi"/>
          <w:lang w:eastAsia="ru-RU"/>
        </w:rPr>
        <w:tab/>
        <w:t>is not considered as a Tax Resident in any other country</w:t>
      </w:r>
    </w:p>
    <w:p w:rsidR="009534E2" w:rsidRDefault="003369EB">
      <w:pPr>
        <w:spacing w:after="200"/>
        <w:ind w:left="821" w:hanging="360"/>
        <w:rPr>
          <w:rFonts w:eastAsia="Times New Roman" w:asciiTheme="majorHAnsi" w:hAnsiTheme="majorHAnsi" w:cstheme="majorHAnsi"/>
          <w:lang w:eastAsia="ru-RU"/>
        </w:rPr>
      </w:pPr>
      <w:r>
        <w:rPr>
          <w:rFonts w:eastAsia="Times New Roman" w:asciiTheme="majorHAnsi" w:hAnsiTheme="majorHAnsi" w:cstheme="majorHAnsi"/>
          <w:lang w:eastAsia="ru-RU"/>
        </w:rPr>
        <w:t></w:t>
      </w:r>
      <w:r>
        <w:rPr>
          <w:rFonts w:eastAsia="Times New Roman" w:asciiTheme="majorHAnsi" w:hAnsiTheme="majorHAnsi" w:cstheme="majorHAnsi"/>
          <w:lang w:eastAsia="ru-RU"/>
        </w:rPr>
        <w:tab/>
        <w:t>resides in Cyprus for at least 60 days within the tax year, and</w:t>
      </w:r>
    </w:p>
    <w:p w:rsidR="009534E2" w:rsidRDefault="003369EB">
      <w:pPr>
        <w:spacing w:after="200"/>
        <w:ind w:left="821" w:hanging="360"/>
        <w:rPr>
          <w:rFonts w:eastAsia="Times New Roman" w:asciiTheme="majorHAnsi" w:hAnsiTheme="majorHAnsi" w:cstheme="majorHAnsi"/>
          <w:lang w:eastAsia="ru-RU"/>
        </w:rPr>
      </w:pPr>
      <w:r>
        <w:rPr>
          <w:rFonts w:eastAsia="Times New Roman" w:asciiTheme="majorHAnsi" w:hAnsiTheme="majorHAnsi" w:cstheme="majorHAnsi"/>
          <w:lang w:eastAsia="ru-RU"/>
        </w:rPr>
        <w:t></w:t>
      </w:r>
      <w:r>
        <w:rPr>
          <w:rFonts w:eastAsia="Times New Roman" w:asciiTheme="majorHAnsi" w:hAnsiTheme="majorHAnsi" w:cstheme="majorHAnsi"/>
          <w:lang w:eastAsia="ru-RU"/>
        </w:rPr>
        <w:tab/>
        <w:t>carries on any business in Cyprus and/or is employed in Cyprus and/or holds an office in Cyprus at any time during the tax year, provided that such is not terminated during the tax year, and</w:t>
      </w:r>
    </w:p>
    <w:p w:rsidR="009534E2" w:rsidRDefault="003369EB">
      <w:pPr>
        <w:spacing w:after="200"/>
        <w:ind w:left="821" w:hanging="360"/>
        <w:rPr>
          <w:rFonts w:eastAsia="Times New Roman" w:asciiTheme="majorHAnsi" w:hAnsiTheme="majorHAnsi" w:cstheme="majorHAnsi"/>
          <w:lang w:eastAsia="ru-RU"/>
        </w:rPr>
      </w:pPr>
      <w:r>
        <w:rPr>
          <w:rFonts w:eastAsia="Times New Roman" w:asciiTheme="majorHAnsi" w:hAnsiTheme="majorHAnsi" w:cstheme="majorHAnsi"/>
          <w:lang w:eastAsia="ru-RU"/>
        </w:rPr>
        <w:t></w:t>
      </w:r>
      <w:r>
        <w:rPr>
          <w:rFonts w:eastAsia="Times New Roman" w:asciiTheme="majorHAnsi" w:hAnsiTheme="majorHAnsi" w:cstheme="majorHAnsi"/>
          <w:lang w:eastAsia="ru-RU"/>
        </w:rPr>
        <w:tab/>
        <w:t>maintains a permanent residence in Cyprus either owned or rented by the individual.</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An individual is considered to be domiciled in Cyprus for the purposes of Special Contribution for the Defence if he/she has a domicile of origin in Cyprus per the Wills and Succession Law (with certain exceptions) or if he/she has been a tax resident in Cyprus for at least 17 out of the 20 tax years immediately prior to the tax year of assessment. Having a Non-Domicile status in Cyprus, exempts individual from payment of Special Defense Contribution (details below).</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Holders of ADSs must consult their own tax advisors on their tax residency status and their tax liabilities arising from holding and/or disposal of the ADSs in their tax residency jurisdictions.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Taxation of a Cyprus Tax Resident Company</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A company which is considered as a resident of Cyprus for tax purposes is subject to corporate income tax in Cyprus on its income accrued and derived from all chargeable sources in Cyprus and abroad, worldwide income, taking into account certain exemptions. The current rate of corporate income tax in Cyprus is 12.5%.</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Non-tax resident Cyprus companies (i.e. not managed and controlled from Cyprus) are liable to income tax in Cyprus only in respect of the following types of income arising from sources in Cyprus: trading profits of a permanent establishment situated in Cyprus (i.e. fixed base from which a business is carried on), profit from the sale of trade goodwill in Cyprus, and income arising from immovable property situated in Cyprus (rental income or disposal of immovable property).</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 xml:space="preserve">Tax resident Cyprus companies are subject to Special Contribution for the Defence which may be imposed on its dividend income, “passive” interest income and rental income </w:t>
      </w:r>
      <w:r>
        <w:rPr>
          <w:rFonts w:eastAsia="Times New Roman" w:asciiTheme="majorHAnsi" w:hAnsiTheme="majorHAnsi" w:cstheme="majorHAnsi"/>
          <w:lang w:val="en-GB" w:eastAsia="ru-RU"/>
        </w:rPr>
        <w:t>according to the provisions of the Special Contribution for the Defence of the Republic Law N.117(I)/2002, as amended</w:t>
      </w:r>
      <w:r>
        <w:rPr>
          <w:rFonts w:eastAsia="Times New Roman" w:asciiTheme="majorHAnsi" w:hAnsiTheme="majorHAnsi" w:cstheme="majorHAnsi"/>
          <w:lang w:eastAsia="ru-RU"/>
        </w:rPr>
        <w:t xml:space="preserve"> (See provisions of sections “</w:t>
      </w:r>
      <w:r>
        <w:rPr>
          <w:rFonts w:eastAsia="Times New Roman" w:asciiTheme="majorHAnsi" w:hAnsiTheme="majorHAnsi" w:cstheme="majorHAnsi"/>
          <w:i/>
          <w:iCs/>
          <w:lang w:eastAsia="ru-RU"/>
        </w:rPr>
        <w:t xml:space="preserve">Material Cypriot Tax Considerations – “Taxation of Dividend Income”, </w:t>
      </w:r>
      <w:r>
        <w:rPr>
          <w:rFonts w:eastAsia="Times New Roman" w:asciiTheme="majorHAnsi" w:hAnsiTheme="majorHAnsi" w:cstheme="majorHAnsi"/>
          <w:i/>
          <w:iCs/>
          <w:lang w:val="en-GB" w:eastAsia="ru-RU"/>
        </w:rPr>
        <w:t xml:space="preserve">“Deemed Dividends Distribution” </w:t>
      </w:r>
      <w:r>
        <w:rPr>
          <w:rFonts w:eastAsia="Times New Roman" w:asciiTheme="majorHAnsi" w:hAnsiTheme="majorHAnsi" w:cstheme="majorHAnsi"/>
          <w:i/>
          <w:iCs/>
          <w:lang w:eastAsia="ru-RU"/>
        </w:rPr>
        <w:t>and “Taxation of Interest Income”</w:t>
      </w:r>
      <w:r>
        <w:rPr>
          <w:rFonts w:eastAsia="Times New Roman" w:asciiTheme="majorHAnsi" w:hAnsiTheme="majorHAnsi" w:cstheme="majorHAnsi"/>
          <w:lang w:eastAsia="ru-RU"/>
        </w:rPr>
        <w:t>).</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Taxation of Dividend Income</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Dividend income (whether received from Cyprus tax resident or non-tax resident Cyprus companies) is exempt from Corporate Income Tax in Cyprus, provided that dividends are not treated as tax deductible at the level of the paying company.</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Dividend income received from Cyprus tax resident companies is exempt from the Cypriot Special Contribution for the Defence in Cyprus. The rate of Special Contribution for the Defence in Cyprus is 17% as from January 1, 2014 onwards.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Dividend income received from non-Cyprus tax resident companies is exempt from the Cypriot Special Contribution for the Defence in Cyprus provided that either (i) not more than 50% of the foreign paying company and/or permanent establishment’s activities result directly or indirectly in investment (“passive”) income, or (ii) the foreign tax burden suffered on income of the foreign company and/or permanent establishment paying the dividends is not significantly lower than the tax burden payable in Cyprus (currently interpreted to mean an effective tax burden of at least 6.25%).</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If the participation exemption for the Cypriot </w:t>
      </w:r>
      <w:r>
        <w:rPr>
          <w:rFonts w:eastAsia="Times New Roman" w:asciiTheme="majorHAnsi" w:hAnsiTheme="majorHAnsi" w:cstheme="majorHAnsi"/>
          <w:szCs w:val="24"/>
          <w:lang w:val="en-GB" w:eastAsia="zh-CN" w:bidi="he-IL"/>
        </w:rPr>
        <w:t xml:space="preserve">Special </w:t>
      </w:r>
      <w:r>
        <w:rPr>
          <w:rFonts w:eastAsia="Times New Roman" w:asciiTheme="majorHAnsi" w:hAnsiTheme="majorHAnsi" w:cstheme="majorHAnsi"/>
          <w:lang w:eastAsia="ru-RU"/>
        </w:rPr>
        <w:t>Contribution for the Defence does not apply, dividends receivable from non-Cyprus tax resident companies are taxed at a rate of 17%. Foreign tax paid or withheld on dividend income received by the Cyprus tax resident company can be credited against Cypriot tax payable on the same income provided proof of payment can be furnished.</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Dividends declared by a Cyprus tax resident company to another Cyprus tax resident company after the lapse of four years from the end of the year in which the profits were generated are subject to Special Contribution for the Defence at the applicable rate. Dividend income which emanates directly or indirectly out of such dividends on which Special Contribution for the Defence was previously suffered is exempt.</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In 2020 the company has obtained a tax ruling from the Cyprus tax authorities where the Cyprus tax authorities confirms that the company does not have an obligation to withhold any Special Defence Contribution amount upon the distribution of dividends to its shareholders owning shares that are listed on NASDAQ and MOEX stock exchanges. Any shareholders which are Cyprus tax resident and domiciled individuals, have the sole responsibility/obligation to pay the relevant Special Defence Contribution on such dividends received via a self-assessment.</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New provisions were incorporated effectively from January 1, 2016 in the Cyprus tax legislation in order to be harmonized with the European Directive 2011/96/EU and related amending directives. These provisions involve the introduction of anti-hybrid and general anti-avoidance measures in relation to the distribution of profits from a subsidiary to a parent company within the European Union. These new provisions apply only between EU companies.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The anti-hybrid provision introduced provides that to the extent where the profits which are distributed from a subsidiary company to its Cyprus parent company are deductible from the taxable income of the subsidiary company, Cyprus is required to tax such profits. The respective profits are subject to taxation at the currently applicable rate of 12.5% in accordance with the provisions of the Income Tax Law and are not considered as dividends for Special Contribution for Defence purposes.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The general anti-avoidance measures introduced provide that where a dividend is received from a company which is a tax resident of another EU member state (level of holding is not relevant) and where it is considered that there is abuse (i.e. arrangement or series of arrangements that do not reflect economic reality), a credit will not be granted against the Cypriot tax liability for the foreign tax withheld on the profits of the company paying the dividend and of each sub-subsidiary from which the dividend originates.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Under Cyprus legislation no withholding tax on dividends shall be paid to non-residents of Cyprus unless the dividends are paid by anon-quoted Cyprus tax resident company to companies in EU blacklisted jurisdictions where the direct recipient holds directly more than 50% of the capital, votes or entitlement to profit (an “over 50% holding”) in the Cyprus company paying the dividends. The “over 50% holding” is also met when the recipient participates directly in the Cyprus paying company jointly with associated companies, which are also in EU blacklisted jurisdictions, and the combined holding of the associated companies is over 50%. In such a case WHT at the rate of 17% for Special Defence purposes applies as per the provisions of the recently bills votes by the Parliament. This provision will be effective as from 31 December 2022.</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The dividend will be paid free of any tax to the shareholder who will be taxed according to the laws of his country of residence or domicile. Holders of ADSs must consult their own tax advisors on the consequences of their residence or domicile in relation to the taxes applied to the payment of dividends.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Deemed Dividend Distribution</w:t>
      </w:r>
    </w:p>
    <w:p w:rsidR="009534E2" w:rsidRDefault="003369EB">
      <w:pPr>
        <w:spacing w:after="200"/>
        <w:ind w:firstLine="460"/>
        <w:rPr>
          <w:rFonts w:eastAsia="Times New Roman" w:asciiTheme="majorHAnsi" w:hAnsiTheme="majorHAnsi" w:cstheme="majorHAnsi"/>
          <w:lang w:val="en-GB" w:eastAsia="ru-RU"/>
        </w:rPr>
      </w:pPr>
      <w:r>
        <w:rPr>
          <w:rFonts w:eastAsia="Times New Roman" w:asciiTheme="majorHAnsi" w:hAnsiTheme="majorHAnsi" w:cstheme="majorHAnsi"/>
          <w:lang w:val="en-GB" w:eastAsia="ru-RU"/>
        </w:rPr>
        <w:t>Cyprus tax resident companies which do not distribute 70% of their profits after tax, as defined by the Special Contribution for the Defence of the Republic Law, by the end of the two years after the end of the year of assessment to which the profits refer, will be deemed to have distributed this amount as dividend. Special Contribution for the Defence at 17% will be payable on such deemed dividend to the extent that the shareholders for deemed dividend distribution purposes are Cyprus tax residents and domiciled in Cyprus. The amount of this deemed dividend distribution is reduced by any actual dividend paid out of the profits of the relevant year by the end of the period of two years from the end of the year of assessment to which the profits refer. This Special Contribution for the Defence is paid by the company for the account of the shareholders.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 xml:space="preserve">In September 2011, the Commissioner of the Inland Revenue Department of Cyprus issued Circular 2011/10, which exempted from the </w:t>
      </w:r>
      <w:r>
        <w:rPr>
          <w:rFonts w:eastAsia="Times New Roman" w:asciiTheme="majorHAnsi" w:hAnsiTheme="majorHAnsi" w:cstheme="majorHAnsi"/>
          <w:lang w:val="en-GB" w:eastAsia="ru-RU"/>
        </w:rPr>
        <w:t xml:space="preserve">Special Contribution for the Defence </w:t>
      </w:r>
      <w:r>
        <w:rPr>
          <w:rFonts w:eastAsia="Times New Roman" w:asciiTheme="majorHAnsi" w:hAnsiTheme="majorHAnsi" w:cstheme="majorHAnsi"/>
          <w:lang w:eastAsia="ru-RU"/>
        </w:rPr>
        <w:t>any profits of a company that is tax resident in Cyprus imputed indirectly to shareholders that are themselves tax resident in Cyprus to the extent that these profits are indirectly apportioned to shareholders who are ultimately not Cyprus tax residents.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Further to the above and in view of the provisions of Tax Technical Circular 2016/8, any profits of a Cyprus tax resident company imputed directly or indirectly to shareholders who are Cyprus tax resident but not domiciled in Cyprus should be exempt from Special Contribution for the Defence.</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In 2020 the company has obtained a written confirmation from the Cyprus tax authorities in the form of a tax ruling in which the Cyprus tax authorities accept in writing not to impose any deemed dividend distribution liability since the company is a public entity and it is impossible to identify the final minor shareholders. Therefore, no adverse Deemed Dividend Distribution implications are expected to arise for the company.</w:t>
      </w:r>
    </w:p>
    <w:p w:rsidR="009534E2" w:rsidRDefault="003369EB">
      <w:pPr>
        <w:keepNext/>
        <w:keepLines/>
        <w:spacing w:after="200"/>
        <w:rPr>
          <w:rFonts w:eastAsia="Times New Roman" w:asciiTheme="majorHAnsi" w:hAnsiTheme="majorHAnsi" w:cstheme="majorHAnsi"/>
          <w:bCs/>
        </w:rPr>
      </w:pPr>
      <w:r>
        <w:rPr>
          <w:rFonts w:eastAsia="Times New Roman" w:asciiTheme="majorHAnsi" w:hAnsiTheme="majorHAnsi" w:cstheme="majorHAnsi"/>
          <w:b/>
          <w:bCs/>
          <w:lang w:eastAsia="ru-RU"/>
        </w:rPr>
        <w:t>National Health System (NHS)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szCs w:val="24"/>
          <w:lang w:val="en-GB" w:eastAsia="zh-CN" w:bidi="he-IL"/>
        </w:rPr>
        <w:t xml:space="preserve">A </w:t>
      </w:r>
      <w:r>
        <w:rPr>
          <w:rFonts w:eastAsia="Times New Roman" w:asciiTheme="majorHAnsi" w:hAnsiTheme="majorHAnsi" w:cstheme="majorHAnsi"/>
          <w:lang w:eastAsia="ru-RU"/>
        </w:rPr>
        <w:t>national health system was introduced in Cyprus aiming to provide to the population equal access to a holistic health care system. Contributions relating to the implementation of the NHS started on 1 March 2019 and increased on March 1, 2020.</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NHS contributions apply to various types of income received by an individual in Cyprus irrespective of whether they are domiciled in Cyprus or not. Indicatively, we note that NHS contribution rates for dividend and interest income sourced in Cyprus received by Cyprus tax resident individuals should be 2.65% as from March 1, 2020.</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Taxation of Capital Gains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Cyprus Capital Gains Tax is imposed (when the disposal is not subject to income tax) at the rate of 20% on gains from the disposal of immovable property situated in Cyprus including gains from the disposal of shares in companies which own immovable property in Cyprus (either directly or indirectly), and such shares are not listed in any recognized stock exchange.</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It is unclear whether this exception also applies to disposal of the ADSs.</w:t>
      </w:r>
    </w:p>
    <w:p w:rsidR="009534E2" w:rsidRDefault="003369EB">
      <w:pPr>
        <w:spacing w:after="200"/>
        <w:rPr>
          <w:rFonts w:eastAsia="Times New Roman" w:asciiTheme="majorHAnsi" w:hAnsiTheme="majorHAnsi" w:cstheme="majorHAnsi"/>
          <w:b/>
          <w:bCs/>
          <w:lang w:eastAsia="ru-RU"/>
        </w:rPr>
      </w:pPr>
      <w:r>
        <w:rPr>
          <w:rFonts w:eastAsia="Times New Roman" w:asciiTheme="majorHAnsi" w:hAnsiTheme="majorHAnsi" w:cstheme="majorHAnsi"/>
          <w:b/>
          <w:bCs/>
          <w:lang w:eastAsia="ru-RU"/>
        </w:rPr>
        <w:t>Immovable Property Tax</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Immovable property tax was abolished from 1 January 2017 for the tax year 2017 and for each subsequent year. Immovable property tax continues to be imposed by local authorities.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According to the amended (dated 18 November 2022) Central Agency for Equal Distribution of Burdens (Creation, Objects, Responsibilities, and Other Related Matters) Law, a contribution of 0,4% is imposed on the sale of immovable property located in the areas controlled by the Republic and on the sale of shares in a company that owns such immovable property, provided that the buyer takes control of the company. The law provides the clarification that the responsible body for the collection of the contribution of 0,4% is the Tax Commissioner, who issues a relevant payment certificate upon the transfer of immovable property or the transfer of shares. </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As such, Form T.D. 401 (2022) “Declaration of sale of immovable property” and Form T.D. 402 (2022) “Declaration of sale of shares” have been amended to include the calculation of this contribution. The contribution is not imposed in cases where an immovable property deed of sale has been submitted to the Department of Lands and Surveys, or a form for the transfer of shares has been submitted to the Registrar of Companies and Intellectual Property, with a date of transfer before the 22nd of February 2021 (the effective date of the Central Agency of Equal Burden Distribution Law of 2021).</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The Tax Commissioner has all the powers, responsibilities and obligations, including the imposition of administrative fines and other administrative sanctions, including penalties and additional fees, as specified in the Assessment and Collection of Taxes law, the Collection of Taxes law and the Capital Gains Tax law, as well as for the resolution of any issues that may arise.</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Finally, an announcement was issued by the Tax Department which informs taxpayers that the Tax Commissioner intends to grant a reasonable time period to settle the relevant obligation without imposing interest and penalties for sales pertaining to the period from 22 February 2021 to 18 November 2022.</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Tax Position of Holders of ADSs with Respect to Distributions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There is no express provision in the Special Contribution for the Defence law on the treatment of holders of ADSs with respect to Special Contribution for the Defence on dividends nor is there any specific guidance issued by the Cypriot tax authorities on the point. We are of the view that holders of ADSs will be subject to the same treatment as holders of shares with respect to the liability of Special Contribution for the Defence and income tax on dividends and, therefore, the provision of sections “Taxation of Dividend Income”, “Deemed Dividend Distributions” </w:t>
      </w:r>
      <w:r>
        <w:rPr>
          <w:rFonts w:eastAsia="Times New Roman" w:asciiTheme="majorHAnsi" w:hAnsiTheme="majorHAnsi" w:cstheme="majorHAnsi"/>
          <w:szCs w:val="24"/>
          <w:lang w:val="en-GB" w:eastAsia="zh-CN" w:bidi="he-IL"/>
        </w:rPr>
        <w:t xml:space="preserve">and “National Health System (NHS)” </w:t>
      </w:r>
      <w:r>
        <w:rPr>
          <w:rFonts w:eastAsia="Times New Roman" w:asciiTheme="majorHAnsi" w:hAnsiTheme="majorHAnsi" w:cstheme="majorHAnsi"/>
          <w:lang w:eastAsia="ru-RU"/>
        </w:rPr>
        <w:t>above would apply equally to the holders of ADSs.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Non-Cyprus tax resident holders of ADSs must also consult with their own tax advisors on the tax liabilities arising from ADSs distributions.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Taxation of income and gains</w:t>
      </w:r>
    </w:p>
    <w:p w:rsidR="009534E2" w:rsidRDefault="003369EB">
      <w:pPr>
        <w:keepNext/>
        <w:keepLines/>
        <w:spacing w:after="200"/>
        <w:rPr>
          <w:rFonts w:eastAsia="Times New Roman" w:asciiTheme="majorHAnsi" w:hAnsiTheme="majorHAnsi" w:cstheme="majorHAnsi"/>
          <w:b/>
          <w:bCs/>
          <w:lang w:eastAsia="ru-RU"/>
        </w:rPr>
      </w:pPr>
      <w:r>
        <w:rPr>
          <w:rFonts w:eastAsia="Times New Roman" w:asciiTheme="majorHAnsi" w:hAnsiTheme="majorHAnsi" w:cstheme="majorHAnsi"/>
          <w:b/>
          <w:bCs/>
          <w:lang w:eastAsia="ru-RU"/>
        </w:rPr>
        <w:t>Gains from the disposal of ADSs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In accordance with Article 2 of the Income Tax Law L118(I)/2002 (as amended) the term “titles” is explicitly defined to include shares, bonds, debentures, founders' shares and other securities of companies or other legal persons, incorporated under a law in the Republic of Cyprus or abroad and rights. Therefore, the company’s securities (ADSs) may constitute “titles” based on the understanding that they represent the company’s shares.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Any gain from disposal by a Cyprus tax resident company/individual of securities shall be exempt from corporate income tax irrespective of the trading nature of the gain, the number of shares held or the holding period and shall not be subject to the Cypriot Special Contribution for the Defence. Such gains are also outside of the scope of capital gains tax provided that the company whose shares are disposed of does not own directly or indirectly any immovable property situated in Cyprus or such shares are listed in any recognized stock exchange.</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If the ADSs are considered by the Cyprus tax authorities not qualifying as “titles”, any gain on disposal of ADSs by a Cyprus tax resident company will be subject to corporate income tax at the rate of 12,5% and personal income tax at the progressive rates of 0 - 35% in cases of a gain on disposal by a Cyprus tax resident individual.</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Gains from Intellectual Property (“IP”)</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Since July 1, 2016 a new IP Box regime is available in Cyprus, fully aligned with the OECD/G20 Base Erosion and Profit Shifting (“BEPS”) Action 5 report. Under the new Cyprus IP Box, Cyprus IP companies can achieve an effective tax rate of 2.5% (or less) on qualifying profits earned from exploiting qualifying IP. Non-qualifying incomes are taxable at an effective tax rate of 12.5% (or less).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Tax treatment of the Foreign exchange differences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As of January 1, 2015, Cyprus tax laws provide for all foreign exchange differences to be tax neutral from a Cyprus income tax perspective (i.e. gains are not taxable/losses are not tax deductible) with the exception of foreign exchange gains/losses arising from trading in foreign exchange which remain taxable/deductible. Regarding trading in foreign exchange, which remains subject to tax, the tax payers may irrevocably elect whether to be taxed only upon realization of foreign exchange rather than on an accruals/accounting basis.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Taxation of Interest income</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The tax treatment of interest income of any company which is a tax resident of Cyprus will depend on whether such interest income is treated as “Revenue nature” (subject to corporate income tax) or “Capital nature” (subject to Special Contribution for the Defence Fund). Interest income which consists of interest which has been derived by a company which is a tax resident of Cyprus in the ordinary course of its business and/or interest income closely connected with the ordinary course of its business may be treated as revenue nature and hence will be subject to corporate income tax at the rate of 12.5%, after the deduction of any allowable business expenses. The Special Contribution for the Defence shall not apply to such income. Any other interest income (i.e. of “capital nature” nature), to the contrary, will be subject to the Special Contribution for the Defence at the rate of 30% on the gross amount of interest, corporate income tax shall not apply.</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Specifically, interest income arising from provision of loans to related or associated parties should be generally considered as income arising from activities closely connected with the ordinary course of business and should, as such, be exempt from Special Contribution for the Defence and only be subject to corporate income tax, see provisions of section “Arm’s length principle”.</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Withholding taxes on interest</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No withholding taxes shall apply in Cyprus on interest paid by the company, which is a tax resident in Cyprus, to non-Cyprus tax resident lenders (both corporations and individuals).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On 9 December 2021, the Cyprus Parliament voted to pass into law two bills for amending the Cyprus tax legislation in order to address aggressive tax planning, one of which being the introduction of withholding tax (WHT) on dividend, interest, and royalty payments to countries in Annex I of the EU list of non-cooperative jurisdictions on tax matters (commonly referred to as “the EU blacklist”). On February 14, 2023, Russia was included in “the EU blacklist”. There is no certainty on the amount of tax impacts that may be imposed on QIWI PLC in Cyprus. Specifically, in terms of withholding tax on interest the new legislation provides that WHT at 30% for passive interest paid from Cyprus sources (excluding payments by individuals) to companies in EU blacklisted jurisdictions. Interest payments on instruments quoted on a recognised stock exchange are excluded from the scope of the above.</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above bill is stated to enter into force on 31 December 2022.</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Moreover, no withholding tax shall apply in Cyprus on interest paid by the company, which is a tax resident in Cyprus.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In addition, Cyprus tax resident lenders earning interest accruing from their ordinary course of business or interest income closely connected with the ordinary course of their business should not be subject to Special Defence Contribution.</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Any payment of interest which is not considered as interest accruing from the ordinary course of business or interest income closely connected with the ordinary course of business by the company, which is a tax resident in Cyprus, to Cyprus tax resident lenders (both corporations and individuals) shall be subject to Special Contribution for the Defence at the rate of 30%, whereby the company may be required to withhold such tax from the interest. Depending on the facts and circumstances of the case, the company may not need to act as the withholding agent.</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Tax deductibility of expenses, including interest expense</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The general principle of the Cyprus income tax law is that an expense may be deducted in case it is incurred wholly and exclusively for the production of taxable income.</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The Tax Circular 2008/14 issued by the Cypriot tax authorities provides guidance as to the tax deductibility of expenses incurred in relation to the production of income which is exempt from corporate income tax such as dividend income and profits/ gains on sale of securities. According to that tax circular (i) any expenditure that can be directly or indirectly attributed to income, that is exempt from tax, is not deductible for corporate income tax purposes and cannot be set-off against other (taxable) sources of income; and (ii) any expenditure that is attributable to both taxable and exempt income (i.e. general overheads) should be apportioned based on a gross revenue ratio or based on an asset ratio. The taxpayer should select the most appropriate method and should use this method on a consistent basis.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Interest incurred in connection with acquisition (directly or indirectly) of shares in a 100% owned subsidiary company as of January 1, 2012 (irrespective of the tax residency status of the subsidiary) shall be deductible for Cypriot tax purposes. This would apply provided that the assets of the subsidiary do not include assets not used in the business. However, in case the subsidiary possesses such assets, the deductibility of interest at the level of the holding company is limited only to the amount relevant to assets, used in the business.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rPr>
        <w:t>The Tax Circular 2010/8 issued by the Cypriot tax authorities provides guidance as to the tax deductibility of interest expenses incurred in relation to the assets not used in the business, more specifically it states that interest restriction on the assets not used in the business ceases with the sale of the asset or upon the lapse of 7 years.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Furthermore, notional interest deduction is available starting from January 1, 2015 (See provisions of section “</w:t>
      </w:r>
      <w:r>
        <w:rPr>
          <w:rFonts w:eastAsia="Times New Roman" w:asciiTheme="majorHAnsi" w:hAnsiTheme="majorHAnsi" w:cstheme="majorHAnsi"/>
          <w:i/>
          <w:iCs/>
          <w:lang w:eastAsia="ru-RU"/>
        </w:rPr>
        <w:t>Material Cypriot Tax Considerations – Notional Interest Deduction</w:t>
      </w:r>
      <w:r>
        <w:rPr>
          <w:rFonts w:eastAsia="Times New Roman" w:asciiTheme="majorHAnsi" w:hAnsiTheme="majorHAnsi" w:cstheme="majorHAnsi"/>
          <w:lang w:eastAsia="ru-RU"/>
        </w:rPr>
        <w:t>”).</w:t>
      </w:r>
    </w:p>
    <w:p w:rsidR="009534E2" w:rsidRDefault="003369EB">
      <w:pPr>
        <w:spacing w:after="200"/>
        <w:ind w:firstLine="460"/>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 xml:space="preserve">The provisions of EU Anti-Tax Avoidance Directive (“ATAD”) which was approved by the EU Commission in 2016, has been transposed into Cyprus domestic legislation. </w:t>
      </w:r>
      <w:r>
        <w:rPr>
          <w:rFonts w:eastAsia="Times New Roman" w:asciiTheme="majorHAnsi" w:hAnsiTheme="majorHAnsi" w:cstheme="majorHAnsi"/>
          <w:lang w:eastAsia="ru-RU"/>
        </w:rPr>
        <w:t xml:space="preserve">In accordance with the new provisions introduced in the </w:t>
      </w:r>
      <w:r>
        <w:rPr>
          <w:rFonts w:eastAsia="Times New Roman" w:asciiTheme="majorHAnsi" w:hAnsiTheme="majorHAnsi" w:cstheme="majorHAnsi"/>
          <w:szCs w:val="24"/>
          <w:lang w:val="en-GB" w:eastAsia="zh-CN" w:bidi="he-IL"/>
        </w:rPr>
        <w:t xml:space="preserve">Article 11(16) of the Income Tax Law L.118(1)/2002 as amended, </w:t>
      </w:r>
      <w:r>
        <w:rPr>
          <w:rFonts w:eastAsia="Times New Roman" w:asciiTheme="majorHAnsi" w:hAnsiTheme="majorHAnsi" w:cstheme="majorHAnsi"/>
          <w:lang w:eastAsia="ru-RU"/>
        </w:rPr>
        <w:t xml:space="preserve">Interest Limitations Rules have been introduced in Cyprus </w:t>
      </w:r>
      <w:r>
        <w:rPr>
          <w:rFonts w:eastAsia="Times New Roman" w:asciiTheme="majorHAnsi" w:hAnsiTheme="majorHAnsi" w:cstheme="majorHAnsi"/>
          <w:szCs w:val="24"/>
          <w:lang w:val="en-GB" w:eastAsia="zh-CN" w:bidi="he-IL"/>
        </w:rPr>
        <w:t xml:space="preserve">with effect as from January 1, 2019 </w:t>
      </w:r>
      <w:r>
        <w:rPr>
          <w:rFonts w:eastAsia="Times New Roman" w:asciiTheme="majorHAnsi" w:hAnsiTheme="majorHAnsi" w:cstheme="majorHAnsi"/>
          <w:lang w:eastAsia="ru-RU"/>
        </w:rPr>
        <w:t>in compliance with the ATAD Directive</w:t>
      </w:r>
      <w:r>
        <w:rPr>
          <w:rFonts w:eastAsia="Times New Roman" w:asciiTheme="majorHAnsi" w:hAnsiTheme="majorHAnsi" w:cstheme="majorHAnsi"/>
          <w:szCs w:val="24"/>
          <w:lang w:val="en-GB" w:eastAsia="zh-CN" w:bidi="he-IL"/>
        </w:rPr>
        <w:t xml:space="preserve"> (See provisions of section “</w:t>
      </w:r>
      <w:r>
        <w:rPr>
          <w:rFonts w:eastAsia="Times New Roman" w:asciiTheme="majorHAnsi" w:hAnsiTheme="majorHAnsi" w:cstheme="majorHAnsi"/>
          <w:i/>
          <w:szCs w:val="24"/>
          <w:lang w:val="en-GB" w:eastAsia="zh-CN" w:bidi="he-IL"/>
        </w:rPr>
        <w:t>Material Cypriot Tax Considerations – EU Anti-Tax Avoidance Directive (“ATAD”)</w:t>
      </w:r>
      <w:r>
        <w:rPr>
          <w:rFonts w:eastAsia="Times New Roman" w:asciiTheme="majorHAnsi" w:hAnsiTheme="majorHAnsi" w:cstheme="majorHAnsi"/>
          <w:szCs w:val="24"/>
          <w:lang w:val="en-GB" w:eastAsia="zh-CN" w:bidi="he-IL"/>
        </w:rPr>
        <w:t>”).</w:t>
      </w:r>
    </w:p>
    <w:p w:rsidR="009534E2" w:rsidRDefault="003369EB">
      <w:pPr>
        <w:keepNext/>
        <w:keepLines/>
        <w:spacing w:after="200"/>
        <w:rPr>
          <w:rFonts w:eastAsia="Times New Roman" w:asciiTheme="majorHAnsi" w:hAnsiTheme="majorHAnsi" w:cstheme="majorHAnsi"/>
          <w:b/>
          <w:bCs/>
          <w:lang w:eastAsia="ru-RU"/>
        </w:rPr>
      </w:pPr>
      <w:r>
        <w:rPr>
          <w:rFonts w:eastAsia="Times New Roman" w:asciiTheme="majorHAnsi" w:hAnsiTheme="majorHAnsi" w:cstheme="majorHAnsi"/>
          <w:b/>
          <w:bCs/>
          <w:lang w:eastAsia="ru-RU"/>
        </w:rPr>
        <w:t>Notional Interest Deduction</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Effectively from January 1, 2015, Cyprus tax legislation provides for Notional Interest Deduction (NID) under which the Cyprus companies that have issued additional share capital starting from January 1, 2015 and afterwards will have the benefit of a notional interest that will be deducted from their taxable income for each tax year. As per the legislation, the NID is calculated on “new equity” introduced in the company as from January 1, 2015. The NID is calculated as follows: New Equity x NID rate.</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“New equity” is considered to consist of paid-up share capital of any class (ordinary, preference, redeemable, convertible shares), paid in cash or in kind, and share premium which have been issued and settled as from January 1, 2015 and that is available for the period during which the new equity is in issue.</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As per the Cyprus legislation the NID interest rate is the yield on 10-year government bonds (as at December 31 of the prior tax year) of the country where the funds are employed plus a 5.0% premium, with no minimum rate. The NID deduction cannot exceed 80% of the taxable profit as calculated before NID. A scheduling approach is expected to be followed – it is applied by reference to the taxable profits that are generated from assets/activities that are financed by the “new equity” on which the NID is calculated as per the Tax Technical Circular issued by the Cyprus tax authorities.</w:t>
      </w:r>
    </w:p>
    <w:p w:rsidR="009534E2" w:rsidRDefault="003369EB">
      <w:pPr>
        <w:keepNext/>
        <w:keepLines/>
        <w:spacing w:after="200"/>
        <w:rPr>
          <w:rFonts w:eastAsia="Times New Roman" w:asciiTheme="majorHAnsi" w:hAnsiTheme="majorHAnsi" w:cstheme="majorHAnsi"/>
          <w:b/>
          <w:bCs/>
          <w:lang w:eastAsia="ru-RU"/>
        </w:rPr>
      </w:pPr>
      <w:r>
        <w:rPr>
          <w:rFonts w:eastAsia="Times New Roman" w:asciiTheme="majorHAnsi" w:hAnsiTheme="majorHAnsi" w:cstheme="majorHAnsi"/>
          <w:b/>
          <w:bCs/>
          <w:lang w:eastAsia="ru-RU"/>
        </w:rPr>
        <w:t>Thin Capitalisation rules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No thin capitalisation rules apply in Cyprus.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Arm’s length principle</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Under Article 33 of the Cyprus Income Tax Law or the arm’s length principle requires that all transactions between related parties should be carried out on an arm’s length basis, being at fair values and on normal commercial terms.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More specifically, under the arm’s length principle, where conditions are made or imposed upon the commercial or financial relations of two related parties which differ from those which would have been made between independent parties, any profits which would have accrued to one of the parties had the two parties been independent, but have not so accrued, may be included in the profits of that party and taxed accordingly. The amendment to the income tax law, effective as of January 1, 2015, extends the arm’s length principle by introducing the possibility of, in cases where two related Cyprus tax residents transact and the Cyprus tax authorities make an upward arm’s length adjustment to one of them, effecting a corresponding downwards adjustment to the other one.</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On June 30, 2017 the Cyprus tax authorities issued a tax technical circular (Circular) providing guidance for the tax treatment of intra-group financing transactions (IGFTs). The Circular effective as from July 1, 2017 closely follows the application of the arm’s length principle of the OECD Transfer Pricing Guidelines and it applies for all relevant existing and future IGFTs. In this respect, the remuneration on all IGFTs should be supported by a transfer pricing study in order to be accepted by the Cyprus tax authorities.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IGFTs for the purposes of the Circular are defined as (i) any activity relating to granting of loans or cash advances to related companies that is or should be remunerated by interest; and (ii) such activity is financed by financial means and instruments, such as debentures, private loans, cash advances and bank loans.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The Circular requires that the transfer pricing study should be prepared by independent experts and will have to be based on the relevant OECD standards for the purposes of (i) describing (delineating) the IGFT by performing a comparability analysis based on the functional and risk profile of the company; and (ii) determining the applicable arm’s length remuneration by performing an economic analysis.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Under certain conditions and assuming minimum substance requirements, taxpayers carrying out a purely intermediary intra-group financing activity may opt for the application of a Simplification Measure (resulting in a minimum 2% after-tax return on assets, meaning circa minimum 2.285% pre-tax return on assets).</w:t>
      </w:r>
    </w:p>
    <w:p w:rsidR="009534E2" w:rsidRDefault="003369EB">
      <w:pPr>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On 30 June 2022 the Cyprus Parliament passed a law introducing detailed transfer pricing legislation, with effect from 1 January 2022, explicitly incorporating the OECD Transfer Pricing Guidelines under legislation in Cyprus.</w:t>
      </w:r>
    </w:p>
    <w:p w:rsidR="009534E2" w:rsidRDefault="003369EB">
      <w:pPr>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As a result, the Transfer Pricing rules are legislatively implemented and it is now a requirement to justify full compliance with the arm’s length principle on controlled transactions through appropriate documentation.</w:t>
      </w:r>
    </w:p>
    <w:p w:rsidR="009534E2" w:rsidRDefault="003369EB">
      <w:pPr>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In summary, article 33 of the Income Tax Law was amended as follows:</w:t>
      </w:r>
    </w:p>
    <w:p w:rsidR="009534E2" w:rsidRDefault="003369EB">
      <w:pPr>
        <w:spacing w:after="200"/>
        <w:ind w:left="1181" w:hanging="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1</w:t>
      </w:r>
      <w:r>
        <w:rPr>
          <w:rFonts w:eastAsia="Times New Roman" w:asciiTheme="majorHAnsi" w:hAnsiTheme="majorHAnsi" w:cstheme="majorHAnsi"/>
          <w:szCs w:val="24"/>
          <w:lang w:val="en-GB" w:eastAsia="zh-CN" w:bidi="he-IL"/>
        </w:rPr>
        <w:tab/>
        <w:t>Stipulation that the arm’s-length principle will be interpreted in accordance with the OECD TP Guidelines as amended from time-to-time;</w:t>
      </w:r>
    </w:p>
    <w:p w:rsidR="009534E2" w:rsidRDefault="003369EB">
      <w:pPr>
        <w:spacing w:after="200"/>
        <w:ind w:left="1181" w:hanging="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2</w:t>
      </w:r>
      <w:r>
        <w:rPr>
          <w:rFonts w:eastAsia="Times New Roman" w:asciiTheme="majorHAnsi" w:hAnsiTheme="majorHAnsi" w:cstheme="majorHAnsi"/>
          <w:szCs w:val="24"/>
          <w:lang w:val="en-GB" w:eastAsia="zh-CN" w:bidi="he-IL"/>
        </w:rPr>
        <w:tab/>
        <w:t>Introduction of the provisions relating to the application of the OECD TP Guidelines, the content of the TP Documentation File (Local and Master Files) and the Summary Information Table (SIT) and the documentation methods for intercompany transactions.</w:t>
      </w:r>
    </w:p>
    <w:p w:rsidR="009534E2" w:rsidRDefault="003369EB">
      <w:pPr>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 xml:space="preserve">The transfer pricing law and regulations cover all types of transactions between related parties in excess of €750.000 per category of transactions. </w:t>
      </w:r>
    </w:p>
    <w:p w:rsidR="009534E2" w:rsidRDefault="003369EB">
      <w:pPr>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 xml:space="preserve">Transfer pricing documentation would have to be provided for all related party transactions entered by Cyprus resident companies and foreign entities operating through a permanent establishment in Cyprus, subject to certain exemptions. </w:t>
      </w:r>
    </w:p>
    <w:p w:rsidR="009534E2" w:rsidRDefault="003369EB">
      <w:pPr>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The law provides for two types of requirements for tax residents in Cyprus:</w:t>
      </w:r>
    </w:p>
    <w:p w:rsidR="009534E2" w:rsidRDefault="003369EB">
      <w:pPr>
        <w:spacing w:after="200"/>
        <w:ind w:left="1181" w:hanging="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i.</w:t>
      </w:r>
      <w:r>
        <w:rPr>
          <w:rFonts w:eastAsia="Times New Roman" w:asciiTheme="majorHAnsi" w:hAnsiTheme="majorHAnsi" w:cstheme="majorHAnsi"/>
          <w:szCs w:val="24"/>
          <w:lang w:val="en-GB" w:eastAsia="zh-CN" w:bidi="he-IL"/>
        </w:rPr>
        <w:tab/>
        <w:t>To submit a summary information table which includes intercompany transactions, general information about the group, the profile of the business and the transfer pricing method used;</w:t>
      </w:r>
    </w:p>
    <w:p w:rsidR="009534E2" w:rsidRDefault="003369EB">
      <w:pPr>
        <w:spacing w:after="200"/>
        <w:ind w:left="1181" w:hanging="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ii.</w:t>
      </w:r>
      <w:r>
        <w:rPr>
          <w:rFonts w:eastAsia="Times New Roman" w:asciiTheme="majorHAnsi" w:hAnsiTheme="majorHAnsi" w:cstheme="majorHAnsi"/>
          <w:szCs w:val="24"/>
          <w:lang w:val="en-GB" w:eastAsia="zh-CN" w:bidi="he-IL"/>
        </w:rPr>
        <w:tab/>
        <w:t>To prepare a transfer pricing study to justify compliance with the arm’s length principle and to maintain Transfer pricing Documentation Files (Local and Master Files) subject to a small size exemption. The small size exemption applies when the controlled transactions cumulatively, per category, do not exceed EUR 750,000 per tax year.</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We cannot exclude that the Cyprus Tax Authorities may challenge the arm’s length principle applied to transactions with our related parties and therefore additional tax liabilities may accrue. If additional taxes are assessed with this respect, they could have a material adverse effect on our business, financial conditions and results of operations.</w:t>
      </w:r>
    </w:p>
    <w:p w:rsidR="009534E2" w:rsidRDefault="003369EB">
      <w:pPr>
        <w:keepNext/>
        <w:keepLines/>
        <w:spacing w:after="200"/>
        <w:rPr>
          <w:rFonts w:eastAsia="Times New Roman" w:asciiTheme="majorHAnsi" w:hAnsiTheme="majorHAnsi" w:cstheme="majorHAnsi"/>
          <w:b/>
          <w:bCs/>
          <w:lang w:eastAsia="ru-RU"/>
        </w:rPr>
      </w:pPr>
      <w:r>
        <w:rPr>
          <w:rFonts w:eastAsia="Times New Roman" w:asciiTheme="majorHAnsi" w:hAnsiTheme="majorHAnsi" w:cstheme="majorHAnsi"/>
          <w:b/>
          <w:bCs/>
          <w:lang w:eastAsia="ru-RU"/>
        </w:rPr>
        <w:t>Minimum Flat Registration Fee</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Capital duty has been abolished by the Council of Ministers with effective date as from December 18, 2018. As a result, no capital duty is payable to the Registrar of Companies in respect of the registered authorized share capital of a Cypriot company upon its incorporation and upon its subsequent increases thereon, other than minimal flat registration fees payable to the Registrar of Companies.</w:t>
      </w:r>
    </w:p>
    <w:p w:rsidR="009534E2" w:rsidRDefault="003369EB">
      <w:pPr>
        <w:keepNext/>
        <w:keepLines/>
        <w:spacing w:after="200"/>
        <w:rPr>
          <w:rFonts w:eastAsia="Times New Roman" w:asciiTheme="majorHAnsi" w:hAnsiTheme="majorHAnsi" w:cstheme="majorHAnsi"/>
          <w:b/>
          <w:bCs/>
          <w:lang w:eastAsia="ru-RU"/>
        </w:rPr>
      </w:pPr>
      <w:r>
        <w:rPr>
          <w:rFonts w:eastAsia="Times New Roman" w:asciiTheme="majorHAnsi" w:hAnsiTheme="majorHAnsi" w:cstheme="majorHAnsi"/>
          <w:b/>
          <w:bCs/>
          <w:lang w:eastAsia="ru-RU"/>
        </w:rPr>
        <w:t>Base Erosion and Profit Shifting (“BEPS”) Action Plan</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The recommendations of the BEPS Action Plan led by the Organization for Economic Cooperation and Development (“OECD”) contains action points aimed to tackle concerns over base erosion and profit shifting by addressing perceived flaws in international tax rules such as tax avoidance, improve the coherence of international tax rules and ensure a more transparent tax environment.</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Cyprus is not a member of the OECD but follows the OECD and EU relevant initiatives. As an EU member state Cyprus adopts and applies the relevant EU Directives.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In short, the EU Anti-Tax Avoidance Directive (the provisions of which are outlined below) will be adopted and tackles measures of Actions 2, 3 and 4 of the BEPS Project.</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lang w:eastAsia="ru-RU"/>
        </w:rPr>
        <w:t>EU Anti-Tax Avoidance Directive (“ATAD”)</w:t>
      </w:r>
    </w:p>
    <w:p w:rsidR="009534E2" w:rsidRDefault="003369EB">
      <w:pPr>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On April 25, 2019, further to the publication of Law 63(I)/2019, the provisions of the EU Anti-Tax Avoidance Directive (ATAD EU 2016/1164) of July 2016 were transposed into the Cyprus domestic law. The Law transposes three ATAD measures in the Cypriot law; interest limitation, a general anti-abuse rule (GAAR) and rules concerning controlled foreign companies (CFC). An overview of these three provisions, which will apply retroactively as from January 1, 2019, is set out below.</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szCs w:val="24"/>
          <w:lang w:val="en-GB" w:eastAsia="zh-CN" w:bidi="he-IL"/>
        </w:rPr>
        <w:t>The remaining measures of the EU Anti-Tax Avoidance Directive (ATAD1 and ATAD2) include the rules on exit taxation have been implemented and regarding the hybrid mismatches, have an effective date of January 1, 2020, except for the rules on reverse hybrid mismatches, which are to apply from January 1, 2022.</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i/>
          <w:lang w:eastAsia="ru-RU"/>
        </w:rPr>
        <w:t>Interest limitation rule</w:t>
      </w:r>
    </w:p>
    <w:p w:rsidR="009534E2" w:rsidRDefault="003369EB">
      <w:pPr>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The interest limitation rule requires that the Exceeding Borrowing Cost (EBC) (which refers to the amount by which deductible interest expense exceeds the taxable interest income) shall be deductible only up to 30% of the taxpayer’s adjusted taxable profit before interest, tax, depreciation and amortisation (i.e. taxable EBITDA).</w:t>
      </w:r>
    </w:p>
    <w:p w:rsidR="009534E2" w:rsidRDefault="003369EB">
      <w:pPr>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There are certain exemptions to the rule including a de minimis threshold of three million euro (EUR 3,000,000) per fiscal year. In addition, standalone entities are excluded from the limitation rule. Moreover, grandfathering has been provided for loans concluded before June 17, 2016. Finally, a group equity ‘escape’ clause is provided, allowing a Cyprus resident company that is part of a consolidated group for financial reporting purposes, to opt to fully deduct its EBCs, provided that the ratio of its equity over its total assets is equal to (or even up to 2% lower) or higher than the equivalent ratio of the group.</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szCs w:val="24"/>
          <w:lang w:val="en-GB" w:eastAsia="zh-CN" w:bidi="he-IL"/>
        </w:rPr>
        <w:t>In addition, should a Cyprus company belong to a Cyprus group as defined in the Cyprus tax legislation, the main rule and the de minimis rule apply to the Cyprus group as one taxpayer.</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i/>
          <w:lang w:eastAsia="ru-RU"/>
        </w:rPr>
        <w:t>Controlled Foreign Company (CFC) rule:</w:t>
      </w:r>
    </w:p>
    <w:p w:rsidR="009534E2" w:rsidRDefault="003369EB">
      <w:pPr>
        <w:keepNext/>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A foreign entity is considered a CFC when the following conditions are satisfied:</w:t>
      </w:r>
    </w:p>
    <w:p w:rsidR="009534E2" w:rsidRDefault="003369EB">
      <w:pPr>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 xml:space="preserve">(i) </w:t>
      </w:r>
      <w:r>
        <w:rPr>
          <w:rFonts w:eastAsia="Times New Roman" w:asciiTheme="majorHAnsi" w:hAnsiTheme="majorHAnsi" w:cstheme="majorHAnsi"/>
          <w:lang w:eastAsia="ru-RU"/>
        </w:rPr>
        <w:t xml:space="preserve">in the case of a non-Cyprus tax resident company, </w:t>
      </w:r>
      <w:r>
        <w:rPr>
          <w:rFonts w:eastAsia="Times New Roman" w:asciiTheme="majorHAnsi" w:hAnsiTheme="majorHAnsi" w:cstheme="majorHAnsi"/>
          <w:szCs w:val="24"/>
          <w:lang w:val="en-GB" w:eastAsia="zh-CN" w:bidi="he-IL"/>
        </w:rPr>
        <w:t>the Cyprus tax resident company, either by itself or together with its associated enterprises, holds a direct or indirect participation of more than 50% of the voting rights, or owns directly or indirectly more than 50% of the capital or is entitled to receive more than 50% of the profits of that company; and</w:t>
      </w:r>
    </w:p>
    <w:p w:rsidR="009534E2" w:rsidRDefault="003369EB">
      <w:pPr>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 xml:space="preserve">(ii) the actual corporate tax paid by the company </w:t>
      </w:r>
      <w:r>
        <w:rPr>
          <w:rFonts w:eastAsia="Times New Roman" w:asciiTheme="majorHAnsi" w:hAnsiTheme="majorHAnsi" w:cstheme="majorHAnsi"/>
          <w:lang w:eastAsia="ru-RU"/>
        </w:rPr>
        <w:t xml:space="preserve">(or exempt PE) </w:t>
      </w:r>
      <w:r>
        <w:rPr>
          <w:rFonts w:eastAsia="Times New Roman" w:asciiTheme="majorHAnsi" w:hAnsiTheme="majorHAnsi" w:cstheme="majorHAnsi"/>
          <w:szCs w:val="24"/>
          <w:lang w:val="en-GB" w:eastAsia="zh-CN" w:bidi="he-IL"/>
        </w:rPr>
        <w:t xml:space="preserve">on its profits is lower than 50% of the corporate tax that would have been charged on the company </w:t>
      </w:r>
      <w:r>
        <w:rPr>
          <w:rFonts w:eastAsia="Times New Roman" w:asciiTheme="majorHAnsi" w:hAnsiTheme="majorHAnsi" w:cstheme="majorHAnsi"/>
          <w:lang w:eastAsia="ru-RU"/>
        </w:rPr>
        <w:t xml:space="preserve">(or exempt PE) </w:t>
      </w:r>
      <w:r>
        <w:rPr>
          <w:rFonts w:eastAsia="Times New Roman" w:asciiTheme="majorHAnsi" w:hAnsiTheme="majorHAnsi" w:cstheme="majorHAnsi"/>
          <w:szCs w:val="24"/>
          <w:lang w:val="en-GB" w:eastAsia="zh-CN" w:bidi="he-IL"/>
        </w:rPr>
        <w:t>under the applicable corporate tax system in Cyprus, had it been Cyprus tax resident.</w:t>
      </w:r>
    </w:p>
    <w:p w:rsidR="009534E2" w:rsidRDefault="003369EB">
      <w:pPr>
        <w:keepNext/>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 xml:space="preserve">In cases where a non-Cyprus tax resident company </w:t>
      </w:r>
      <w:r>
        <w:rPr>
          <w:rFonts w:eastAsia="Times New Roman" w:asciiTheme="majorHAnsi" w:hAnsiTheme="majorHAnsi" w:cstheme="majorHAnsi"/>
          <w:lang w:eastAsia="ru-RU"/>
        </w:rPr>
        <w:t xml:space="preserve">(or exempt PE) </w:t>
      </w:r>
      <w:r>
        <w:rPr>
          <w:rFonts w:eastAsia="Times New Roman" w:asciiTheme="majorHAnsi" w:hAnsiTheme="majorHAnsi" w:cstheme="majorHAnsi"/>
          <w:szCs w:val="24"/>
          <w:lang w:val="en-GB" w:eastAsia="zh-CN" w:bidi="he-IL"/>
        </w:rPr>
        <w:t>is considered a CFC of a Cyprus company, the Cyprus CFC rules provide the following exemptions:</w:t>
      </w:r>
    </w:p>
    <w:p w:rsidR="009534E2" w:rsidRDefault="003369EB">
      <w:pPr>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(a) Realising accounting profits of no more than €750,000 and non-trading income of no more than €75,000; or (b) the accounting profits amount to no more than 10% of its operating costs for the tax period</w:t>
      </w:r>
    </w:p>
    <w:p w:rsidR="009534E2" w:rsidRDefault="003369EB">
      <w:pPr>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There is no definition of what constitutes non-trading income for CFC purposes in the Cyprus tax legislation. The Cyprus CFC rules apply to the undistributed income of a CFC which should be included in the tax base of the Cyprus tax resident parent company to the extent that such income arises from non-genuine arrangements which have been put in place for the essential purpose of obtaining a tax advantage.</w:t>
      </w:r>
    </w:p>
    <w:p w:rsidR="009534E2" w:rsidRDefault="003369EB">
      <w:pPr>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An arrangement or series of arrangements shall be regarded as non-genuine to the extent that the CFC would not own the assets or would not have undertaken the risks which generate all or part of its income, if it were not controlled by the Cyprus tax resident parent, where the significant people functions which are relevant to those assets and risks are carried out and are instrumental in generating the CFC’s income.</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i/>
          <w:lang w:eastAsia="ru-RU"/>
        </w:rPr>
        <w:t>General Anti-Abuse Rule (GAAR):</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GAAR allows the Cyprus tax authorities to ignore non-genuine arrangements where (one of) the main purpose(s) is to obtain a tax advantage that defeats the object or purpose of the relevant provision. Arrangements are regarded as non-genuine to the extent they are not put in place for valid commercial reasons which reflect economic reality.</w:t>
      </w:r>
    </w:p>
    <w:p w:rsidR="009534E2" w:rsidRDefault="003369EB">
      <w:pPr>
        <w:keepNext/>
        <w:keepLines/>
        <w:spacing w:after="200"/>
        <w:rPr>
          <w:rFonts w:eastAsia="Times New Roman" w:asciiTheme="majorHAnsi" w:hAnsiTheme="majorHAnsi" w:cstheme="majorHAnsi"/>
          <w:i/>
          <w:iCs/>
        </w:rPr>
      </w:pPr>
      <w:r>
        <w:rPr>
          <w:rFonts w:eastAsia="Times New Roman" w:asciiTheme="majorHAnsi" w:hAnsiTheme="majorHAnsi" w:cstheme="majorHAnsi"/>
          <w:i/>
          <w:iCs/>
        </w:rPr>
        <w:t xml:space="preserve">Exit taxation: </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The income of a company tax resident in the Republic or of a permanent establishment in the Republic of a company not resident in the Republic as the case may be shall be subject to tax at an amount equal to the market value of the transferred assets, at the time of exit of the assets, less their value for tax purposes, in any of the following circumstances:</w:t>
      </w:r>
    </w:p>
    <w:p w:rsidR="009534E2" w:rsidRDefault="003369EB">
      <w:pPr>
        <w:ind w:left="1181" w:hanging="461"/>
        <w:rPr>
          <w:rFonts w:eastAsia="Times New Roman" w:asciiTheme="majorHAnsi" w:hAnsiTheme="majorHAnsi" w:cstheme="majorHAnsi"/>
        </w:rPr>
      </w:pPr>
      <w:r>
        <w:rPr>
          <w:rFonts w:eastAsia="Times New Roman" w:asciiTheme="majorHAnsi" w:hAnsiTheme="majorHAnsi" w:cstheme="majorHAnsi"/>
        </w:rPr>
        <w:t>(a)</w:t>
      </w:r>
      <w:r>
        <w:rPr>
          <w:rFonts w:eastAsia="Times New Roman" w:asciiTheme="majorHAnsi" w:hAnsiTheme="majorHAnsi" w:cstheme="majorHAnsi"/>
        </w:rPr>
        <w:tab/>
        <w:t>a company resident in the Republic which transfers assets from its head office to its permanent establishment in another member state or in a third country in so far as the Republic no longer has the right to tax the transferred assets due to the transfer;</w:t>
      </w:r>
    </w:p>
    <w:p w:rsidR="009534E2" w:rsidRDefault="003369EB">
      <w:pPr>
        <w:ind w:left="1181" w:hanging="461"/>
        <w:rPr>
          <w:rFonts w:eastAsia="Times New Roman" w:asciiTheme="majorHAnsi" w:hAnsiTheme="majorHAnsi" w:cstheme="majorHAnsi"/>
        </w:rPr>
      </w:pPr>
      <w:r>
        <w:rPr>
          <w:rFonts w:eastAsia="Times New Roman" w:asciiTheme="majorHAnsi" w:hAnsiTheme="majorHAnsi" w:cstheme="majorHAnsi"/>
        </w:rPr>
        <w:t>(b)</w:t>
      </w:r>
      <w:r>
        <w:rPr>
          <w:rFonts w:eastAsia="Times New Roman" w:asciiTheme="majorHAnsi" w:hAnsiTheme="majorHAnsi" w:cstheme="majorHAnsi"/>
        </w:rPr>
        <w:tab/>
        <w:t>a company not resident in the Republic with a permanent establishment in the Republic which transfers assets from its permanent establishment in the Republic to its head office or another permanent establishment in another member state or in a third country in so far as the Republic no longer has the right to tax the transferred assets due to the transfer;</w:t>
      </w:r>
    </w:p>
    <w:p w:rsidR="009534E2" w:rsidRDefault="003369EB">
      <w:pPr>
        <w:ind w:left="1181" w:hanging="461"/>
        <w:rPr>
          <w:rFonts w:eastAsia="Times New Roman" w:asciiTheme="majorHAnsi" w:hAnsiTheme="majorHAnsi" w:cstheme="majorHAnsi"/>
        </w:rPr>
      </w:pPr>
      <w:r>
        <w:rPr>
          <w:rFonts w:eastAsia="Times New Roman" w:asciiTheme="majorHAnsi" w:hAnsiTheme="majorHAnsi" w:cstheme="majorHAnsi"/>
        </w:rPr>
        <w:t>(c)</w:t>
      </w:r>
      <w:r>
        <w:rPr>
          <w:rFonts w:eastAsia="Times New Roman" w:asciiTheme="majorHAnsi" w:hAnsiTheme="majorHAnsi" w:cstheme="majorHAnsi"/>
        </w:rPr>
        <w:tab/>
        <w:t xml:space="preserve">a company resident in the Republic which </w:t>
      </w:r>
      <w:r>
        <w:rPr>
          <w:rFonts w:eastAsia="Times New Roman" w:asciiTheme="majorHAnsi" w:hAnsiTheme="majorHAnsi" w:cstheme="majorHAnsi"/>
          <w:u w:val="single"/>
        </w:rPr>
        <w:t>transfers its tax residence</w:t>
      </w:r>
      <w:r>
        <w:rPr>
          <w:rFonts w:eastAsia="Times New Roman" w:asciiTheme="majorHAnsi" w:hAnsiTheme="majorHAnsi" w:cstheme="majorHAnsi"/>
        </w:rPr>
        <w:t xml:space="preserve"> to another member state or to a third country, those assets which remain effectively connected with a permanent establishment in the Republic after the transfer of the tax residence and for which the Republic retains the right of taxation </w:t>
      </w:r>
      <w:r>
        <w:rPr>
          <w:rFonts w:eastAsia="Times New Roman" w:asciiTheme="majorHAnsi" w:hAnsiTheme="majorHAnsi" w:cstheme="majorHAnsi"/>
          <w:u w:val="single"/>
        </w:rPr>
        <w:t>are not subject to the provisions of this section</w:t>
      </w:r>
      <w:r>
        <w:rPr>
          <w:rFonts w:eastAsia="Times New Roman" w:asciiTheme="majorHAnsi" w:hAnsiTheme="majorHAnsi" w:cstheme="majorHAnsi"/>
        </w:rPr>
        <w:t>;</w:t>
      </w:r>
    </w:p>
    <w:p w:rsidR="009534E2" w:rsidRDefault="003369EB">
      <w:pPr>
        <w:spacing w:after="200"/>
        <w:ind w:left="1181" w:hanging="461"/>
        <w:rPr>
          <w:rFonts w:eastAsia="Times New Roman" w:asciiTheme="majorHAnsi" w:hAnsiTheme="majorHAnsi" w:cstheme="majorHAnsi"/>
        </w:rPr>
      </w:pPr>
      <w:r>
        <w:rPr>
          <w:rFonts w:eastAsia="Times New Roman" w:asciiTheme="majorHAnsi" w:hAnsiTheme="majorHAnsi" w:cstheme="majorHAnsi"/>
        </w:rPr>
        <w:t>(d)</w:t>
      </w:r>
      <w:r>
        <w:rPr>
          <w:rFonts w:eastAsia="Times New Roman" w:asciiTheme="majorHAnsi" w:hAnsiTheme="majorHAnsi" w:cstheme="majorHAnsi"/>
        </w:rPr>
        <w:tab/>
        <w:t>a company not resident in the Republic with a permanent establishment in the Republic which transfers the business carried on by its permanent establishment in the Republic to another member state or to a third country in so far as the Republic no longer has the right to tax the transferred assets due to the transfer.</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We cannot exclude that the Cyprus Tax Authorities may still apply exit tax upon the Company`s domiciliation and therefore additional tax liabilities may accrue. If additional taxes are assessed with this respect, they could have a material adverse effect on our business, financial conditions and results of operations.</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b/>
          <w:lang w:eastAsia="ru-RU"/>
        </w:rPr>
        <w:t>EU Directive on Administrative Cooperation 6 (“DAC 6”)</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On May 25, 2018, the Economic and Financial Affairs Council (ECOFIN) formally adopted the Council Directive amending Directive 2011/16/EU on administrative cooperation in the field of taxation as regards mandatory automatic exchange of information in the field of taxation in relation to reportable cross-border arrangements in order to disclose potentially aggressive tax planning arrangements.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The Directive applies to cross-border arrangements concerning either more than one Member State or a Member State and a third country and sets a two-step disclosure obligation for such arrangements. First by disclosure of the arrangement to the national authorities by those obliged to report and second by automatic exchange of reported information between the national tax authorities of the Member States.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szCs w:val="24"/>
          <w:lang w:eastAsia="zh-CN" w:bidi="he-IL"/>
        </w:rPr>
        <w:t>In March 2021, the Cyprus Parliament approved the draft bill amending the Law on Administrative Cooperation in the Field of Taxation (Law 205(I)/2012) (“AC19 Law”), implementing DAC6. The DAC6 bill is effective from 1 January 2021 and has a retroactive effect, capturing reportable cross-border arrangements made on or after 25 June 2018.</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In October 2021 the Minister of Finance issued a Decree (Decree N. 438/2021) providing guidance to intermediaries and relevant taxpayers on the interpretation and implementation of the key provisions of the AC19 Law in relation to DAC6.</w:t>
      </w:r>
    </w:p>
    <w:p w:rsidR="009534E2" w:rsidRDefault="003369EB">
      <w:pPr>
        <w:keepNext/>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The cross-border arrangements are reportable if:</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(1) one of the “hallmarks” of the Directive is met, and</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(2) avoiding tax is one of the main benefits of the scheme (“main benefit” test).</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Some of the “hallmarks” can make a transaction reportable without meeting the main benefit test.</w:t>
      </w:r>
    </w:p>
    <w:p w:rsidR="009534E2" w:rsidRDefault="003369EB">
      <w:pPr>
        <w:spacing w:after="200"/>
        <w:ind w:firstLine="461"/>
        <w:rPr>
          <w:rFonts w:eastAsia="Times New Roman" w:asciiTheme="majorHAnsi" w:hAnsiTheme="majorHAnsi" w:cstheme="majorHAnsi"/>
          <w:szCs w:val="24"/>
          <w:lang w:eastAsia="zh-CN" w:bidi="he-IL"/>
        </w:rPr>
      </w:pPr>
      <w:r>
        <w:rPr>
          <w:rFonts w:eastAsia="Times New Roman" w:asciiTheme="majorHAnsi" w:hAnsiTheme="majorHAnsi" w:cstheme="majorHAnsi"/>
          <w:lang w:eastAsia="ru-RU"/>
        </w:rPr>
        <w:t xml:space="preserve">The reporting obligation of the arrangements falls on the service providers and other intermediaries, however, in certain cases the obligation to report applies to the taxpayers taking part in the cross-border arrangements themselves. </w:t>
      </w:r>
      <w:r>
        <w:rPr>
          <w:rFonts w:eastAsia="Times New Roman" w:asciiTheme="majorHAnsi" w:hAnsiTheme="majorHAnsi" w:cstheme="majorHAnsi"/>
          <w:szCs w:val="24"/>
          <w:lang w:val="en-GB" w:eastAsia="zh-CN" w:bidi="he-IL"/>
        </w:rPr>
        <w:t xml:space="preserve">The penalties for non-compliance with the provisions on DAC6 set by Cyprus in the bill depend on the nature of the violation and are up to EUR 20,000 per transaction/arrangement. In </w:t>
      </w:r>
      <w:r>
        <w:rPr>
          <w:rFonts w:eastAsia="Times New Roman" w:asciiTheme="majorHAnsi" w:hAnsiTheme="majorHAnsi" w:cstheme="majorHAnsi"/>
          <w:szCs w:val="24"/>
          <w:lang w:eastAsia="zh-CN" w:bidi="he-IL"/>
        </w:rPr>
        <w:t>November 2021, the Cyprus Tax Authorities issued the interpretative Circular 55 providing clarifications in relation to the imposition of DAC6 penalties, including an annual cap on penalties of EUR 120,000 per intermediary or taxpayer and a 50% reduction of administrative penalties in certain cases. The company fully complies with all above DAC6 reporting requirements.</w:t>
      </w:r>
    </w:p>
    <w:p w:rsidR="009534E2" w:rsidRDefault="003369EB">
      <w:pPr>
        <w:keepNext/>
        <w:keepLines/>
        <w:spacing w:after="200"/>
        <w:rPr>
          <w:rFonts w:eastAsia="Times New Roman" w:asciiTheme="majorHAnsi" w:hAnsiTheme="majorHAnsi" w:cstheme="majorHAnsi"/>
          <w:bCs/>
        </w:rPr>
      </w:pPr>
      <w:r>
        <w:rPr>
          <w:rFonts w:eastAsia="Times New Roman" w:asciiTheme="majorHAnsi" w:hAnsiTheme="majorHAnsi" w:cstheme="majorHAnsi"/>
          <w:b/>
          <w:bCs/>
          <w:lang w:eastAsia="ru-RU"/>
        </w:rPr>
        <w:t>Country by Country reporting</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On May 26, 2017 a Decree was issued by the Cyprus Ministry of Finance, which outlines the Country by Country (CbC) reporting requirements for multinational enterprise groups generating consolidated annual turnover exceeding 750 million euros (MNE Group).</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As per the Decree, a CbC report filing obligation arises in Cyprus for a Cyprus tax resident entity that is the ultimate parent entity (UPE) of an MNE Group or has been designated by the MNE Group as the sole substitute of the UPE (under the “surrogate parent” mechanism).</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MNE Groups need to disclose on their CbC report the following data for each tax jurisdiction in which they operate: (i) the amount of revenue, profit before tax, and corporate taxes paid and accrued; (ii) capital, retained earnings and tangible assets, together with the number of employees; (iii) identification of each entity within the group doing business in a particular tax jurisdiction, with a broad indication of its economic activity.</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The format of the CbC report is consistent with the template published by the OECD.</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Furthermore, each Cyprus tax resident constituent entity of an MNE Group should notify, on an annual basis, the Cyprus tax authorities if it is the reporting entity of the MNE Group (i.e. the UPE or surrogate parent). In the case where the entity is not the reporting entity, then it should also notify the Cyprus tax authorities of the details and tax residency of the reporting entity of the Group.</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We do not consider the company to be subject to CbC reporting requirements. However, taking into the consideration the possibility of further developments in Cyprus as well as international legislation, we may become subject to the above requirements.</w:t>
      </w:r>
    </w:p>
    <w:p w:rsidR="009534E2" w:rsidRDefault="003369EB">
      <w:pPr>
        <w:keepNext/>
        <w:keepLines/>
        <w:spacing w:after="200"/>
        <w:rPr>
          <w:rFonts w:eastAsia="Times New Roman" w:asciiTheme="majorHAnsi" w:hAnsiTheme="majorHAnsi" w:cstheme="majorHAnsi"/>
          <w:bCs/>
        </w:rPr>
      </w:pPr>
      <w:r>
        <w:rPr>
          <w:rFonts w:eastAsia="Times New Roman" w:asciiTheme="majorHAnsi" w:hAnsiTheme="majorHAnsi" w:cstheme="majorHAnsi"/>
          <w:b/>
          <w:bCs/>
          <w:lang w:eastAsia="ru-RU"/>
        </w:rPr>
        <w:t>Proposed tax reform</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On 9 December 2021 the Minister of Finance presented to parliament the proposed Cyprus budgetary plan for 2022 and envisaged fiscal policy plan for the next three-year period, including an outline of the government’s vision with respect to a possible reform of the Cyprus tax system.</w:t>
      </w:r>
    </w:p>
    <w:p w:rsidR="009534E2" w:rsidRDefault="003369EB">
      <w:pPr>
        <w:keepNext/>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The exact reform measures will be finalized in 2023 but the following proposals are under discussion:</w:t>
      </w:r>
    </w:p>
    <w:p w:rsidR="009534E2" w:rsidRDefault="003369EB">
      <w:pPr>
        <w:pStyle w:val="ListParagraph"/>
        <w:numPr>
          <w:ilvl w:val="0"/>
          <w:numId w:val="43"/>
        </w:numPr>
        <w:ind w:left="821"/>
        <w:rPr>
          <w:rFonts w:eastAsia="Times New Roman" w:asciiTheme="majorHAnsi" w:hAnsiTheme="majorHAnsi" w:cstheme="majorHAnsi"/>
        </w:rPr>
      </w:pPr>
      <w:r>
        <w:rPr>
          <w:rFonts w:eastAsia="Times New Roman" w:asciiTheme="majorHAnsi" w:hAnsiTheme="majorHAnsi" w:cstheme="majorHAnsi"/>
          <w:lang w:eastAsia="ru-RU"/>
        </w:rPr>
        <w:t>Increase of the corporate tax rate from 12.5% to 15% in line with the OECD Inclusive Framework’s Pillar Two agreement in relation to the setting of a 15% minimum effective global tax rate for ‘large’ corporate groups.</w:t>
      </w:r>
    </w:p>
    <w:p w:rsidR="009534E2" w:rsidRDefault="003369EB">
      <w:pPr>
        <w:pStyle w:val="ListParagraph"/>
        <w:numPr>
          <w:ilvl w:val="0"/>
          <w:numId w:val="43"/>
        </w:numPr>
        <w:ind w:left="821"/>
        <w:rPr>
          <w:rFonts w:eastAsia="Times New Roman" w:asciiTheme="majorHAnsi" w:hAnsiTheme="majorHAnsi" w:cstheme="majorHAnsi"/>
        </w:rPr>
      </w:pPr>
      <w:r>
        <w:rPr>
          <w:rFonts w:eastAsia="Times New Roman" w:asciiTheme="majorHAnsi" w:hAnsiTheme="majorHAnsi" w:cstheme="majorHAnsi"/>
          <w:lang w:eastAsia="ru-RU"/>
        </w:rPr>
        <w:t>The abolition or reduction of Special Defence Contribution on actual and/or deemed distributions of dividends.</w:t>
      </w:r>
    </w:p>
    <w:p w:rsidR="009534E2" w:rsidRDefault="003369EB">
      <w:pPr>
        <w:pStyle w:val="ListParagraph"/>
        <w:numPr>
          <w:ilvl w:val="0"/>
          <w:numId w:val="43"/>
        </w:numPr>
        <w:ind w:left="821"/>
        <w:rPr>
          <w:rFonts w:eastAsia="Times New Roman" w:asciiTheme="majorHAnsi" w:hAnsiTheme="majorHAnsi" w:cstheme="majorHAnsi"/>
          <w:lang w:eastAsia="ru-RU"/>
        </w:rPr>
      </w:pPr>
      <w:r>
        <w:rPr>
          <w:rFonts w:eastAsia="Times New Roman" w:asciiTheme="majorHAnsi" w:hAnsiTheme="majorHAnsi" w:cstheme="majorHAnsi"/>
          <w:lang w:eastAsia="ru-RU"/>
        </w:rPr>
        <w:t>The reduction of Special Defence Contribution on interest income</w:t>
      </w:r>
    </w:p>
    <w:p w:rsidR="009534E2" w:rsidRDefault="003369EB">
      <w:pPr>
        <w:pStyle w:val="ListParagraph"/>
        <w:numPr>
          <w:ilvl w:val="0"/>
          <w:numId w:val="43"/>
        </w:numPr>
        <w:ind w:left="821"/>
        <w:rPr>
          <w:rFonts w:eastAsia="Times New Roman" w:asciiTheme="majorHAnsi" w:hAnsiTheme="majorHAnsi" w:cstheme="majorHAnsi"/>
        </w:rPr>
      </w:pPr>
      <w:r>
        <w:rPr>
          <w:rFonts w:eastAsia="Times New Roman" w:asciiTheme="majorHAnsi" w:hAnsiTheme="majorHAnsi" w:cstheme="majorHAnsi"/>
          <w:lang w:eastAsia="ru-RU"/>
        </w:rPr>
        <w:t>The abolition or reduction of the annual €350 company levy payable to the Registrar of Companies.</w:t>
      </w:r>
    </w:p>
    <w:p w:rsidR="009534E2" w:rsidRDefault="003369EB">
      <w:pPr>
        <w:pStyle w:val="ListParagraph"/>
        <w:numPr>
          <w:ilvl w:val="0"/>
          <w:numId w:val="43"/>
        </w:numPr>
        <w:ind w:left="821"/>
        <w:rPr>
          <w:rFonts w:eastAsia="Times New Roman" w:asciiTheme="majorHAnsi" w:hAnsiTheme="majorHAnsi" w:cstheme="majorHAnsi"/>
        </w:rPr>
      </w:pPr>
      <w:r>
        <w:rPr>
          <w:rFonts w:eastAsia="Times New Roman" w:asciiTheme="majorHAnsi" w:hAnsiTheme="majorHAnsi" w:cstheme="majorHAnsi"/>
          <w:lang w:eastAsia="ru-RU"/>
        </w:rPr>
        <w:t>Introduction of a carbon tax through the gradual increase of taxes on fossil fuels, as well as the imposition of environmental levies to achieve the government's environmental objectives.</w:t>
      </w:r>
    </w:p>
    <w:p w:rsidR="009534E2" w:rsidRDefault="003369EB">
      <w:pPr>
        <w:pStyle w:val="ListParagraph"/>
        <w:numPr>
          <w:ilvl w:val="0"/>
          <w:numId w:val="43"/>
        </w:numPr>
        <w:spacing w:after="200"/>
        <w:ind w:left="821"/>
        <w:rPr>
          <w:rFonts w:eastAsia="Times New Roman" w:asciiTheme="majorHAnsi" w:hAnsiTheme="majorHAnsi" w:cstheme="majorHAnsi"/>
          <w:lang w:eastAsia="ru-RU"/>
        </w:rPr>
      </w:pPr>
      <w:r>
        <w:rPr>
          <w:rFonts w:eastAsia="Times New Roman" w:asciiTheme="majorHAnsi" w:hAnsiTheme="majorHAnsi" w:cstheme="majorHAnsi"/>
          <w:lang w:eastAsia="ru-RU"/>
        </w:rPr>
        <w:t>Adjustment of VAT rates based on the recent EU decision, in particular for products or services related to public health and the green and digital transition.</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rPr>
        <w:t xml:space="preserve">The European </w:t>
      </w:r>
      <w:r>
        <w:rPr>
          <w:rFonts w:eastAsia="Times New Roman" w:asciiTheme="majorHAnsi" w:hAnsiTheme="majorHAnsi" w:cstheme="majorHAnsi"/>
          <w:lang w:eastAsia="ru-RU"/>
        </w:rPr>
        <w:t>Commission</w:t>
      </w:r>
      <w:r>
        <w:rPr>
          <w:rFonts w:eastAsia="Times New Roman" w:asciiTheme="majorHAnsi" w:hAnsiTheme="majorHAnsi" w:cstheme="majorHAnsi"/>
        </w:rPr>
        <w:t xml:space="preserve"> on the 22nd of December 2021 published a legislative proposal for a Directive to be issued, the Third Anti-Tax Avoidance Directive, known as "ATAD 3", or "Un-shell" Directive, which sets forth rules to prevent the misuse of shell companies for tax purposes.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rPr>
        <w:t>The European Commission's proposal indicates that the new rules should be transposed into domestic law by EU Member States by 30 June 2023. Once duly adopted, it is proposed to take effect from 1 January 2024 and, as certain criteria are based on the income and activities of the company in the previous two years, a company's position in the period from 1 January 2022 onwards could be relevant for the proper application of the rules. The Directive lays down a uniform test that will help Member States to identify undertakings that are engaged in an economic activity, but which do not have minimal substance and are misused for the purpose of obtaining tax advantages. Once these minimum substance requirements are not met, the undertaking will be classified as "shell entity" and will sustain certain adverse tax consequences.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With reference to the above section “Material Cypriot Tax Considerations” we cannot exclude the possibility that we might be subject to additional tax liabilities in case the respective Cyprus tax authorities apply different rulings to the transactions carried out by us or in our respect, which could have a material adverse effect on our business, financial condition and results of operations.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United States Federal Income Tax Considerations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The following discussion is a summary of the US federal income tax considerations generally applicable to US Holders (as defined below) of the ownership and disposition of our ADSs or ordinary shares. The discussion addresses only US Holders that hold our ADSs or ordinary shares as “capital assets” (generally, property held for investment) for US federal income tax purposes. The discussion does not discuss all aspects of US federal income  tax considerations that may be relevant to investors in light of their particular circumstances or investors subject to special rules, such as banks and other financial institutions, insurance companies, persons holding our ADSs or shares as part of a “straddle,” “hedge,” “appreciated financial position,” “conversion transaction” or other risk reduction strategy, US expatriates, persons liable for alternative minimum tax, brokers or dealers in securities or currencies, holders whose “functional currency” is not the US dollar, regulated investment companies, real estate investment trusts, partnerships (or any entity or arrangement treated as a partnership for US federal income tax purposes) and other pass-through entities, traders in securities who have elected the mark-to-market method of accounting for their securities, individual retirement accounts or other tax-deferred accounts, holders who acquired shares pursuant to the exercise of an employee stock option or right or otherwise as compensation, tax-exempt entities, and investors who own directly, indirectly through certain non-US entities, or constructively 10% or more of the voting power or value of our aggregate shares outstanding (by vote or value). The following discussion does not address any US state or local or foreign tax considerations, any US federal gift or estate tax or alternative minimum tax considerations, or the Medicare tax on certain net investment income.</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The discussion is based on the laws of the United States, including the Internal Revenue Code of 1986, Treasury regulations promulgated thereunder, judicial decisions, published rulings and administrative pronouncements of the US Internal Revenue Service, or the IRS, and the income tax treaty between the United States and Russia (the “Treaty”), all as in effect at the date of this annual report, and any of which may change, possibly with retroactive effect. The discussion is also based, in part, on representations by the depositary and assumes that each obligation under the depositary agreement and any related agreement will be performed in accordance with its terms. Further, there can be no assurance that the IRS will not challenge any of the considerations described herein.</w:t>
      </w:r>
    </w:p>
    <w:p w:rsidR="009534E2" w:rsidRDefault="003369EB">
      <w:pPr>
        <w:keepNext/>
        <w:keepLines/>
        <w:spacing w:after="200"/>
        <w:ind w:firstLine="460"/>
        <w:rPr>
          <w:rFonts w:eastAsia="Times New Roman" w:asciiTheme="majorHAnsi" w:hAnsiTheme="majorHAnsi" w:cstheme="majorHAnsi"/>
          <w:sz w:val="24"/>
          <w:szCs w:val="24"/>
        </w:rPr>
      </w:pPr>
      <w:r>
        <w:rPr>
          <w:rFonts w:eastAsia="Times New Roman" w:asciiTheme="majorHAnsi" w:hAnsiTheme="majorHAnsi" w:cstheme="majorHAnsi"/>
          <w:b/>
          <w:bCs/>
          <w:lang w:eastAsia="ru-RU"/>
        </w:rPr>
        <w:t>In General</w:t>
      </w:r>
    </w:p>
    <w:p w:rsidR="009534E2" w:rsidRDefault="003369EB">
      <w:pPr>
        <w:keepNext/>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For purposes of this discussion, a “US Holder” is a beneficial owner of our ADSs or ordinary shares that is, for US federal income tax purposes:</w:t>
      </w:r>
    </w:p>
    <w:p w:rsidR="009534E2" w:rsidRDefault="003369EB">
      <w:pPr>
        <w:pStyle w:val="ListParagraph"/>
        <w:numPr>
          <w:ilvl w:val="0"/>
          <w:numId w:val="51"/>
        </w:numPr>
        <w:spacing w:after="200"/>
        <w:ind w:left="821"/>
        <w:rPr>
          <w:rFonts w:eastAsia="Times New Roman" w:asciiTheme="majorHAnsi" w:hAnsiTheme="majorHAnsi" w:cstheme="majorHAnsi"/>
          <w:lang w:eastAsia="ru-RU"/>
        </w:rPr>
      </w:pPr>
      <w:r>
        <w:rPr>
          <w:rFonts w:eastAsia="Times New Roman" w:asciiTheme="majorHAnsi" w:hAnsiTheme="majorHAnsi" w:cstheme="majorHAnsi"/>
          <w:lang w:eastAsia="ru-RU"/>
        </w:rPr>
        <w:t>a citizen or individual resident of the US;</w:t>
      </w:r>
    </w:p>
    <w:p w:rsidR="009534E2" w:rsidRDefault="003369EB">
      <w:pPr>
        <w:pStyle w:val="ListParagraph"/>
        <w:numPr>
          <w:ilvl w:val="0"/>
          <w:numId w:val="51"/>
        </w:numPr>
        <w:spacing w:after="200"/>
        <w:ind w:left="821"/>
        <w:rPr>
          <w:rFonts w:eastAsia="Times New Roman" w:asciiTheme="majorHAnsi" w:hAnsiTheme="majorHAnsi" w:cstheme="majorHAnsi"/>
          <w:sz w:val="24"/>
          <w:szCs w:val="24"/>
        </w:rPr>
      </w:pPr>
      <w:r>
        <w:rPr>
          <w:rFonts w:eastAsia="Times New Roman" w:asciiTheme="majorHAnsi" w:hAnsiTheme="majorHAnsi" w:cstheme="majorHAnsi"/>
          <w:lang w:eastAsia="ru-RU"/>
        </w:rPr>
        <w:t>a corporation for US federal income tax purposes, or other entity treated as a corporation that is created in or organized under the laws of the US, any state thereof or the District of Columbia;</w:t>
      </w:r>
    </w:p>
    <w:p w:rsidR="009534E2" w:rsidRDefault="003369EB">
      <w:pPr>
        <w:pStyle w:val="ListParagraph"/>
        <w:numPr>
          <w:ilvl w:val="0"/>
          <w:numId w:val="51"/>
        </w:numPr>
        <w:spacing w:after="200"/>
        <w:ind w:left="821"/>
        <w:rPr>
          <w:rFonts w:eastAsia="Times New Roman" w:asciiTheme="majorHAnsi" w:hAnsiTheme="majorHAnsi" w:cstheme="majorHAnsi"/>
          <w:sz w:val="24"/>
          <w:szCs w:val="24"/>
        </w:rPr>
      </w:pPr>
      <w:r>
        <w:rPr>
          <w:rFonts w:eastAsia="Times New Roman" w:asciiTheme="majorHAnsi" w:hAnsiTheme="majorHAnsi" w:cstheme="majorHAnsi"/>
          <w:lang w:eastAsia="ru-RU"/>
        </w:rPr>
        <w:t>an estate whose income is subject to US federal income tax regardless of its source; or</w:t>
      </w:r>
    </w:p>
    <w:p w:rsidR="009534E2" w:rsidRDefault="003369EB">
      <w:pPr>
        <w:pStyle w:val="ListParagraph"/>
        <w:numPr>
          <w:ilvl w:val="0"/>
          <w:numId w:val="51"/>
        </w:numPr>
        <w:spacing w:after="200"/>
        <w:ind w:left="821"/>
        <w:rPr>
          <w:rFonts w:eastAsia="Times New Roman" w:asciiTheme="majorHAnsi" w:hAnsiTheme="majorHAnsi" w:cstheme="majorHAnsi"/>
          <w:lang w:eastAsia="ru-RU"/>
        </w:rPr>
      </w:pPr>
      <w:r>
        <w:rPr>
          <w:rFonts w:eastAsia="Times New Roman" w:asciiTheme="majorHAnsi" w:hAnsiTheme="majorHAnsi" w:cstheme="majorHAnsi"/>
          <w:lang w:eastAsia="ru-RU"/>
        </w:rPr>
        <w:t>a trust if either (1) a US court is able to exercise primary supervision over the administration of the trust and one or more US persons have the authority to control all substantial decisions of the trust or (2) the trust has a valid election in effect to be treated as a US person under applicable Treasury regulations.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If a partnership, or an entity or arrangementtreated as a partnership for US federal income tax purposes, holds our ADSs or ordinary shares, the US federal income tax treatment of such partnership and each partner will generally depend on the status and the activities of the partnership and the partner. Partnerships that hold our ADSs or ordinary shares, and partners in such partnerships, should consult their tax advisors regarding the US federal, state and local and non-US tax considerations applicable to them of the ownership and disposition of our ADSs or ordinary shares.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For US federal income tax purposes, US Holders of ADSs generally will be treated as the owners of the ordinary shares represented by the ADSs. Accordingly, except as otherwise noted, the US federal income tax consideration discussed below apply equally to US Holders of ADSs or the underlying ordinary shares.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 xml:space="preserve">Holders should consult their tax advisors regarding the particular tax </w:t>
      </w:r>
      <w:r>
        <w:rPr>
          <w:rFonts w:eastAsia="Times New Roman" w:asciiTheme="majorHAnsi" w:hAnsiTheme="majorHAnsi" w:cstheme="majorHAnsi"/>
          <w:i/>
          <w:iCs/>
          <w:lang w:eastAsia="ru-RU"/>
        </w:rPr>
        <w:t>considerations</w:t>
      </w:r>
      <w:r>
        <w:rPr>
          <w:rFonts w:eastAsia="Times New Roman" w:asciiTheme="majorHAnsi" w:hAnsiTheme="majorHAnsi" w:cstheme="majorHAnsi"/>
          <w:lang w:eastAsia="ru-RU"/>
        </w:rPr>
        <w:t xml:space="preserve"> to them of the ownership and disposition of our ADSs or ordinary shares under the laws of the US (federal, state and local) or any other relevant taxation jurisdiction.</w:t>
      </w:r>
    </w:p>
    <w:p w:rsidR="009534E2" w:rsidRDefault="003369EB">
      <w:pPr>
        <w:keepNext/>
        <w:keepLines/>
        <w:spacing w:after="200"/>
        <w:ind w:firstLine="460"/>
        <w:rPr>
          <w:rFonts w:eastAsia="Times New Roman" w:asciiTheme="majorHAnsi" w:hAnsiTheme="majorHAnsi" w:cstheme="majorHAnsi"/>
          <w:sz w:val="24"/>
          <w:szCs w:val="24"/>
        </w:rPr>
      </w:pPr>
      <w:r>
        <w:rPr>
          <w:rFonts w:eastAsia="Times New Roman" w:asciiTheme="majorHAnsi" w:hAnsiTheme="majorHAnsi" w:cstheme="majorHAnsi"/>
          <w:b/>
          <w:bCs/>
          <w:lang w:eastAsia="ru-RU"/>
        </w:rPr>
        <w:t>Taxation of Distributions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Subject to the discussion under “— Passive Foreign Investment Companies” below, the gross amount of a distribution made by us with respect to the ordinary shares underlying our ADSs, including the full amount of any Cypriot withholding tax thereon, will generally be a dividend for US federal income tax purposes includible in the gross income of a US Holder to the extent paid out of our current or accumulated earnings and profits (as determined for US federal income tax purposes). Such dividends will generally not be eligible for the dividends received deduction allowed to US corporations. Because we do not intend to maintain calculations of our earnings and profits on the basis of US federal income tax principles, US Holders should expect that any distribution paid will generally be reported to them as a “dividend” for US federal income tax purposes.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Individual and other non-corporate US Holders of our ADSs may be subject to tax at the lower capital gains tax rate applicable to “qualified dividend income,” provided that certain conditions are satisfied, including that (1) our ADSs on which dividends are paid are readily tradable on an established securities market in the US, (2) we are not classified as a PFIC nor treated as such with respect to a US Holder (as discussed below) for the taxable year in which the dividend is paid or the preceding taxable year, and certain holding period and other requirements are met. Because of the trading halt imposed on our ADSs and that we believe we were classified as a PFIC for the taxable year ending December 31, 2022, we believe that dividends received on our ADSs will not be eligible for the preferential tax rates applicable to qualified dividend income, although there can be no assurance in this regard. US Holders should consult their tax advisors regarding the application of these rules to them in light of their particular circumstances.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Dividends will be included in a US Holder’s income on the date of the US Holder’s (or in the case of ADSs, the Depository’s) receipt of the dividend. The amount of any dividend income paid in a foreign currency will be the US dollar amount calculated by reference to the exchange rate in effect on the date of receipt, regardless of whether the payment is in fact converted into US dollars. If the dividend is converted into US dollars on the date of receipt, US holders should not be required to recognize foreign currency gain or loss in respect of dividend income. A US Holder may have foreign currency gain or loss if the dividend is converted into US dollars after the date of receipt.</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For US foreign tax credit purposes, dividends received on our ADSs or ordinary shares will generally be treated as income from foreign sources and will generally constitute passive category income. If we are deemed to be a Russian tax resident under Russian tax law, a US Holder may be subject to Russian withholding taxes on such dividends. Subject to certain conditions and limitations, a Treaty-eligible US Holder may be eligible to claim a foreign tax credit in respect of any Russian income taxes paid or withheld with respect to dividends on our ADSs or ordinary shares to the extent such taxes are nonrefundable under the Treaty. Alternatively, a US Holder may elect to deduct such taxes in computing its taxable income for US federal income tax purposes. A US Holder’s election to deduct foreign taxes instead of claiming foreign tax credits applies to all creditable foreign income taxes paid or accrued in the relevant taxable year. The rules regarding foreign tax credits and the deductibility of foreign taxes are complex. All US Holders, whether or not they are Treaty-eligible, should consult their tax advisors regarding the availability of foreign tax credits and the deductibility of foreign taxes in light of their particular circumstances.</w:t>
      </w:r>
    </w:p>
    <w:p w:rsidR="009534E2" w:rsidRDefault="003369EB">
      <w:pPr>
        <w:keepNext/>
        <w:keepLines/>
        <w:spacing w:after="200"/>
        <w:ind w:firstLine="460"/>
        <w:rPr>
          <w:rFonts w:eastAsia="Times New Roman" w:asciiTheme="majorHAnsi" w:hAnsiTheme="majorHAnsi" w:cstheme="majorHAnsi"/>
          <w:sz w:val="24"/>
          <w:szCs w:val="24"/>
        </w:rPr>
      </w:pPr>
      <w:r>
        <w:rPr>
          <w:rFonts w:eastAsia="Times New Roman" w:asciiTheme="majorHAnsi" w:hAnsiTheme="majorHAnsi" w:cstheme="majorHAnsi"/>
          <w:b/>
          <w:bCs/>
          <w:lang w:eastAsia="ru-RU"/>
        </w:rPr>
        <w:t>Sale or Other Disposition of ADSs or Ordinary Shares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 xml:space="preserve">Subject to the discussion under “— </w:t>
      </w:r>
      <w:r>
        <w:rPr>
          <w:rFonts w:eastAsia="Times New Roman" w:asciiTheme="majorHAnsi" w:hAnsiTheme="majorHAnsi" w:cstheme="majorHAnsi"/>
          <w:i/>
          <w:iCs/>
          <w:lang w:eastAsia="ru-RU"/>
        </w:rPr>
        <w:t>Passive Foreign Investment Companies</w:t>
      </w:r>
      <w:r>
        <w:rPr>
          <w:rFonts w:eastAsia="Times New Roman" w:asciiTheme="majorHAnsi" w:hAnsiTheme="majorHAnsi" w:cstheme="majorHAnsi"/>
          <w:lang w:eastAsia="ru-RU"/>
        </w:rPr>
        <w:t>” below, a US Holder will generally recognize capital gain or loss for US federal income tax purposes upon a sale or other disposition of its ADSs or ordinary shares in an amount equal to the difference between the amount realized from such sale or disposition and the US Holder’s adjusted tax basis in such ADSs or ordinary shares. Such capital gain or loss will be long-term capital gain or loss if, on the date of sale or disposition, the US Holder’s holding period in such ADSs or ordinary shares exceed one year at the time of disposition. Individual and other non-corporate US Holders will generally be subject to tax on net long-term capital gains at a lower capital gains tax rate. The deductibility of capital losses is subject to limitations.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As described in “— </w:t>
      </w:r>
      <w:r>
        <w:rPr>
          <w:rFonts w:eastAsia="Times New Roman" w:asciiTheme="majorHAnsi" w:hAnsiTheme="majorHAnsi" w:cstheme="majorHAnsi"/>
          <w:i/>
          <w:iCs/>
          <w:lang w:eastAsia="ru-RU"/>
        </w:rPr>
        <w:t>Russian Tax Considerations Relevant to the Purchase, Ownership and Disposition of the ADSs</w:t>
      </w:r>
      <w:r>
        <w:rPr>
          <w:rFonts w:eastAsia="Times New Roman" w:asciiTheme="majorHAnsi" w:hAnsiTheme="majorHAnsi" w:cstheme="majorHAnsi"/>
          <w:lang w:eastAsia="ru-RU"/>
        </w:rPr>
        <w:t>,” if we are deemed to be a Russian tax resident, gains from the sale or other disposition of our ADSs or ordinary shares may be subject to Russian income tax. Because a US Holder’s gain from the sale or other disposition of ADSs or ordinary shares will generally be US source gain, a US Holder may be unable to claim a credit against its US federal tax liability for any Russian tax on gains. I Alternatively, a US Holder may elect to deduct such taxes in computing its taxable income for US federal income tax purposes. A US Holder’s election to deduct foreign taxes instead of claiming foreign tax credits applies to all creditable foreign income taxes paid or accrued in the relevant taxable year.  US Holders should consult their tax advisors regarding the availability of foreign tax credits and the deductibility of foreign taxes in light of their particular circumstances.The surrender of ADSs in exchange for ordinary shares (or vice versa) will not result in the realization of gain or loss for US federal income tax purposes, and US Holders will not recognize any gain or loss upon such a surrender. A US Holder’s tax basis in withdrawn shares will be the same as such holder’s tax basis in the ADSs surrendered, and the holding period of the shares will include the holder’s holding period for the ADSs.</w:t>
      </w:r>
    </w:p>
    <w:p w:rsidR="009534E2" w:rsidRDefault="003369EB">
      <w:pPr>
        <w:keepNext/>
        <w:keepLines/>
        <w:spacing w:after="200"/>
        <w:ind w:firstLine="461"/>
        <w:rPr>
          <w:rFonts w:eastAsia="Times New Roman" w:asciiTheme="majorHAnsi" w:hAnsiTheme="majorHAnsi" w:cstheme="majorHAnsi"/>
          <w:sz w:val="24"/>
        </w:rPr>
      </w:pPr>
      <w:r>
        <w:rPr>
          <w:rFonts w:eastAsia="Times New Roman" w:asciiTheme="majorHAnsi" w:hAnsiTheme="majorHAnsi" w:cstheme="majorHAnsi"/>
          <w:b/>
          <w:lang w:eastAsia="ru-RU"/>
        </w:rPr>
        <w:t>Passive Foreign Investment Companies</w:t>
      </w:r>
    </w:p>
    <w:p w:rsidR="009534E2" w:rsidRDefault="003369EB">
      <w:pPr>
        <w:spacing w:after="200"/>
        <w:ind w:firstLine="460"/>
        <w:rPr>
          <w:rFonts w:eastAsia="Times New Roman" w:asciiTheme="majorHAnsi" w:hAnsiTheme="majorHAnsi" w:cstheme="majorHAnsi"/>
          <w:sz w:val="24"/>
        </w:rPr>
      </w:pPr>
      <w:r>
        <w:rPr>
          <w:rFonts w:eastAsia="Times New Roman" w:asciiTheme="majorHAnsi" w:hAnsiTheme="majorHAnsi" w:cstheme="majorHAnsi"/>
          <w:szCs w:val="18"/>
          <w:lang w:eastAsia="ru-RU"/>
        </w:rPr>
        <w:t>In general, a publicly traded non-US corporation will be classified as a passive foreign investment company, or PFIC, for US federal income tax purposes, if either (i) 75% or more of its gross income consists of certain types of “passive” income or (ii) 50% or more of the fair market value of its assets (determined on the basis of a quarterly average) produce or are held for the production of passive income. For this purpose, cash is generally categorized as a passive asset and our unbooked intangibles will be taken into account and generally treated as non-passive assets. We will be treated as owning a proportionate share of the assets and earning our proportionate share of the income of any other corporation in which we own, directly or indirectly, 25% or more (by value) of the shares.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As a publicly traded foreign corporation, for this purpose, we generally treat the aggregate fair market value of our gross assets as being equal to the aggregate value of our outstanding stock (“market capitalization”) plus the total amount of our liabilities and to treat the excess of the fair market value of our assets over their book value as a nonpassive asset to the extent attributable to our nonpassive income. In prior years, we have relied on the presence of goodwill to avoid being classified as a PFIC; however, a decline in the price of our ADSs during 2022 has resulted in such goodwill declining significantly. We currently hold a substantial amount of cash and cash equivalents and other passive assets used in our business and the value of our gross assets is likely to be determined in large part by reference to our market capitalization. We maintain such substantial amounts of cash and cash equivalents in order to comply with certain Russian banking regulations. Our cash and cash equivalents are not maintained in such a manner that they can be treated as active assets for purposes of the PFIC tests.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As such, we believe that we were classified as a PFIC for the taxable year ended December 31, 2022. Our status as a PFIC in any year depends on the composition of our income and assets and our activities in that year. Because PFIC status is factual in nature, is determined annually and generally cannot be determined until the close of the taxable year, there can be no assurance regarding our PFIC status for any taxable year.</w:t>
      </w:r>
    </w:p>
    <w:p w:rsidR="009534E2" w:rsidRDefault="003369EB">
      <w:pPr>
        <w:spacing w:after="200"/>
        <w:ind w:firstLine="460"/>
        <w:rPr>
          <w:rFonts w:eastAsia="Times New Roman" w:asciiTheme="majorHAnsi" w:hAnsiTheme="majorHAnsi" w:cstheme="majorHAnsi"/>
          <w:szCs w:val="18"/>
          <w:lang w:eastAsia="ru-RU"/>
        </w:rPr>
      </w:pPr>
      <w:r>
        <w:rPr>
          <w:rFonts w:eastAsia="Times New Roman" w:asciiTheme="majorHAnsi" w:hAnsiTheme="majorHAnsi" w:cstheme="majorHAnsi"/>
          <w:szCs w:val="18"/>
          <w:lang w:eastAsia="ru-RU"/>
        </w:rPr>
        <w:t>If we are classified as a PFIC for the taxable year ended December 31, 2022 , the US Holder will generally be subject to special tax rules with respect to any “excess distribution” that such holder receives on the shares and any gain such holder realizes from a sale or other disposition (including a pledge) of the shares, unless such holder makes a “mark-to-market” election as discussed below. Distributions received by a US Holder in a taxable year that are greater than 125% of the average annual distributions such holder received during the shorter of the three preceding taxable years or such holder’s holding period for the shares will be treated as an excess distribution. Under these special tax rules:</w:t>
      </w:r>
    </w:p>
    <w:p w:rsidR="009534E2" w:rsidRDefault="003369EB">
      <w:pPr>
        <w:pStyle w:val="ListParagraph"/>
        <w:numPr>
          <w:ilvl w:val="0"/>
          <w:numId w:val="44"/>
        </w:numPr>
        <w:spacing w:after="200"/>
        <w:ind w:left="821"/>
        <w:rPr>
          <w:rFonts w:eastAsia="Times New Roman" w:asciiTheme="majorHAnsi" w:hAnsiTheme="majorHAnsi" w:cstheme="majorHAnsi"/>
          <w:szCs w:val="18"/>
        </w:rPr>
      </w:pPr>
      <w:r>
        <w:rPr>
          <w:rFonts w:eastAsia="Times New Roman" w:asciiTheme="majorHAnsi" w:hAnsiTheme="majorHAnsi" w:cstheme="majorHAnsi"/>
          <w:szCs w:val="18"/>
        </w:rPr>
        <w:t>the excess distribution or gain will be allocated ratably over the US Holder’s holding period for the shares;</w:t>
      </w:r>
    </w:p>
    <w:p w:rsidR="009534E2" w:rsidRDefault="003369EB">
      <w:pPr>
        <w:pStyle w:val="ListParagraph"/>
        <w:numPr>
          <w:ilvl w:val="0"/>
          <w:numId w:val="44"/>
        </w:numPr>
        <w:spacing w:after="200"/>
        <w:ind w:left="821"/>
        <w:rPr>
          <w:rFonts w:eastAsia="Times New Roman" w:asciiTheme="majorHAnsi" w:hAnsiTheme="majorHAnsi" w:cstheme="majorHAnsi"/>
          <w:szCs w:val="18"/>
        </w:rPr>
      </w:pPr>
      <w:r>
        <w:rPr>
          <w:rFonts w:eastAsia="Times New Roman" w:asciiTheme="majorHAnsi" w:hAnsiTheme="majorHAnsi" w:cstheme="majorHAnsi"/>
          <w:szCs w:val="18"/>
        </w:rPr>
        <w:t>amounts allocated to the current taxable year and any taxable years in the US Holder’s holding period prior to the first taxable year in which we are classified as a PFIC (each, a “pre-PFIC year”) will be subject to tax as ordinary income; and</w:t>
      </w:r>
    </w:p>
    <w:p w:rsidR="009534E2" w:rsidRDefault="003369EB">
      <w:pPr>
        <w:pStyle w:val="ListParagraph"/>
        <w:numPr>
          <w:ilvl w:val="0"/>
          <w:numId w:val="44"/>
        </w:numPr>
        <w:spacing w:after="200"/>
        <w:ind w:left="821"/>
        <w:rPr>
          <w:rFonts w:eastAsia="Times New Roman" w:asciiTheme="majorHAnsi" w:hAnsiTheme="majorHAnsi" w:cstheme="majorHAnsi"/>
          <w:szCs w:val="18"/>
        </w:rPr>
      </w:pPr>
      <w:r>
        <w:rPr>
          <w:rFonts w:eastAsia="Times New Roman" w:asciiTheme="majorHAnsi" w:hAnsiTheme="majorHAnsi" w:cstheme="majorHAnsi"/>
          <w:szCs w:val="18"/>
        </w:rPr>
        <w:t>amounts allocated to each prior taxable year, other than the current taxable year or a pre-PFIC year, will be subject to tax at the highest tax rate in effect applicable to the US Holder for that year, and such amounts will be increased by an additional tax equal to interest on the resulting tax deemed deferred with respect to such years.</w:t>
      </w:r>
    </w:p>
    <w:p w:rsidR="009534E2" w:rsidRDefault="003369EB">
      <w:pPr>
        <w:spacing w:after="200"/>
        <w:ind w:firstLine="461"/>
        <w:rPr>
          <w:rFonts w:eastAsia="Times New Roman" w:asciiTheme="majorHAnsi" w:hAnsiTheme="majorHAnsi" w:cstheme="majorHAnsi"/>
          <w:sz w:val="24"/>
        </w:rPr>
      </w:pPr>
      <w:r>
        <w:rPr>
          <w:rFonts w:eastAsia="Times New Roman" w:asciiTheme="majorHAnsi" w:hAnsiTheme="majorHAnsi" w:cstheme="majorHAnsi"/>
          <w:szCs w:val="18"/>
          <w:lang w:eastAsia="ru-RU"/>
        </w:rPr>
        <w:t>Further, if we are classified as a PFIC for any taxable year during which a US Holder holds our ADSs and any of our non-US subsidiaries is also a PFIC, such US Holder would be treated as owning a proportionate amount (by value) of the shares of each such non-US subsidiary classified as a PFIC (each such subsidiary, a lower tier PFIC) for purposes of the application of these rules. US Holders should consult their tax advisors regarding the application of the PFIC rules to any of our subsidiaries.</w:t>
      </w:r>
    </w:p>
    <w:p w:rsidR="009534E2" w:rsidRDefault="003369EB">
      <w:pPr>
        <w:spacing w:after="200"/>
        <w:ind w:firstLine="460"/>
        <w:rPr>
          <w:rFonts w:eastAsia="Times New Roman" w:asciiTheme="majorHAnsi" w:hAnsiTheme="majorHAnsi" w:cstheme="majorHAnsi"/>
          <w:szCs w:val="18"/>
          <w:lang w:eastAsia="ru-RU"/>
        </w:rPr>
      </w:pPr>
      <w:r>
        <w:rPr>
          <w:rFonts w:eastAsia="Times New Roman" w:asciiTheme="majorHAnsi" w:hAnsiTheme="majorHAnsi" w:cstheme="majorHAnsi"/>
          <w:szCs w:val="18"/>
          <w:lang w:eastAsia="ru-RU"/>
        </w:rPr>
        <w:t>As an alternative to the foregoing rules, a US holder of “marketable stock” in a PFIC may make a mark-to-market election. A mark-to-market election may be made with respect to our ADSs, provided they are actively traded on a “qualified exchange,” other than in de minimis quantities, on at least 15 days during each calendar quarter, but may not be made with respect to our ordinary shares as they are not marketable stock. Because of the trading halt imposed on our ADSs,we believe that our ADSs do not qualify as being actively traded, but no assurances may be given in this regard.</w:t>
      </w:r>
    </w:p>
    <w:p w:rsidR="009534E2" w:rsidRDefault="003369EB">
      <w:pPr>
        <w:spacing w:after="200"/>
        <w:ind w:firstLine="460"/>
        <w:rPr>
          <w:rFonts w:eastAsia="Times New Roman" w:asciiTheme="majorHAnsi" w:hAnsiTheme="majorHAnsi" w:cstheme="majorHAnsi"/>
          <w:szCs w:val="18"/>
        </w:rPr>
      </w:pPr>
      <w:r>
        <w:rPr>
          <w:rFonts w:eastAsia="Times New Roman" w:asciiTheme="majorHAnsi" w:hAnsiTheme="majorHAnsi" w:cstheme="majorHAnsi"/>
          <w:szCs w:val="18"/>
        </w:rPr>
        <w:t>If a US Holder of our ADSs makes this election, the US Holder will generally (i) include as income for each taxable year the excess, if any, of the fair market value of our ADSs held at the end of the taxable year over the adjusted tax basis of such ADSs and (ii) deduct as a loss the excess, if any, of the adjusted tax basis of our ADSs over the fair market value of such ADSs held at the end of the taxable year, but only to the extent of the net amount previously included in income as a result of the mark-to-market election. The US Holder’s adjusted tax basis in our ADSs would be adjusted to reflect any income or loss resulting from the mark-to-market election. In addition, any gain such US Holder recognizes upon the sale or other disposition of our ADSs will be treated as ordinary income and any loss will be treated as ordinary loss, but only to the extent of the net amount previously included in income as a result of the mark-to-market election. If a US Holder makes a mark-to-market election in respect of a corporation classified as a PFIC and such corporation ceases to be classified as a PFIC, the US Holder will not be required to take into account the gain or loss described above during any period that such corporation is not classified as a PFIC. In the case of a US Holder who has held our ADSs during any taxable year in respect of which we were classified as a PFIC and continues to hold such ADSs (or any portion thereof) and has not previously made a mark-to-market election, and who is considering making a mark-to-market election, special tax rules may apply relating to purging the PFIC taint of such ADSs. Because a mark-to-market election technically cannot be made for any lower tier PFICs, a US Holder may continue to be subject to the PFIC rules with respect to such US Holder’s indirect interest in any investments held by us that are treated as an equity interest in a PFIC for US federal income tax purposes.</w:t>
      </w:r>
    </w:p>
    <w:p w:rsidR="009534E2" w:rsidRDefault="003369EB">
      <w:pPr>
        <w:spacing w:after="200"/>
        <w:ind w:firstLine="460"/>
        <w:rPr>
          <w:rFonts w:eastAsia="Times New Roman" w:asciiTheme="majorHAnsi" w:hAnsiTheme="majorHAnsi" w:cstheme="majorHAnsi"/>
          <w:sz w:val="24"/>
        </w:rPr>
      </w:pPr>
      <w:r>
        <w:rPr>
          <w:rFonts w:eastAsia="Times New Roman" w:asciiTheme="majorHAnsi" w:hAnsiTheme="majorHAnsi" w:cstheme="majorHAnsi"/>
          <w:szCs w:val="18"/>
          <w:lang w:eastAsia="ru-RU"/>
        </w:rPr>
        <w:t>We do not intend to provide the information necessary for US Holders of our ADSs to make qualified electing fund elections, which, if available, would result in tax treatment different from the general tax treatment for PFICs described above.</w:t>
      </w:r>
    </w:p>
    <w:p w:rsidR="009534E2" w:rsidRDefault="003369EB">
      <w:pPr>
        <w:spacing w:after="200"/>
        <w:ind w:firstLine="460"/>
        <w:rPr>
          <w:rFonts w:eastAsia="Times New Roman" w:asciiTheme="majorHAnsi" w:hAnsiTheme="majorHAnsi" w:cstheme="majorHAnsi"/>
          <w:szCs w:val="18"/>
          <w:lang w:eastAsia="ru-RU"/>
        </w:rPr>
      </w:pPr>
      <w:r>
        <w:rPr>
          <w:rFonts w:eastAsia="Times New Roman" w:asciiTheme="majorHAnsi" w:hAnsiTheme="majorHAnsi" w:cstheme="majorHAnsi"/>
          <w:szCs w:val="18"/>
          <w:lang w:eastAsia="ru-RU"/>
        </w:rPr>
        <w:t>If a US Holder owns our ADSs during any taxable year that we are a PFIC, such US Holder may be subject to certain reporting obligations with respect to our ADSs, including reporting on IRS Form 8621. Each US Holder should consult its tax advisor concerning the US federal income tax consequences of holding and disposing of our ADSs if we are classified as a PFIC, including the possibility of making a mark-to-market election.</w:t>
      </w:r>
    </w:p>
    <w:p w:rsidR="009534E2" w:rsidRDefault="003369EB">
      <w:pPr>
        <w:keepNext/>
        <w:keepLines/>
        <w:spacing w:after="200"/>
        <w:ind w:firstLine="461"/>
        <w:rPr>
          <w:rFonts w:eastAsia="Times New Roman" w:asciiTheme="majorHAnsi" w:hAnsiTheme="majorHAnsi" w:cstheme="majorHAnsi"/>
          <w:b/>
          <w:bCs/>
          <w:szCs w:val="18"/>
        </w:rPr>
      </w:pPr>
      <w:r>
        <w:rPr>
          <w:rFonts w:eastAsia="Times New Roman" w:asciiTheme="majorHAnsi" w:hAnsiTheme="majorHAnsi" w:cstheme="majorHAnsi"/>
          <w:b/>
          <w:bCs/>
          <w:szCs w:val="18"/>
        </w:rPr>
        <w:t>Foreign Financial Asset Reporting</w:t>
      </w:r>
    </w:p>
    <w:p w:rsidR="009534E2" w:rsidRDefault="003369EB">
      <w:pPr>
        <w:spacing w:after="200"/>
        <w:ind w:firstLine="461"/>
        <w:rPr>
          <w:rFonts w:eastAsia="Times New Roman" w:asciiTheme="majorHAnsi" w:hAnsiTheme="majorHAnsi" w:cstheme="majorHAnsi"/>
          <w:szCs w:val="18"/>
        </w:rPr>
      </w:pPr>
      <w:r>
        <w:rPr>
          <w:rFonts w:eastAsia="Times New Roman" w:asciiTheme="majorHAnsi" w:hAnsiTheme="majorHAnsi" w:cstheme="majorHAnsi"/>
          <w:szCs w:val="18"/>
        </w:rPr>
        <w:t>A US Holder may be required to report information relating to an interest in our common shares, generally by filing IRS Form 8938 (Statement of Specified Foreign Financial Assets) with the US Holder’s federal income tax return. A US Holder may also be subject to significant penalties if the US Holder is required to report such information and fails to do so. US Holders should consult their tax advisors regarding information reporting obligations, if any, with respect to ownership and disposition of our common shares.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Russian Tax Considerations Relevant to the Purchase, Ownership and Disposal of the ADSs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The following is a summary of material Russian tax consequences relevant to the purchase, ownership and disposal of the ADSs. The summary is based on the laws of the Russian Federation in effect on the date of this annual report. All of the foregoing is subject to change (possibly on a retroactive basis) and varying interpretations which may be inconsistent or contradictory.</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The summary does not seek to address the applicability of, and procedures in relation to, Russian regional and local taxes. Nor does the summary seek to address the availability of double tax treaty relief, and it should be noted that there may be practical difficulties involved in claiming relief under an applicable double tax treaty. Prospective holders should consult their own tax advisors regarding the tax consequences of investing in the ADSs and no representations with respect to the Russian tax consequences of purchasing, owning or disposal of the ADSs to any particular holder is made hereby.</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General</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For the purposes of this section, a “resident holder” means a holder of ADSs who is:</w:t>
      </w:r>
    </w:p>
    <w:p w:rsidR="009534E2" w:rsidRDefault="003369EB">
      <w:pPr>
        <w:keepNext/>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An ADSs holder that is a legal entity or an organization which is:</w:t>
      </w:r>
    </w:p>
    <w:p w:rsidR="009534E2" w:rsidRDefault="003369EB">
      <w:pPr>
        <w:pStyle w:val="ListParagraph"/>
        <w:numPr>
          <w:ilvl w:val="0"/>
          <w:numId w:val="44"/>
        </w:numPr>
        <w:spacing w:after="200"/>
        <w:ind w:left="821"/>
        <w:rPr>
          <w:rFonts w:eastAsia="Times New Roman" w:asciiTheme="majorHAnsi" w:hAnsiTheme="majorHAnsi" w:cstheme="majorHAnsi"/>
          <w:lang w:eastAsia="ru-RU"/>
        </w:rPr>
      </w:pPr>
      <w:r>
        <w:rPr>
          <w:rFonts w:eastAsia="Times New Roman" w:asciiTheme="majorHAnsi" w:hAnsiTheme="majorHAnsi" w:cstheme="majorHAnsi"/>
          <w:lang w:eastAsia="ru-RU"/>
        </w:rPr>
        <w:t>a Russian legal entity, or organization (including international companies registered in accordance with the Federal Law “On International Companies and International Funds” No 290-FZ);</w:t>
      </w:r>
    </w:p>
    <w:p w:rsidR="009534E2" w:rsidRDefault="003369EB">
      <w:pPr>
        <w:pStyle w:val="ListParagraph"/>
        <w:numPr>
          <w:ilvl w:val="0"/>
          <w:numId w:val="44"/>
        </w:numPr>
        <w:spacing w:after="200"/>
        <w:ind w:left="821"/>
        <w:rPr>
          <w:rFonts w:eastAsia="Times New Roman" w:asciiTheme="majorHAnsi" w:hAnsiTheme="majorHAnsi" w:cstheme="majorHAnsi"/>
          <w:sz w:val="22"/>
        </w:rPr>
      </w:pPr>
      <w:r>
        <w:rPr>
          <w:rFonts w:eastAsia="Times New Roman" w:asciiTheme="majorHAnsi" w:hAnsiTheme="majorHAnsi" w:cstheme="majorHAnsi"/>
          <w:lang w:eastAsia="ru-RU"/>
        </w:rPr>
        <w:t xml:space="preserve">a foreign legal entity or organization, </w:t>
      </w:r>
      <w:r>
        <w:rPr>
          <w:rFonts w:eastAsia="Times New Roman" w:asciiTheme="majorHAnsi" w:hAnsiTheme="majorHAnsi" w:cstheme="majorHAnsi"/>
          <w:lang w:val="en-GB" w:eastAsia="ru-RU"/>
        </w:rPr>
        <w:t>in each case organised under</w:t>
      </w:r>
      <w:r>
        <w:rPr>
          <w:rFonts w:eastAsia="Times New Roman" w:asciiTheme="majorHAnsi" w:hAnsiTheme="majorHAnsi" w:cstheme="majorHAnsi"/>
          <w:color w:val="000000"/>
          <w:lang w:val="en-GB" w:eastAsia="ru-RU"/>
        </w:rPr>
        <w:t xml:space="preserve"> a </w:t>
      </w:r>
      <w:r>
        <w:rPr>
          <w:rFonts w:eastAsia="Times New Roman" w:asciiTheme="majorHAnsi" w:hAnsiTheme="majorHAnsi" w:cstheme="majorHAnsi"/>
          <w:lang w:val="en-GB" w:eastAsia="ru-RU"/>
        </w:rPr>
        <w:t xml:space="preserve">foreign law, that is </w:t>
      </w:r>
      <w:r>
        <w:rPr>
          <w:rFonts w:eastAsia="Times New Roman" w:asciiTheme="majorHAnsi" w:hAnsiTheme="majorHAnsi" w:cstheme="majorHAnsi"/>
          <w:lang w:eastAsia="ru-RU"/>
        </w:rPr>
        <w:t xml:space="preserve">recognized as a Russian tax resident based on </w:t>
      </w:r>
      <w:r>
        <w:rPr>
          <w:rFonts w:eastAsia="Times New Roman" w:asciiTheme="majorHAnsi" w:hAnsiTheme="majorHAnsi" w:cstheme="majorHAnsi"/>
          <w:lang w:val="en-GB" w:eastAsia="ru-RU"/>
        </w:rPr>
        <w:t>Russian domestic law (see “</w:t>
      </w:r>
      <w:r>
        <w:rPr>
          <w:rFonts w:eastAsia="Times New Roman" w:asciiTheme="majorHAnsi" w:hAnsiTheme="majorHAnsi" w:cstheme="majorHAnsi"/>
          <w:i/>
          <w:iCs/>
          <w:lang w:val="en-GB" w:eastAsia="ru-RU"/>
        </w:rPr>
        <w:t>Russian anti-offshore measures may have adverse impact on our business, financial condition and results of operations</w:t>
      </w:r>
      <w:r>
        <w:rPr>
          <w:rFonts w:eastAsia="Times New Roman" w:asciiTheme="majorHAnsi" w:hAnsiTheme="majorHAnsi" w:cstheme="majorHAnsi"/>
          <w:lang w:val="en-GB" w:eastAsia="ru-RU"/>
        </w:rPr>
        <w:t>”);</w:t>
      </w:r>
    </w:p>
    <w:p w:rsidR="009534E2" w:rsidRDefault="003369EB">
      <w:pPr>
        <w:pStyle w:val="ListParagraph"/>
        <w:numPr>
          <w:ilvl w:val="0"/>
          <w:numId w:val="44"/>
        </w:numPr>
        <w:spacing w:after="200"/>
        <w:ind w:left="821"/>
        <w:rPr>
          <w:rFonts w:eastAsia="Times New Roman" w:asciiTheme="majorHAnsi" w:hAnsiTheme="majorHAnsi" w:cstheme="majorHAnsi"/>
          <w:sz w:val="22"/>
        </w:rPr>
      </w:pPr>
      <w:r>
        <w:rPr>
          <w:rFonts w:eastAsia="Times New Roman" w:asciiTheme="majorHAnsi" w:hAnsiTheme="majorHAnsi" w:cstheme="majorHAnsi"/>
          <w:lang w:eastAsia="ru-RU"/>
        </w:rPr>
        <w:t xml:space="preserve">a foreign legal entity or organization </w:t>
      </w:r>
      <w:r>
        <w:rPr>
          <w:rFonts w:eastAsia="Times New Roman" w:asciiTheme="majorHAnsi" w:hAnsiTheme="majorHAnsi" w:cstheme="majorHAnsi"/>
          <w:color w:val="000000"/>
          <w:szCs w:val="24"/>
          <w:lang w:eastAsia="zh-CN"/>
        </w:rPr>
        <w:t xml:space="preserve">in each case </w:t>
      </w:r>
      <w:r>
        <w:rPr>
          <w:rFonts w:eastAsia="Times New Roman" w:asciiTheme="majorHAnsi" w:hAnsiTheme="majorHAnsi" w:cstheme="majorHAnsi"/>
          <w:color w:val="000000"/>
          <w:szCs w:val="24"/>
          <w:lang w:val="en-GB" w:eastAsia="zh-CN"/>
        </w:rPr>
        <w:t>organised under a foreign law, that is, in the case of conflicting tax residency statuses under the relevant foreign law and Russian law, recognized as a Russian tax resident based on the provisions of an applicable double tax treaty (for the purposes of application of such double tax treaty);</w:t>
      </w:r>
    </w:p>
    <w:p w:rsidR="009534E2" w:rsidRDefault="003369EB">
      <w:pPr>
        <w:pStyle w:val="ListParagraph"/>
        <w:numPr>
          <w:ilvl w:val="0"/>
          <w:numId w:val="44"/>
        </w:numPr>
        <w:spacing w:after="200"/>
        <w:ind w:left="821"/>
        <w:rPr>
          <w:rFonts w:eastAsia="Times New Roman" w:asciiTheme="majorHAnsi" w:hAnsiTheme="majorHAnsi" w:cstheme="majorHAnsi"/>
          <w:sz w:val="24"/>
          <w:szCs w:val="24"/>
        </w:rPr>
      </w:pPr>
      <w:r>
        <w:rPr>
          <w:rFonts w:eastAsia="Times New Roman" w:asciiTheme="majorHAnsi" w:hAnsiTheme="majorHAnsi" w:cstheme="majorHAnsi"/>
          <w:lang w:eastAsia="ru-RU"/>
        </w:rPr>
        <w:t xml:space="preserve">a foreign legal entity or organization which purchases, holds and/ or disposes ADSs through its permanent establishment in </w:t>
      </w:r>
      <w:r>
        <w:rPr>
          <w:rFonts w:eastAsia="Times New Roman" w:asciiTheme="majorHAnsi" w:hAnsiTheme="majorHAnsi" w:cstheme="majorHAnsi"/>
          <w:color w:val="000000"/>
          <w:szCs w:val="24"/>
          <w:lang w:val="en-GB" w:eastAsia="zh-CN"/>
        </w:rPr>
        <w:t>Russia</w:t>
      </w:r>
      <w:r>
        <w:rPr>
          <w:rFonts w:eastAsia="Times New Roman" w:asciiTheme="majorHAnsi" w:hAnsiTheme="majorHAnsi" w:cstheme="majorHAnsi"/>
          <w:lang w:eastAsia="ru-RU"/>
        </w:rPr>
        <w:t>;</w:t>
      </w:r>
    </w:p>
    <w:p w:rsidR="009534E2" w:rsidRDefault="003369EB">
      <w:pPr>
        <w:pStyle w:val="ListParagraph"/>
        <w:numPr>
          <w:ilvl w:val="0"/>
          <w:numId w:val="44"/>
        </w:numPr>
        <w:spacing w:after="200"/>
        <w:ind w:left="821"/>
        <w:rPr>
          <w:rFonts w:eastAsia="Times New Roman" w:asciiTheme="majorHAnsi" w:hAnsiTheme="majorHAnsi" w:cstheme="majorHAnsi"/>
          <w:lang w:eastAsia="ru-RU"/>
        </w:rPr>
      </w:pPr>
      <w:r>
        <w:rPr>
          <w:rFonts w:eastAsia="Times New Roman" w:asciiTheme="majorHAnsi" w:hAnsiTheme="majorHAnsi" w:cstheme="majorHAnsi"/>
          <w:lang w:eastAsia="ru-RU"/>
        </w:rPr>
        <w:t>a legal entity or an organization, in each case organized under a foreign law, which has voluntarily recognized itself as a Russian tax resident;</w:t>
      </w:r>
    </w:p>
    <w:p w:rsidR="009534E2" w:rsidRDefault="003369EB">
      <w:pPr>
        <w:pStyle w:val="ListParagraph"/>
        <w:numPr>
          <w:ilvl w:val="0"/>
          <w:numId w:val="44"/>
        </w:numPr>
        <w:spacing w:after="200"/>
        <w:ind w:left="821"/>
        <w:rPr>
          <w:rFonts w:eastAsia="Times New Roman" w:asciiTheme="majorHAnsi" w:hAnsiTheme="majorHAnsi" w:cstheme="majorHAnsi"/>
          <w:sz w:val="24"/>
          <w:szCs w:val="24"/>
        </w:rPr>
      </w:pPr>
      <w:r>
        <w:rPr>
          <w:rFonts w:eastAsia="Times New Roman" w:asciiTheme="majorHAnsi" w:hAnsiTheme="majorHAnsi" w:cstheme="majorHAnsi"/>
          <w:lang w:eastAsia="ru-RU"/>
        </w:rPr>
        <w:t xml:space="preserve">an individual actually present in Russia for an aggregate period of 183 calendar days </w:t>
      </w:r>
      <w:r>
        <w:rPr>
          <w:rFonts w:eastAsia="Times New Roman" w:asciiTheme="majorHAnsi" w:hAnsiTheme="majorHAnsi" w:cstheme="majorHAnsi"/>
          <w:color w:val="000000"/>
          <w:szCs w:val="24"/>
          <w:lang w:val="en-GB" w:eastAsia="zh-CN"/>
        </w:rPr>
        <w:t xml:space="preserve">(including days of arrival to the Russian Federation and including days of departure from the Russian Federation) </w:t>
      </w:r>
      <w:r>
        <w:rPr>
          <w:rFonts w:eastAsia="Times New Roman" w:asciiTheme="majorHAnsi" w:hAnsiTheme="majorHAnsi" w:cstheme="majorHAnsi"/>
          <w:lang w:eastAsia="ru-RU"/>
        </w:rPr>
        <w:t xml:space="preserve">or more in any period comprised of 12 consecutive months </w:t>
      </w:r>
      <w:r>
        <w:rPr>
          <w:rFonts w:eastAsia="Times New Roman" w:asciiTheme="majorHAnsi" w:hAnsiTheme="majorHAnsi" w:cstheme="majorHAnsi"/>
          <w:color w:val="000000"/>
          <w:szCs w:val="24"/>
          <w:lang w:val="en-GB" w:eastAsia="zh-CN"/>
        </w:rPr>
        <w:t>(days of medical treatment and education outside the Russian Federation are also counted as days spent in the Russian Federation if the individual departed from the Russian Federation for these purposes for less than six months</w:t>
      </w:r>
      <w:r>
        <w:rPr>
          <w:rFonts w:eastAsia="Times New Roman" w:asciiTheme="majorHAnsi" w:hAnsiTheme="majorHAnsi" w:cstheme="majorHAnsi"/>
          <w:lang w:eastAsia="ru-RU"/>
        </w:rPr>
        <w:t>). The interpretation of this definition by the Russian Ministry of Finance states that, for tax withholding purposes, an individual’s tax residence status should be determined on the date of the actual income payment (based on the number of days in Russia in the 12-month period preceding the date of the payment). Given that the tax residency status of an individual may change, an individual’s final tax liability in the Russian Federation for any reporting calendar year should be determined based on the number of days spent in Russia in such calendar year, and may require a reassessment.</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For the purposes of this section, a “non-resident holder” is a holder of ADSs who does not fall under the definition of a resident holder.</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ADSs holders should consult their own tax advisors on their tax status in Russia.</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Non-resident holders</w:t>
      </w:r>
    </w:p>
    <w:p w:rsidR="009534E2" w:rsidRDefault="003369EB">
      <w:pPr>
        <w:keepNext/>
        <w:keepLines/>
        <w:spacing w:after="200"/>
        <w:ind w:firstLine="460"/>
        <w:rPr>
          <w:rFonts w:eastAsia="Times New Roman" w:asciiTheme="majorHAnsi" w:hAnsiTheme="majorHAnsi" w:cstheme="majorHAnsi"/>
          <w:bCs/>
          <w:iCs/>
          <w:u w:val="single"/>
        </w:rPr>
      </w:pPr>
      <w:r>
        <w:rPr>
          <w:rFonts w:eastAsia="Times New Roman" w:asciiTheme="majorHAnsi" w:hAnsiTheme="majorHAnsi" w:cstheme="majorHAnsi"/>
          <w:b/>
          <w:bCs/>
          <w:i/>
          <w:iCs/>
          <w:u w:val="single"/>
          <w:lang w:eastAsia="ru-RU"/>
        </w:rPr>
        <w:t>Taxation of Dividends and Other Distributions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Generally, a non-resident holder of ADSs should not be subject to any Russian taxes in respect of distributions made by us with respect to class B shares underlying the ADSs.</w:t>
      </w:r>
    </w:p>
    <w:p w:rsidR="009534E2" w:rsidRDefault="003369EB">
      <w:pPr>
        <w:keepLines/>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However, in case we are recognized by the Russian tax authorities as a Russian tax resident (see “</w:t>
      </w:r>
      <w:r>
        <w:rPr>
          <w:rFonts w:eastAsia="Times New Roman" w:asciiTheme="majorHAnsi" w:hAnsiTheme="majorHAnsi" w:cstheme="majorHAnsi"/>
          <w:i/>
          <w:iCs/>
          <w:lang w:eastAsia="ru-RU"/>
        </w:rPr>
        <w:t>Risk Factors— Our companies established outside of Russia may be exposed to taxation in Russia</w:t>
      </w:r>
      <w:r>
        <w:rPr>
          <w:rFonts w:eastAsia="Times New Roman" w:asciiTheme="majorHAnsi" w:hAnsiTheme="majorHAnsi" w:cstheme="majorHAnsi"/>
          <w:lang w:eastAsia="ru-RU"/>
        </w:rPr>
        <w:t>”) Russian tax implications could arise as described below. Whilst we do not anticipate such a scenario, we believe it is reasonable to assume that the Russian tax authorities may try to challenge our tax residency status.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Payments of dividends on shares of foreign legal entity recognised as Russian tax resident to foreign legal entities or organisations are generally subject to Russian withholding tax at a rate of 15% and are likely to be treated as Russian source taxed at 15% if made to non-resident individuals. Such Russian withholding tax may be subject to reduction pursuant to the terms of any applicable double taxation treaty between the Russia and the country of tax residence of the income recipient to the extent such income recipient is entitled to benefit from a double taxation treaty and the corresponding taxation treaty reliefs provided by such treaty.</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Due to the specifics of ADS structure, it may be unclear from the standpoint of Russian tax legislation who should act as a tax agent with respect to dividend income payable on the ADSs in case of recognition of the issuer of the underlying shares as Russian tax resident. As a conservative position, once becoming a Russian tax resident we would be required to act as a tax agent. In this case holders of the ADSs would be required to provide a tax agent with the relevant information in order to apply the reduced tax rates pursuant to double taxation treaties, however, we may reserve the right to withhold the tax at the general rate of 15% and pay the dividends net of this amount pursuant to the provisions of the Russian Tax Code.</w:t>
      </w:r>
    </w:p>
    <w:p w:rsidR="009534E2" w:rsidRDefault="003369EB">
      <w:pPr>
        <w:spacing w:after="200"/>
        <w:ind w:firstLine="720"/>
        <w:rPr>
          <w:rFonts w:eastAsia="Times New Roman" w:asciiTheme="majorHAnsi" w:hAnsiTheme="majorHAnsi" w:cstheme="majorHAnsi"/>
          <w:lang w:val="en-GB"/>
        </w:rPr>
      </w:pPr>
      <w:r>
        <w:rPr>
          <w:rFonts w:eastAsia="Times New Roman" w:asciiTheme="majorHAnsi" w:hAnsiTheme="majorHAnsi" w:cstheme="majorHAnsi"/>
        </w:rPr>
        <w:t xml:space="preserve">A recipient of dividend income who is entitled to reduced tax rates on dividends from the ADSs according an applicable double taxation treaty may apply for a refund in accordance with the general tax refund procedure envisaged by the Russian Tax Code. </w:t>
      </w:r>
      <w:r>
        <w:rPr>
          <w:rFonts w:eastAsia="Times New Roman" w:asciiTheme="majorHAnsi" w:hAnsiTheme="majorHAnsi" w:cstheme="majorHAnsi"/>
          <w:lang w:val="en-GB"/>
        </w:rPr>
        <w:t>However, there can be no assurance that double taxation treaty relief (or refund of any taxes withheld) will be available for such Non-Resident Holders.</w:t>
      </w:r>
    </w:p>
    <w:p w:rsidR="009534E2" w:rsidRDefault="003369EB">
      <w:pPr>
        <w:keepNext/>
        <w:keepLines/>
        <w:spacing w:after="200"/>
        <w:ind w:firstLine="461"/>
        <w:rPr>
          <w:rFonts w:eastAsia="Times New Roman" w:asciiTheme="majorHAnsi" w:hAnsiTheme="majorHAnsi" w:cstheme="majorHAnsi"/>
          <w:bCs/>
          <w:iCs/>
          <w:u w:val="single"/>
        </w:rPr>
      </w:pPr>
      <w:r>
        <w:rPr>
          <w:rFonts w:eastAsia="Times New Roman" w:asciiTheme="majorHAnsi" w:hAnsiTheme="majorHAnsi" w:cstheme="majorHAnsi"/>
          <w:b/>
          <w:bCs/>
          <w:i/>
          <w:iCs/>
          <w:u w:val="single"/>
          <w:lang w:eastAsia="ru-RU"/>
        </w:rPr>
        <w:t>Taxation of capital gains</w:t>
      </w:r>
    </w:p>
    <w:p w:rsidR="009534E2" w:rsidRDefault="003369EB">
      <w:pPr>
        <w:keepNext/>
        <w:keepLines/>
        <w:spacing w:after="200"/>
        <w:ind w:left="460"/>
        <w:rPr>
          <w:rFonts w:eastAsia="Times New Roman" w:asciiTheme="majorHAnsi" w:hAnsiTheme="majorHAnsi" w:cstheme="majorHAnsi"/>
          <w:sz w:val="24"/>
          <w:szCs w:val="24"/>
        </w:rPr>
      </w:pPr>
      <w:r>
        <w:rPr>
          <w:rFonts w:eastAsia="Times New Roman" w:asciiTheme="majorHAnsi" w:hAnsiTheme="majorHAnsi" w:cstheme="majorHAnsi"/>
          <w:b/>
          <w:lang w:eastAsia="ru-RU"/>
        </w:rPr>
        <w:t>Legal entities or organizations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A non-resident holder that is a legal entity or organization generally should not be subject to any Russian taxes in respect of any gain or other income realized on the sale, exchange or other disposal of the ADSs unless more than 50% of our assets directly or indirectly consist of immovable property situated in Russia. Otherwise, it is possible that any proceeds from sale, exchange or other disposal of ADSs may be regarded as Russian source income received by non-resident holders that are legal entities or organizations, subject to Russian income tax at a rate of 20%. The above tax may be reduced or eliminated under an applicable double tax treaty, provided that the recipient of the income is its beneficial owner, such income is not attributable to a permanent establishment in Russia, the necessary requirements to qualify for the treaty relief and the appropriate administrative requirements under the Russian tax legislation have been met.</w:t>
      </w:r>
    </w:p>
    <w:p w:rsidR="009534E2" w:rsidRDefault="003369EB">
      <w:pPr>
        <w:spacing w:after="200"/>
        <w:ind w:firstLine="461"/>
        <w:rPr>
          <w:rFonts w:eastAsia="Times New Roman" w:asciiTheme="majorHAnsi" w:hAnsiTheme="majorHAnsi" w:cstheme="majorHAnsi"/>
          <w:szCs w:val="24"/>
          <w:lang w:val="en-GB" w:eastAsia="zh-CN" w:bidi="he-IL"/>
        </w:rPr>
      </w:pPr>
      <w:r>
        <w:rPr>
          <w:rFonts w:eastAsia="Times New Roman" w:asciiTheme="majorHAnsi" w:hAnsiTheme="majorHAnsi" w:cstheme="majorHAnsi"/>
          <w:szCs w:val="24"/>
          <w:lang w:val="en-GB" w:eastAsia="zh-CN" w:bidi="he-IL"/>
        </w:rPr>
        <w:t>Capital gains that are received by a non-resident legal entity or an organisation from sale or other disposal of shares that are recognised as quoted securities under the requirements of the Russian Tax Code generally should not be subject to profits tax in Russia. However, there is an uncertainty whether the above exemption may be applied to quoted depository receipts which are representing shares of a company which assets more than for 50% consist of immovable property situated in Russia.</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Non-resident holders that are legal entities or organizations should consult their own tax advisors with respect to the tax consequences of the sale, exchange or other disposal of the ADSs.</w:t>
      </w:r>
    </w:p>
    <w:p w:rsidR="009534E2" w:rsidRDefault="003369EB">
      <w:pPr>
        <w:keepNext/>
        <w:keepLines/>
        <w:spacing w:after="200"/>
        <w:ind w:left="460"/>
        <w:rPr>
          <w:rFonts w:eastAsia="Times New Roman" w:asciiTheme="majorHAnsi" w:hAnsiTheme="majorHAnsi" w:cstheme="majorHAnsi"/>
          <w:sz w:val="24"/>
          <w:szCs w:val="24"/>
        </w:rPr>
      </w:pPr>
      <w:r>
        <w:rPr>
          <w:rFonts w:eastAsia="Times New Roman" w:asciiTheme="majorHAnsi" w:hAnsiTheme="majorHAnsi" w:cstheme="majorHAnsi"/>
          <w:b/>
          <w:lang w:eastAsia="ru-RU"/>
        </w:rPr>
        <w:t>Individuals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A non-resident holder who is an individual should not generally be subject to Russian taxes in respect of any gains realized on the sale, exchange or other disposal of ADSs, provided that the proceeds of such sale, exchange or disposal are not received from a source within Russia.</w:t>
      </w:r>
    </w:p>
    <w:p w:rsidR="009534E2" w:rsidRDefault="003369EB">
      <w:pPr>
        <w:keepLines/>
        <w:spacing w:after="200"/>
        <w:ind w:firstLine="461"/>
        <w:rPr>
          <w:rFonts w:eastAsia="Times New Roman" w:asciiTheme="majorHAnsi" w:hAnsiTheme="majorHAnsi" w:cstheme="majorHAnsi"/>
          <w:lang w:eastAsia="ru-RU"/>
        </w:rPr>
      </w:pPr>
      <w:r>
        <w:rPr>
          <w:rFonts w:eastAsia="Times New Roman" w:asciiTheme="majorHAnsi" w:hAnsiTheme="majorHAnsi" w:cstheme="majorHAnsi"/>
          <w:bCs/>
          <w:iCs/>
          <w:lang w:eastAsia="ru-RU"/>
        </w:rPr>
        <w:t xml:space="preserve">However, in </w:t>
      </w:r>
      <w:r>
        <w:rPr>
          <w:rFonts w:eastAsia="Times New Roman" w:asciiTheme="majorHAnsi" w:hAnsiTheme="majorHAnsi" w:cstheme="majorHAnsi"/>
          <w:lang w:eastAsia="ru-RU"/>
        </w:rPr>
        <w:t>the event that the proceeds from a sale, exchange or other disposal of ADSs are deemed to be received from a source within Russia, a non-resident holder that is an individual may be subject to Russian tax in respect of such proceeds at a rate of 30% of the gain (such gain being computed as the sales price less any available documented cost deduction, including the acquisition price of the ADSs and other documented expenses, such as depositary expenses and brokers’ fees), subject to any available double tax treaty relief, provided that the necessary requirements to qualify for the treaty relief and the appropriate administrative requirements under the Russian tax legislation have been met. For example, holders of ADSs that are eligible for the benefits of the US-Russia double tax treaty should generally not be subject to tax in Russia on any gain arising from the disposal of ADSs, provided that the gain is not attributable to disposal of shares in a Russian “property-rich companies” (company with not less than 50% of its assets consisting of immovable property situated in Russia, as defined in the treaty).</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According to Russian tax legislation, income received from a sale, exchange or other disposal of the ADSs should be treated as having been received from a Russian source if such sale, exchange or other disposal occurs in Russia. Russian tax law gives no clear indication as to how to identify the source of income received from a sale, exchange or other disposal of securities except that income received from the sale of</w:t>
      </w:r>
      <w:r>
        <w:rPr>
          <w:rFonts w:eastAsia="Times New Roman" w:asciiTheme="majorHAnsi" w:hAnsiTheme="majorHAnsi" w:cstheme="majorHAnsi"/>
          <w:sz w:val="16"/>
          <w:szCs w:val="16"/>
          <w:lang w:eastAsia="ru-RU"/>
        </w:rPr>
        <w:t> </w:t>
      </w:r>
      <w:r>
        <w:rPr>
          <w:rFonts w:eastAsia="Times New Roman" w:asciiTheme="majorHAnsi" w:hAnsiTheme="majorHAnsi" w:cstheme="majorHAnsi"/>
          <w:lang w:eastAsia="ru-RU"/>
        </w:rPr>
        <w:t>securities “in Russia” will be treated as having been received from a Russian source. In the absence of any guidance as to what should be considered as sale, exchange or other disposal of securities “in Russia”, the Russian tax authorities may apply various criteria in order to determine the source of the sale or other disposal, including looking at the place of conclusion of the transaction, the location of the issuer, tax residency of the issuer, location of custodian or other similar criteria. There is no assurance, therefore, that the proceeds received by non-resident holders – individuals from a sale, exchange or other disposal of the ADSs will not become subject to tax in Russia.</w:t>
      </w:r>
    </w:p>
    <w:p w:rsidR="009534E2" w:rsidRDefault="003369EB">
      <w:pPr>
        <w:spacing w:after="200"/>
        <w:ind w:firstLine="460"/>
        <w:rPr>
          <w:rFonts w:eastAsia="Times New Roman" w:asciiTheme="majorHAnsi" w:hAnsiTheme="majorHAnsi" w:cstheme="majorHAnsi"/>
          <w:szCs w:val="24"/>
          <w:lang w:val="en-GB" w:eastAsia="zh-CN" w:bidi="he-IL"/>
        </w:rPr>
      </w:pPr>
      <w:r>
        <w:rPr>
          <w:rFonts w:eastAsia="Times New Roman" w:asciiTheme="majorHAnsi" w:hAnsiTheme="majorHAnsi" w:cstheme="majorHAnsi"/>
          <w:lang w:eastAsia="ru-RU"/>
        </w:rPr>
        <w:t xml:space="preserve">The tax may be withheld at the source of payment if the individual acts via a professional intermediary that is registered for the tax purposes in Russia (such as asset manager, licensed broker or other intermediary </w:t>
      </w:r>
      <w:r>
        <w:rPr>
          <w:rFonts w:eastAsia="Times New Roman" w:asciiTheme="majorHAnsi" w:hAnsiTheme="majorHAnsi" w:cstheme="majorHAnsi"/>
          <w:szCs w:val="24"/>
          <w:lang w:val="en-GB" w:eastAsia="zh-CN" w:bidi="he-IL"/>
        </w:rPr>
        <w:t>that carries out operations under a brokerage service agreement, agency agreement, asset management agreement, commission agreement or commercial mandate agreement</w:t>
      </w:r>
      <w:r>
        <w:rPr>
          <w:rFonts w:eastAsia="Times New Roman" w:asciiTheme="majorHAnsi" w:hAnsiTheme="majorHAnsi" w:cstheme="majorHAnsi"/>
          <w:lang w:eastAsia="ru-RU"/>
        </w:rPr>
        <w:t>), otherwise the non-resident holder – individual shall be liable to file a tax return and pay the tax due to the Russian budget.</w:t>
      </w:r>
      <w:r>
        <w:rPr>
          <w:rFonts w:eastAsia="Times New Roman" w:asciiTheme="majorHAnsi" w:hAnsiTheme="majorHAnsi" w:cstheme="majorHAnsi"/>
          <w:szCs w:val="24"/>
          <w:lang w:val="en-GB" w:eastAsia="zh-CN" w:bidi="he-IL"/>
        </w:rPr>
        <w:t xml:space="preserve"> In absence of the licensed broker or an asset manager mentioned above, Russian tax agent responsibilities should also be fulfilled by Russian legal entities or organisations (or individual entrepreneurs) acquiring the ADSs from the non-resident holders – individuals under sale or barter agreement.</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Additionally, acquisition of the ADSs by a non-resident holder who is an individual may constitute a taxable event pursuant to provisions of the Russian Tax Code relating to the material benefit (deemed income) received by individuals as a result of acquisition of securities if this income is viewed as income from sources within Russia. If the acquisition price of the ADSs is below the lower margin of fair market value calculated under a specific procedure for the determination of market prices of securities for tax purposes, the difference may be subject to the Russian personal income tax at a rate of 30% (arguably, this would be subject to reduction or elimination under the applicable double tax treaty). Income in the form of material benefit received in 2022 - 2023 is temporary exempt from Russian personal income tax.</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As noted above with respect to the disposal of the ADSs under Russian tax legislation, taxation of the income of non-resident holders who are individuals will depend on whether this income would be assessed as received from Russian or non-Russian sources. Although Russian tax legislation does not contain any provisions on how the related material benefit should be sourced, the tax authorities may infer that such income should be considered as Russian source income if the ADSs are purchased “in Russia”. In the absence of any additional guidance as to what should be considered as a purchase of securities “in Russia”, the Russian tax authorities may apply various criteria in order to determine the source of the related material benefit, including looking at the place of conclusion of the acquisition transaction, the location of the issuer or other similar criteria. There is no assurance, therefore, that proceeds received by non-resident holders – individuals from a sale, exchange, redemption or other disposal of the ADSs or that income in the form of material benefit (if not exempt) received upon acquisition of ADSs will not become subject to tax in Russia.</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Non-resident holders who are individuals should consult their own tax advisors with respect to the tax consequences arising from acquisition, sale, exchange or other disposal of the ADSs and the receipt of the proceeds from source within Russia in their respect.</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lang w:eastAsia="ru-RU"/>
        </w:rPr>
        <w:t>Double Tax Treaty Procedures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Where a non-resident holder of ADSs receives income from a Russian source, the Russian tax (if applicable under Russian domestic tax law) may be reduced or eliminated in accordance with the provisions of a double tax treaty. Advance treaty relief should be available for those eligible, subject to the requirements of the laws of Russia. In order for a non-resident holder to benefit from the applicable double tax treaty, documentary evidence is required to confirm the applicability of the double tax treaty for which benefits are claimed.</w:t>
      </w: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Currently, a non-resident holder which is a legal entity or an organization is required to provide a tax residence confirmation issued by the competent tax authority of the relevant treaty country (duly apostilled or legalized, translated into Russian and notarized). The tax residency confirmation needs to be renewed on an annual basis, and provided before the first payment of income in each calendar year. For a non-resident holder that is a legal entity or organization this should be a tax residency certificate for the relevant year.</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In order to benefit from the applicable double tax treaty, the person claiming such benefits must be the beneficial owner of the relevant income. In addition to a certificate of tax residency, the tax agent is obliged to obtain a confirmation from the non-resident holder which is a legal entity or organization that it is the beneficial owner of the relevant income. As of the date of this annual report, the form of such confirmation as well as the list of documents confirming beneficial ownership is not set by the Russian Tax Code. Current clarifications of the Russian Ministry of Finance and Federal Tax Service guidance generally describe the information that is necessary to confirm the beneficial ownership of income, yet they do not set the precise form for the above confirmation.</w:t>
      </w:r>
    </w:p>
    <w:p w:rsidR="009534E2" w:rsidRDefault="003369EB">
      <w:pPr>
        <w:spacing w:after="200"/>
        <w:ind w:firstLine="461"/>
        <w:rPr>
          <w:rFonts w:eastAsia="Times New Roman" w:asciiTheme="majorHAnsi" w:hAnsiTheme="majorHAnsi" w:cstheme="majorHAnsi"/>
          <w:lang w:val="en-GB"/>
        </w:rPr>
      </w:pPr>
      <w:r>
        <w:rPr>
          <w:rFonts w:eastAsia="Times New Roman" w:asciiTheme="majorHAnsi" w:hAnsiTheme="majorHAnsi" w:cstheme="majorHAnsi"/>
          <w:szCs w:val="24"/>
          <w:lang w:val="en-GB" w:eastAsia="zh-CN" w:bidi="he-IL"/>
        </w:rPr>
        <w:t xml:space="preserve">A non-resident holder who is an individual willing to obtain the advance double tax treaty relief at source should confirm to a tax agent that he or she is tax resident in a relevant foreign jurisdiction having a double tax treaty with Russia by providing the tax agent with </w:t>
      </w:r>
      <w:r>
        <w:rPr>
          <w:rFonts w:eastAsia="Times New Roman" w:asciiTheme="majorHAnsi" w:hAnsiTheme="majorHAnsi" w:cstheme="majorHAnsi"/>
          <w:lang w:val="en-GB"/>
        </w:rPr>
        <w:t>(i) a passport of a foreign resident, or (ii) another document envisaged by an applicable federal law or recognised as a personal identity document of a foreign resident in accordance with the double taxation treaty, and (iii) upon request of the tax agent, a tax residency certificate issued by the competent authorities of his or her country of residence for tax purposes. A notarised Russian translation of the certificate is required. The law, however, does not clearly establish how the tax agent shall determine whether a passport is sufficient to confirm the individual’s eligibility to double taxation treaty benefits. There are no requirements under the Tax Code for the individuals to provide evidence that they can be deemed as actual recipients (beneficial owners) of income from the Russian sources.</w:t>
      </w:r>
    </w:p>
    <w:p w:rsidR="009534E2" w:rsidRDefault="003369EB">
      <w:pPr>
        <w:spacing w:after="200"/>
        <w:ind w:firstLine="461"/>
        <w:rPr>
          <w:rFonts w:eastAsia="Times New Roman" w:asciiTheme="majorHAnsi" w:hAnsiTheme="majorHAnsi" w:cstheme="majorHAnsi"/>
          <w:lang w:val="en-GB"/>
        </w:rPr>
      </w:pPr>
      <w:r>
        <w:rPr>
          <w:rFonts w:asciiTheme="majorHAnsi" w:hAnsiTheme="majorHAnsi" w:cstheme="majorHAnsi"/>
        </w:rPr>
        <w:t>In addition, the application of benefits under Russian double tax treaties may be affected by possible denunciation or suspension of Russian double tax treaties as could be observed by recent trends in this area, caused by changing political environment and weakened international cooperation (see</w:t>
      </w:r>
      <w:r>
        <w:rPr>
          <w:rFonts w:asciiTheme="majorHAnsi" w:hAnsiTheme="majorHAnsi" w:cstheme="majorHAnsi"/>
          <w:i/>
        </w:rPr>
        <w:t xml:space="preserve"> “Risk factors - Weaknesses and changes in the Russian tax system could materially and adversely affect our business and the value of investments in Russia”</w:t>
      </w:r>
      <w:r>
        <w:rPr>
          <w:rFonts w:asciiTheme="majorHAnsi" w:hAnsiTheme="majorHAnsi" w:cstheme="majorHAnsi"/>
        </w:rPr>
        <w:t>). Non-resident holders should consult their own tax advisors regarding possible tax treaty relief and procedures for obtaining such relief with respect to any Russian taxes imposed on any payments received with respect to the ADSs.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lang w:eastAsia="ru-RU"/>
        </w:rPr>
        <w:t>Refund of Tax Withheld</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 xml:space="preserve">If </w:t>
      </w:r>
      <w:r>
        <w:rPr>
          <w:rFonts w:eastAsia="Times New Roman" w:asciiTheme="majorHAnsi" w:hAnsiTheme="majorHAnsi" w:cstheme="majorHAnsi"/>
          <w:szCs w:val="24"/>
          <w:lang w:val="en-GB" w:eastAsia="zh-CN" w:bidi="he-IL"/>
        </w:rPr>
        <w:t xml:space="preserve">Russian withholding tax on income derived from Russian sources by a non-resident holder that is a legal entity has </w:t>
      </w:r>
      <w:r>
        <w:rPr>
          <w:rFonts w:eastAsia="Times New Roman" w:asciiTheme="majorHAnsi" w:hAnsiTheme="majorHAnsi" w:cstheme="majorHAnsi"/>
          <w:lang w:eastAsia="ru-RU"/>
        </w:rPr>
        <w:t xml:space="preserve">been withheld at the source of payment </w:t>
      </w:r>
      <w:r>
        <w:rPr>
          <w:rFonts w:eastAsia="Times New Roman" w:asciiTheme="majorHAnsi" w:hAnsiTheme="majorHAnsi" w:cstheme="majorHAnsi"/>
          <w:szCs w:val="24"/>
          <w:lang w:val="en-GB" w:eastAsia="zh-CN" w:bidi="he-IL"/>
        </w:rPr>
        <w:t>and such non-resident holder that is a legal entity is entitled to benefits of an applicable double tax treaty allowing such non-resident holder not to pay the tax in Russia or pay the tax at a reduced rate in relation to such income,</w:t>
      </w:r>
      <w:r>
        <w:rPr>
          <w:rFonts w:eastAsia="Times New Roman" w:asciiTheme="majorHAnsi" w:hAnsiTheme="majorHAnsi" w:cstheme="majorHAnsi"/>
          <w:lang w:eastAsia="ru-RU"/>
        </w:rPr>
        <w:t xml:space="preserve"> an application for the refund of the tax withheld may be made within three years from the end of the tax period in which the tax was withheld.</w:t>
      </w:r>
    </w:p>
    <w:p w:rsidR="009534E2" w:rsidRDefault="003369EB">
      <w:pPr>
        <w:spacing w:after="200"/>
        <w:ind w:firstLine="460"/>
        <w:rPr>
          <w:rFonts w:eastAsia="Times New Roman" w:asciiTheme="majorHAnsi" w:hAnsiTheme="majorHAnsi" w:cstheme="majorHAnsi"/>
          <w:szCs w:val="24"/>
          <w:lang w:val="en-GB" w:eastAsia="zh-CN" w:bidi="he-IL"/>
        </w:rPr>
      </w:pPr>
      <w:r>
        <w:rPr>
          <w:rFonts w:eastAsia="Times New Roman" w:asciiTheme="majorHAnsi" w:hAnsiTheme="majorHAnsi" w:cstheme="majorHAnsi"/>
          <w:lang w:eastAsia="ru-RU"/>
        </w:rPr>
        <w:t xml:space="preserve">In order to obtain a refund, the non-resident holder that is a legal entity is required to file with the Russian tax authorities </w:t>
      </w:r>
      <w:r>
        <w:rPr>
          <w:rFonts w:eastAsia="Times New Roman" w:asciiTheme="majorHAnsi" w:hAnsiTheme="majorHAnsi" w:cstheme="majorHAnsi"/>
          <w:szCs w:val="24"/>
          <w:lang w:val="en-GB" w:eastAsia="zh-CN" w:bidi="he-IL"/>
        </w:rPr>
        <w:t xml:space="preserve">along with the tax refund claim certain pack of documents. The list of </w:t>
      </w:r>
      <w:r>
        <w:rPr>
          <w:rFonts w:eastAsia="Times New Roman" w:asciiTheme="majorHAnsi" w:hAnsiTheme="majorHAnsi" w:cstheme="majorHAnsi"/>
          <w:lang w:val="en-GB" w:eastAsia="ru-RU"/>
        </w:rPr>
        <w:t xml:space="preserve">such documents </w:t>
      </w:r>
      <w:r>
        <w:rPr>
          <w:rFonts w:eastAsia="Times New Roman" w:asciiTheme="majorHAnsi" w:hAnsiTheme="majorHAnsi" w:cstheme="majorHAnsi"/>
          <w:szCs w:val="24"/>
          <w:lang w:val="en-GB" w:eastAsia="zh-CN" w:bidi="he-IL"/>
        </w:rPr>
        <w:t xml:space="preserve">is stipulated by the Russian Tax Code </w:t>
      </w:r>
      <w:r>
        <w:rPr>
          <w:rFonts w:eastAsia="Times New Roman" w:asciiTheme="majorHAnsi" w:hAnsiTheme="majorHAnsi" w:cstheme="majorHAnsi"/>
          <w:lang w:val="en-GB" w:eastAsia="ru-RU"/>
        </w:rPr>
        <w:t>in respect of legal entities</w:t>
      </w:r>
      <w:r>
        <w:rPr>
          <w:rFonts w:eastAsia="Times New Roman" w:asciiTheme="majorHAnsi" w:hAnsiTheme="majorHAnsi" w:cstheme="majorHAnsi"/>
          <w:szCs w:val="24"/>
          <w:lang w:val="en-GB" w:eastAsia="zh-CN" w:bidi="he-IL"/>
        </w:rPr>
        <w:t>.</w:t>
      </w:r>
    </w:p>
    <w:p w:rsidR="009534E2" w:rsidRDefault="003369EB">
      <w:pPr>
        <w:spacing w:after="200"/>
        <w:ind w:firstLine="460"/>
        <w:rPr>
          <w:rFonts w:eastAsia="Times New Roman" w:asciiTheme="majorHAnsi" w:hAnsiTheme="majorHAnsi" w:cstheme="majorHAnsi"/>
          <w:szCs w:val="24"/>
          <w:lang w:val="en-GB" w:eastAsia="zh-CN" w:bidi="he-IL"/>
        </w:rPr>
      </w:pPr>
      <w:r>
        <w:rPr>
          <w:rFonts w:asciiTheme="majorHAnsi" w:hAnsiTheme="majorHAnsi" w:cstheme="majorHAnsi"/>
          <w:lang w:val="en-GB"/>
        </w:rPr>
        <w:t>If the Russian personal income tax on the income derived from Russian sources by a non-resident holder who is an individual was withheld at source and such individual non-resident holder is entitled to rely on benefits of the applicable double tax treaty allowing such individual not to pay the tax in the Russian Federation or allowing such individual to pay the tax at a reduced rate in relation to such income, an application for a refund can be submitted to the tax agent. The tax agent must refund tax within a three-month period following the date when the application for a refund is submitted. Furthermore, the tax agent itself may request a refund by applying to the Russian tax authorities.</w:t>
      </w:r>
    </w:p>
    <w:p w:rsidR="009534E2" w:rsidRDefault="003369EB">
      <w:pPr>
        <w:spacing w:after="200"/>
        <w:ind w:firstLine="460"/>
        <w:rPr>
          <w:rFonts w:eastAsia="Times New Roman" w:asciiTheme="majorHAnsi" w:hAnsiTheme="majorHAnsi" w:cstheme="majorHAnsi"/>
          <w:szCs w:val="24"/>
          <w:lang w:val="en-GB" w:eastAsia="zh-CN" w:bidi="he-IL"/>
        </w:rPr>
      </w:pPr>
      <w:r>
        <w:rPr>
          <w:rFonts w:eastAsia="Times New Roman" w:asciiTheme="majorHAnsi" w:hAnsiTheme="majorHAnsi" w:cstheme="majorHAnsi"/>
          <w:lang w:eastAsia="ru-RU"/>
        </w:rPr>
        <w:t>The Russian tax authorities may, in practice, require a wide variety of documentation confirming the right to benefits under a double tax treaty. Such documentation, in practice, may not be explicitly required by the Russian Tax Code. Obtaining a refund of Russian tax withheld may be a time-consuming process and can involve considerable practicable difficulties, depending to a large extent on the position of the local tax inspectorates. Furthermore, refund of Russian withholding tax could be complicated for non-resident holders from certain jurisdictions regarded by the Russian authorities as “unfriendly countries” due to currency control limitations imposed (or that could be imposed in the future) on transactions with residents from such jurisdictions. No assurance can be given that a refund of Russian tax withheld will be granted in practice.</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Non-resident holders should consult their own tax advisors should they need to obtain a refund of Russian taxes withheld on any payments received with respect to the ADSs.</w:t>
      </w:r>
    </w:p>
    <w:p w:rsidR="009534E2" w:rsidRDefault="003369EB">
      <w:pPr>
        <w:keepNext/>
        <w:keepLines/>
        <w:spacing w:after="200"/>
        <w:ind w:firstLine="460"/>
        <w:rPr>
          <w:rFonts w:eastAsia="Times New Roman" w:asciiTheme="majorHAnsi" w:hAnsiTheme="majorHAnsi" w:cstheme="majorHAnsi"/>
          <w:sz w:val="24"/>
          <w:szCs w:val="24"/>
        </w:rPr>
      </w:pPr>
      <w:r>
        <w:rPr>
          <w:rFonts w:eastAsia="Times New Roman" w:asciiTheme="majorHAnsi" w:hAnsiTheme="majorHAnsi" w:cstheme="majorHAnsi"/>
          <w:b/>
          <w:bCs/>
          <w:lang w:eastAsia="ru-RU"/>
        </w:rPr>
        <w:t>Resident holders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A resident holder will generally be subject to all applicable Russian taxes in respect of the purchase of the ADSs and income received on the ADSs, including any distributions on ADSs, gains from their sale, exchange or other disposal.</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Resident holders should consult their own tax advisors with respect to their tax position regarding the ADSs.</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F.</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Dividend and Paying Agents.</w:t>
      </w:r>
      <w:bookmarkStart w:name="FDividendandPayingAgents_181501" w:id="617"/>
      <w:bookmarkEnd w:id="617"/>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val="ru-RU" w:eastAsia="ru-RU"/>
        </w:rPr>
        <w:t xml:space="preserve">Not </w:t>
      </w:r>
      <w:r>
        <w:rPr>
          <w:rFonts w:eastAsia="Times New Roman" w:asciiTheme="majorHAnsi" w:hAnsiTheme="majorHAnsi" w:cstheme="majorHAnsi"/>
          <w:szCs w:val="24"/>
          <w:lang w:val="en-GB" w:eastAsia="zh-CN" w:bidi="he-IL"/>
        </w:rPr>
        <w:t>applicable.</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G.</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Statements by Experts.</w:t>
      </w:r>
      <w:bookmarkStart w:name="GStatementsbyExperts_995455" w:id="618"/>
      <w:bookmarkEnd w:id="618"/>
    </w:p>
    <w:p w:rsidR="009534E2" w:rsidRDefault="003369EB">
      <w:pPr>
        <w:spacing w:after="200"/>
        <w:ind w:firstLine="460"/>
        <w:rPr>
          <w:rFonts w:eastAsia="Times New Roman" w:asciiTheme="majorHAnsi" w:hAnsiTheme="majorHAnsi" w:cstheme="majorHAnsi"/>
          <w:sz w:val="22"/>
        </w:rPr>
      </w:pPr>
      <w:r>
        <w:rPr>
          <w:rFonts w:eastAsia="Times New Roman" w:asciiTheme="majorHAnsi" w:hAnsiTheme="majorHAnsi" w:cstheme="majorHAnsi"/>
          <w:lang w:val="ru-RU" w:eastAsia="ru-RU"/>
        </w:rPr>
        <w:t xml:space="preserve">Not </w:t>
      </w:r>
      <w:r>
        <w:rPr>
          <w:rFonts w:eastAsia="Times New Roman" w:asciiTheme="majorHAnsi" w:hAnsiTheme="majorHAnsi" w:cstheme="majorHAnsi"/>
          <w:szCs w:val="24"/>
          <w:lang w:val="en-GB" w:eastAsia="zh-CN" w:bidi="he-IL"/>
        </w:rPr>
        <w:t>applicable</w:t>
      </w:r>
      <w:r>
        <w:rPr>
          <w:rFonts w:eastAsia="Times New Roman" w:asciiTheme="majorHAnsi" w:hAnsiTheme="majorHAnsi" w:cstheme="majorHAnsi"/>
          <w:lang w:val="ru-RU" w:eastAsia="ru-RU"/>
        </w:rPr>
        <w:t>.</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H.</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Documents on Display.</w:t>
      </w:r>
      <w:bookmarkStart w:name="HDocumentsonDisplay_844562" w:id="619"/>
      <w:bookmarkEnd w:id="619"/>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We are subject to the periodic reporting and other informational requirements of the Exchange Act. Under the Exchange Act, we are required to file reports and other information with the SEC. Specifically, we are required to file annually a Form 20-F within four months after the end of each fiscal year, which is December 31. The SEC also maintains a website at www.sec.gov that contains reports, proxy and information statements, and other information regarding registrants that make electronic filings with the SEC using its EDGAR system. As a foreign private issuer, we are exempt from the rules under the Exchange Act prescribing the furnishing and content of quarterly reports and proxy statements, and officers, directors and principal shareholders are exempt from the reporting and short-swing profit recovery provisions contained in Section 16 of the Exchange Act.</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Subsidiary Information.</w:t>
      </w:r>
      <w:bookmarkStart w:name="ISubsidiaryInformation_851181" w:id="620"/>
      <w:bookmarkEnd w:id="620"/>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val="ru-RU" w:eastAsia="ru-RU"/>
        </w:rPr>
        <w:t>Not applicable.</w:t>
      </w:r>
    </w:p>
    <w:p w:rsidR="009534E2" w:rsidRDefault="003369EB">
      <w:pPr>
        <w:keepNext/>
        <w:keepLines/>
        <w:tabs>
          <w:tab w:val="left" w:pos="1168"/>
        </w:tabs>
        <w:spacing w:after="200"/>
        <w:ind w:left="1080" w:hanging="108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11.</w:t>
      </w:r>
      <w:r>
        <w:rPr>
          <w:rFonts w:eastAsia="Times New Roman" w:asciiTheme="majorHAnsi" w:hAnsiTheme="majorHAnsi" w:cstheme="majorHAnsi"/>
          <w:sz w:val="24"/>
          <w:szCs w:val="24"/>
        </w:rPr>
        <w:tab/>
      </w:r>
      <w:r>
        <w:rPr>
          <w:rFonts w:eastAsia="Times New Roman" w:asciiTheme="majorHAnsi" w:hAnsiTheme="majorHAnsi" w:cstheme="majorHAnsi"/>
          <w:b/>
          <w:bCs/>
          <w:lang w:eastAsia="ru-RU"/>
        </w:rPr>
        <w:t>Quantitative and Qualitative Disclosures About Market Risk</w:t>
      </w:r>
      <w:bookmarkStart w:name="ITEM11QuantitativeandQualitativeDisclosu" w:id="621"/>
      <w:bookmarkEnd w:id="621"/>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The main risks that could adversely affect our financial assets, liabilities or future cash flows are foreign exchange risk, liquidity and credit risk. Our management reviews and approves policies for managing each of the risks which are summarized below.</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Foreign exchange risk</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Foreign exchange risk is the risk that fluctuations in exchange rates will adversely affect items in the Group’s consolidated statement of comprehensive income, statement of financial position and/or cash flows. Foreign currency denominated assets and liabilities give rise to foreign exchange exposure.</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i/>
          <w:iCs/>
          <w:lang w:eastAsia="ru-RU"/>
        </w:rPr>
        <w:t>Foreign currency sensitivity</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following table demonstrates the sensitivity to a reasonably possible change in the US dollar exchange rates against the ruble, with all other variables held constant. The impact on profit before tax is due to changes in the carrying amount of monetary assets and liabilities denominated in US dollars when these currencies are not functional currencies of the respective Group subsidiaries. Our exposure to foreign currency changes for all other currencies is not material.</w:t>
      </w:r>
    </w:p>
    <w:tbl>
      <w:tblPr>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572"/>
        <w:gridCol w:w="160"/>
        <w:gridCol w:w="2054"/>
        <w:gridCol w:w="160"/>
        <w:gridCol w:w="1694"/>
      </w:tblGrid>
      <w:tr w:rsidR="009534E2">
        <w:trPr>
          <w:trHeight w:val="20" w:hRule="exact"/>
          <w:jc w:val="center"/>
        </w:trPr>
        <w:tc>
          <w:tcPr>
            <w:tcW w:w="2681" w:type="pct"/>
            <w:tcBorders>
              <w:top w:val="nil"/>
              <w:left w:val="nil"/>
              <w:bottom w:val="nil"/>
              <w:right w:val="nil"/>
            </w:tcBorders>
            <w:vAlign w:val="bottom"/>
          </w:tcPr>
          <w:p w:rsidR="009534E2" w:rsidRDefault="009534E2">
            <w:pPr>
              <w:keepNext/>
              <w:rPr>
                <w:sz w:val="2"/>
              </w:rPr>
            </w:pPr>
            <w:bookmarkStart w:name="_b6a5684e_3a07_4bda_a56c_d00d9e5ed886" w:id="622"/>
            <w:bookmarkStart w:name="_a755e47c_7800_45cc_aaae_4c9e33f4bb5b" w:colFirst="0" w:colLast="0" w:id="623"/>
            <w:bookmarkStart w:name="_d5703bf6_b5f9_4928_82ef_5a1770c66839" w:colFirst="1" w:colLast="1" w:id="624"/>
            <w:bookmarkStart w:name="_95d53438_c824_45d4_800c_2b02d23c0591" w:colFirst="2" w:colLast="2" w:id="625"/>
            <w:bookmarkStart w:name="_90f67da1_542c_45e0_86f6_2857336cb45a" w:colFirst="3" w:colLast="3" w:id="626"/>
            <w:bookmarkStart w:name="_8365b0b0_ca68_4045_b587_ab6e7ce46c65" w:colFirst="4" w:colLast="4" w:id="627"/>
            <w:bookmarkStart w:name="_7119bb74_a4cf_4b00_b3e6_afcf2c9aedbd" w:id="628"/>
            <w:bookmarkEnd w:id="622"/>
          </w:p>
        </w:tc>
        <w:tc>
          <w:tcPr>
            <w:tcW w:w="111" w:type="pct"/>
            <w:tcBorders>
              <w:top w:val="nil"/>
              <w:left w:val="nil"/>
              <w:bottom w:val="nil"/>
              <w:right w:val="nil"/>
            </w:tcBorders>
            <w:noWrap/>
            <w:vAlign w:val="bottom"/>
          </w:tcPr>
          <w:p w:rsidR="009534E2" w:rsidRDefault="009534E2">
            <w:pPr>
              <w:keepNext/>
              <w:rPr>
                <w:sz w:val="2"/>
              </w:rPr>
            </w:pPr>
          </w:p>
        </w:tc>
        <w:tc>
          <w:tcPr>
            <w:tcW w:w="1049" w:type="pct"/>
            <w:tcBorders>
              <w:top w:val="nil"/>
              <w:left w:val="nil"/>
              <w:bottom w:val="nil"/>
              <w:right w:val="nil"/>
            </w:tcBorders>
            <w:noWrap/>
            <w:vAlign w:val="bottom"/>
          </w:tcPr>
          <w:p w:rsidR="009534E2" w:rsidRDefault="009534E2">
            <w:pPr>
              <w:keepNext/>
              <w:rPr>
                <w:sz w:val="2"/>
              </w:rPr>
            </w:pPr>
          </w:p>
        </w:tc>
        <w:tc>
          <w:tcPr>
            <w:tcW w:w="111" w:type="pct"/>
            <w:tcBorders>
              <w:top w:val="nil"/>
              <w:left w:val="nil"/>
              <w:bottom w:val="nil"/>
              <w:right w:val="nil"/>
            </w:tcBorders>
            <w:noWrap/>
            <w:vAlign w:val="bottom"/>
          </w:tcPr>
          <w:p w:rsidR="009534E2" w:rsidRDefault="009534E2">
            <w:pPr>
              <w:keepNext/>
              <w:rPr>
                <w:sz w:val="2"/>
              </w:rPr>
            </w:pPr>
          </w:p>
        </w:tc>
        <w:tc>
          <w:tcPr>
            <w:tcW w:w="1049" w:type="pct"/>
            <w:tcBorders>
              <w:top w:val="nil"/>
              <w:left w:val="nil"/>
              <w:bottom w:val="nil"/>
              <w:right w:val="nil"/>
            </w:tcBorders>
            <w:noWrap/>
            <w:vAlign w:val="bottom"/>
          </w:tcPr>
          <w:p w:rsidR="009534E2" w:rsidRDefault="009534E2">
            <w:pPr>
              <w:keepNext/>
              <w:rPr>
                <w:sz w:val="2"/>
              </w:rPr>
            </w:pPr>
          </w:p>
        </w:tc>
      </w:tr>
      <w:tr w:rsidR="009534E2">
        <w:trPr>
          <w:jc w:val="center"/>
        </w:trPr>
        <w:tc>
          <w:tcPr>
            <w:tcW w:w="2681" w:type="pct"/>
            <w:tcBorders>
              <w:top w:val="nil"/>
              <w:left w:val="nil"/>
              <w:bottom w:val="nil"/>
              <w:right w:val="nil"/>
              <w:tl2br w:val="nil"/>
              <w:tr2bl w:val="nil"/>
            </w:tcBorders>
            <w:shd w:val="clear" w:color="auto" w:fill="auto"/>
            <w:vAlign w:val="bottom"/>
          </w:tcPr>
          <w:p w:rsidR="009534E2" w:rsidRDefault="009534E2">
            <w:pPr>
              <w:keepNext/>
              <w:rPr>
                <w:color w:val="000000"/>
                <w:sz w:val="16"/>
              </w:rPr>
            </w:pPr>
            <w:bookmarkStart w:name="_26332367_1ba6_4b28_b2a1_9f56eb960bd9" w:id="629"/>
            <w:bookmarkEnd w:id="623"/>
            <w:bookmarkEnd w:id="624"/>
            <w:bookmarkEnd w:id="625"/>
            <w:bookmarkEnd w:id="626"/>
            <w:bookmarkEnd w:id="627"/>
          </w:p>
        </w:tc>
        <w:tc>
          <w:tcPr>
            <w:tcW w:w="111" w:type="pct"/>
            <w:tcBorders>
              <w:top w:val="nil"/>
              <w:left w:val="nil"/>
              <w:bottom w:val="nil"/>
              <w:right w:val="nil"/>
              <w:tl2br w:val="nil"/>
              <w:tr2bl w:val="nil"/>
            </w:tcBorders>
            <w:shd w:val="clear" w:color="auto" w:fill="auto"/>
            <w:noWrap/>
            <w:vAlign w:val="bottom"/>
          </w:tcPr>
          <w:p w:rsidR="009534E2" w:rsidRDefault="009534E2">
            <w:pPr>
              <w:keepNext/>
              <w:jc w:val="center"/>
              <w:rPr>
                <w:b/>
                <w:color w:val="000000"/>
                <w:sz w:val="16"/>
              </w:rPr>
            </w:pPr>
          </w:p>
        </w:tc>
        <w:tc>
          <w:tcPr>
            <w:tcW w:w="1049" w:type="pct"/>
            <w:tcBorders>
              <w:top w:val="nil"/>
              <w:left w:val="nil"/>
              <w:bottom w:val="nil"/>
              <w:right w:val="nil"/>
              <w:tl2br w:val="nil"/>
              <w:tr2bl w:val="nil"/>
            </w:tcBorders>
            <w:shd w:val="clear" w:color="auto" w:fill="auto"/>
            <w:noWrap/>
            <w:vAlign w:val="bottom"/>
          </w:tcPr>
          <w:p w:rsidR="009534E2" w:rsidRDefault="009534E2">
            <w:pPr>
              <w:keepNext/>
              <w:jc w:val="center"/>
              <w:rPr>
                <w:color w:val="000000"/>
                <w:sz w:val="16"/>
              </w:rPr>
            </w:pPr>
          </w:p>
        </w:tc>
        <w:tc>
          <w:tcPr>
            <w:tcW w:w="111" w:type="pct"/>
            <w:tcBorders>
              <w:top w:val="nil"/>
              <w:left w:val="nil"/>
              <w:bottom w:val="nil"/>
              <w:right w:val="nil"/>
              <w:tl2br w:val="nil"/>
              <w:tr2bl w:val="nil"/>
            </w:tcBorders>
            <w:shd w:val="clear" w:color="auto" w:fill="auto"/>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    </w:t>
            </w:r>
          </w:p>
        </w:tc>
        <w:tc>
          <w:tcPr>
            <w:tcW w:w="1049"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Effect on profit</w:t>
            </w:r>
          </w:p>
        </w:tc>
      </w:tr>
      <w:tr w:rsidR="009534E2">
        <w:trPr>
          <w:jc w:val="center"/>
        </w:trPr>
        <w:tc>
          <w:tcPr>
            <w:tcW w:w="2681" w:type="pct"/>
            <w:tcBorders>
              <w:top w:val="nil"/>
              <w:left w:val="nil"/>
              <w:bottom w:val="nil"/>
              <w:right w:val="nil"/>
              <w:tl2br w:val="nil"/>
              <w:tr2bl w:val="nil"/>
            </w:tcBorders>
            <w:shd w:val="clear" w:color="auto" w:fill="auto"/>
            <w:vAlign w:val="bottom"/>
          </w:tcPr>
          <w:p w:rsidR="009534E2" w:rsidRDefault="009534E2">
            <w:pPr>
              <w:keepNext/>
              <w:rPr>
                <w:color w:val="000000"/>
                <w:sz w:val="16"/>
              </w:rPr>
            </w:pPr>
            <w:bookmarkStart w:name="_a07dc568_861d_44a4_a79e_d14b851d0fa7" w:id="630"/>
            <w:bookmarkEnd w:id="629"/>
          </w:p>
        </w:tc>
        <w:tc>
          <w:tcPr>
            <w:tcW w:w="111" w:type="pct"/>
            <w:tcBorders>
              <w:top w:val="nil"/>
              <w:left w:val="nil"/>
              <w:bottom w:val="nil"/>
              <w:right w:val="nil"/>
              <w:tl2br w:val="nil"/>
              <w:tr2bl w:val="nil"/>
            </w:tcBorders>
            <w:shd w:val="clear" w:color="auto" w:fill="auto"/>
            <w:noWrap/>
            <w:vAlign w:val="bottom"/>
          </w:tcPr>
          <w:p w:rsidR="009534E2" w:rsidRDefault="009534E2">
            <w:pPr>
              <w:keepNext/>
              <w:jc w:val="center"/>
              <w:rPr>
                <w:b/>
                <w:color w:val="000000"/>
                <w:sz w:val="16"/>
              </w:rPr>
            </w:pPr>
          </w:p>
        </w:tc>
        <w:tc>
          <w:tcPr>
            <w:tcW w:w="1049"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change in the US</w:t>
            </w:r>
          </w:p>
        </w:tc>
        <w:tc>
          <w:tcPr>
            <w:tcW w:w="111" w:type="pct"/>
            <w:tcBorders>
              <w:top w:val="nil"/>
              <w:left w:val="nil"/>
              <w:bottom w:val="nil"/>
              <w:right w:val="nil"/>
              <w:tl2br w:val="nil"/>
              <w:tr2bl w:val="nil"/>
            </w:tcBorders>
            <w:shd w:val="clear" w:color="auto" w:fill="auto"/>
            <w:noWrap/>
            <w:vAlign w:val="bottom"/>
          </w:tcPr>
          <w:p w:rsidR="009534E2" w:rsidRDefault="009534E2">
            <w:pPr>
              <w:keepNext/>
              <w:jc w:val="center"/>
              <w:rPr>
                <w:color w:val="000000"/>
                <w:sz w:val="16"/>
              </w:rPr>
            </w:pPr>
          </w:p>
        </w:tc>
        <w:tc>
          <w:tcPr>
            <w:tcW w:w="1049"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before tax</w:t>
            </w:r>
          </w:p>
        </w:tc>
      </w:tr>
      <w:tr w:rsidR="009534E2">
        <w:trPr>
          <w:jc w:val="center"/>
        </w:trPr>
        <w:tc>
          <w:tcPr>
            <w:tcW w:w="2681" w:type="pct"/>
            <w:tcBorders>
              <w:top w:val="nil"/>
              <w:left w:val="nil"/>
              <w:bottom w:val="nil"/>
              <w:right w:val="nil"/>
              <w:tl2br w:val="nil"/>
              <w:tr2bl w:val="nil"/>
            </w:tcBorders>
            <w:shd w:val="clear" w:color="auto" w:fill="auto"/>
            <w:vAlign w:val="bottom"/>
          </w:tcPr>
          <w:p w:rsidR="009534E2" w:rsidRDefault="009534E2">
            <w:pPr>
              <w:keepNext/>
              <w:rPr>
                <w:color w:val="000000"/>
                <w:sz w:val="16"/>
              </w:rPr>
            </w:pPr>
            <w:bookmarkStart w:name="_98889f28_381f_4e8e_954d_d893a3164863" w:id="631"/>
            <w:bookmarkEnd w:id="630"/>
          </w:p>
        </w:tc>
        <w:tc>
          <w:tcPr>
            <w:tcW w:w="111"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    </w:t>
            </w:r>
          </w:p>
        </w:tc>
        <w:tc>
          <w:tcPr>
            <w:tcW w:w="1049"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Dollar vs Ruble exchange rate</w:t>
            </w:r>
          </w:p>
        </w:tc>
        <w:tc>
          <w:tcPr>
            <w:tcW w:w="111" w:type="pct"/>
            <w:tcBorders>
              <w:top w:val="nil"/>
              <w:left w:val="nil"/>
              <w:bottom w:val="nil"/>
              <w:right w:val="nil"/>
              <w:tl2br w:val="nil"/>
              <w:tr2bl w:val="nil"/>
            </w:tcBorders>
            <w:shd w:val="clear" w:color="auto" w:fill="auto"/>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    </w:t>
            </w:r>
          </w:p>
        </w:tc>
        <w:tc>
          <w:tcPr>
            <w:tcW w:w="1049"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Gain/(loss)</w:t>
            </w:r>
          </w:p>
        </w:tc>
      </w:tr>
      <w:tr w:rsidR="009534E2">
        <w:trPr>
          <w:jc w:val="center"/>
        </w:trPr>
        <w:tc>
          <w:tcPr>
            <w:tcW w:w="2681" w:type="pct"/>
            <w:tcBorders>
              <w:top w:val="nil"/>
              <w:left w:val="nil"/>
              <w:bottom w:val="nil"/>
              <w:right w:val="nil"/>
              <w:tl2br w:val="nil"/>
              <w:tr2bl w:val="nil"/>
            </w:tcBorders>
            <w:shd w:val="clear" w:color="auto" w:fill="auto"/>
            <w:vAlign w:val="bottom"/>
          </w:tcPr>
          <w:p w:rsidR="009534E2" w:rsidRDefault="009534E2">
            <w:pPr>
              <w:keepNext/>
              <w:rPr>
                <w:color w:val="000000"/>
                <w:sz w:val="16"/>
              </w:rPr>
            </w:pPr>
            <w:bookmarkStart w:name="_a168dde0_ab30_4381_87fc_8665fe8f950d" w:id="632"/>
            <w:bookmarkEnd w:id="631"/>
          </w:p>
        </w:tc>
        <w:tc>
          <w:tcPr>
            <w:tcW w:w="111" w:type="pct"/>
            <w:tcBorders>
              <w:top w:val="nil"/>
              <w:left w:val="nil"/>
              <w:bottom w:val="nil"/>
              <w:right w:val="nil"/>
              <w:tl2br w:val="nil"/>
              <w:tr2bl w:val="nil"/>
            </w:tcBorders>
            <w:shd w:val="clear" w:color="auto" w:fill="auto"/>
            <w:noWrap/>
            <w:vAlign w:val="bottom"/>
          </w:tcPr>
          <w:p w:rsidR="009534E2" w:rsidRDefault="009534E2">
            <w:pPr>
              <w:keepNext/>
              <w:rPr>
                <w:color w:val="000000"/>
                <w:sz w:val="16"/>
              </w:rPr>
            </w:pPr>
          </w:p>
        </w:tc>
        <w:tc>
          <w:tcPr>
            <w:tcW w:w="1049" w:type="pct"/>
            <w:tcBorders>
              <w:top w:val="nil"/>
              <w:left w:val="nil"/>
              <w:bottom w:val="nil"/>
              <w:right w:val="nil"/>
              <w:tl2br w:val="nil"/>
              <w:tr2bl w:val="nil"/>
            </w:tcBorders>
            <w:shd w:val="clear" w:color="auto" w:fill="auto"/>
            <w:noWrap/>
            <w:vAlign w:val="bottom"/>
          </w:tcPr>
          <w:p w:rsidR="009534E2" w:rsidRDefault="009534E2">
            <w:pPr>
              <w:keepNext/>
              <w:rPr>
                <w:color w:val="000000"/>
                <w:sz w:val="16"/>
              </w:rPr>
            </w:pPr>
          </w:p>
        </w:tc>
        <w:tc>
          <w:tcPr>
            <w:tcW w:w="111" w:type="pct"/>
            <w:tcBorders>
              <w:top w:val="nil"/>
              <w:left w:val="nil"/>
              <w:bottom w:val="nil"/>
              <w:right w:val="nil"/>
              <w:tl2br w:val="nil"/>
              <w:tr2bl w:val="nil"/>
            </w:tcBorders>
            <w:shd w:val="clear" w:color="auto" w:fill="auto"/>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1049" w:type="pct"/>
            <w:tcBorders>
              <w:top w:val="nil"/>
              <w:left w:val="nil"/>
              <w:bottom w:val="nil"/>
              <w:right w:val="nil"/>
              <w:tl2br w:val="nil"/>
              <w:tr2bl w:val="nil"/>
            </w:tcBorders>
            <w:shd w:val="clear" w:color="auto" w:fill="auto"/>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(in RUB millions)</w:t>
            </w:r>
          </w:p>
        </w:tc>
      </w:tr>
      <w:tr w:rsidR="009534E2">
        <w:trPr>
          <w:jc w:val="center"/>
        </w:trPr>
        <w:tc>
          <w:tcPr>
            <w:tcW w:w="2681" w:type="pct"/>
            <w:tcBorders>
              <w:top w:val="nil"/>
              <w:left w:val="nil"/>
              <w:bottom w:val="nil"/>
              <w:right w:val="nil"/>
              <w:tl2br w:val="nil"/>
              <w:tr2bl w:val="nil"/>
            </w:tcBorders>
            <w:shd w:val="clear" w:color="auto" w:fill="CCEEFF"/>
            <w:vAlign w:val="bottom"/>
          </w:tcPr>
          <w:p w:rsidR="009534E2" w:rsidRDefault="003369EB">
            <w:pPr>
              <w:keepNext/>
              <w:jc w:val="center"/>
              <w:rPr>
                <w:color w:val="000000"/>
              </w:rPr>
            </w:pPr>
            <w:bookmarkStart w:name="_c9eb5882_1547_4ece_bdf6_35ee9d801716" w:id="633"/>
            <w:bookmarkEnd w:id="632"/>
            <w:r>
              <w:rPr>
                <w:rFonts w:ascii="Times New Roman" w:hAnsi="Times New Roman" w:eastAsia="Times New Roman" w:cs="Times New Roman"/>
                <w:color w:val="000000"/>
              </w:rPr>
              <w:t>2022</w:t>
            </w:r>
          </w:p>
        </w:tc>
        <w:tc>
          <w:tcPr>
            <w:tcW w:w="111"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1049"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+10</w:t>
            </w:r>
            <w:r w:rsidR="002931B3">
              <w:rPr>
                <w:rFonts w:ascii="Times New Roman" w:hAnsi="Times New Roman" w:eastAsia="Times New Roman" w:cs="Times New Roman"/>
                <w:color w:val="000000"/>
              </w:rPr>
              <w:t>%</w:t>
            </w:r>
          </w:p>
        </w:tc>
        <w:tc>
          <w:tcPr>
            <w:tcW w:w="111"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1049"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xml:space="preserve"> 263</w:t>
            </w:r>
          </w:p>
        </w:tc>
      </w:tr>
      <w:tr w:rsidR="009534E2">
        <w:trPr>
          <w:jc w:val="center"/>
        </w:trPr>
        <w:tc>
          <w:tcPr>
            <w:tcW w:w="2681" w:type="pct"/>
            <w:tcBorders>
              <w:top w:val="nil"/>
              <w:left w:val="nil"/>
              <w:bottom w:val="nil"/>
              <w:right w:val="nil"/>
              <w:tl2br w:val="nil"/>
              <w:tr2bl w:val="nil"/>
            </w:tcBorders>
            <w:vAlign w:val="bottom"/>
          </w:tcPr>
          <w:p w:rsidR="009534E2" w:rsidRDefault="009534E2">
            <w:pPr>
              <w:keepNext/>
              <w:jc w:val="right"/>
              <w:rPr>
                <w:color w:val="000000"/>
              </w:rPr>
            </w:pPr>
            <w:bookmarkStart w:name="_ede3db4e_7ac6_4453_acdc_6e31632e130d" w:id="634"/>
            <w:bookmarkEnd w:id="633"/>
          </w:p>
        </w:tc>
        <w:tc>
          <w:tcPr>
            <w:tcW w:w="111"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1049"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-10</w:t>
            </w:r>
            <w:r w:rsidR="002931B3">
              <w:rPr>
                <w:rFonts w:ascii="Times New Roman" w:hAnsi="Times New Roman" w:eastAsia="Times New Roman" w:cs="Times New Roman"/>
                <w:color w:val="000000"/>
              </w:rPr>
              <w:t>%</w:t>
            </w:r>
          </w:p>
        </w:tc>
        <w:tc>
          <w:tcPr>
            <w:tcW w:w="111" w:type="pct"/>
            <w:tcBorders>
              <w:top w:val="nil"/>
              <w:left w:val="nil"/>
              <w:bottom w:val="nil"/>
              <w:right w:val="nil"/>
              <w:tl2br w:val="nil"/>
              <w:tr2bl w:val="nil"/>
            </w:tcBorders>
            <w:noWrap/>
            <w:vAlign w:val="bottom"/>
          </w:tcPr>
          <w:p w:rsidR="009534E2" w:rsidRDefault="009534E2">
            <w:pPr>
              <w:keepNext/>
              <w:rPr>
                <w:color w:val="000000"/>
              </w:rPr>
            </w:pPr>
          </w:p>
        </w:tc>
        <w:tc>
          <w:tcPr>
            <w:tcW w:w="1049"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xml:space="preserve"> (263)</w:t>
            </w:r>
          </w:p>
        </w:tc>
      </w:tr>
      <w:tr w:rsidR="009534E2">
        <w:trPr>
          <w:jc w:val="center"/>
        </w:trPr>
        <w:tc>
          <w:tcPr>
            <w:tcW w:w="2681" w:type="pct"/>
            <w:tcBorders>
              <w:top w:val="nil"/>
              <w:left w:val="nil"/>
              <w:bottom w:val="nil"/>
              <w:right w:val="nil"/>
              <w:tl2br w:val="nil"/>
              <w:tr2bl w:val="nil"/>
            </w:tcBorders>
            <w:shd w:val="clear" w:color="auto" w:fill="CCEEFF"/>
            <w:vAlign w:val="bottom"/>
          </w:tcPr>
          <w:p w:rsidR="009534E2" w:rsidRDefault="003369EB">
            <w:pPr>
              <w:keepNext/>
              <w:jc w:val="center"/>
              <w:rPr>
                <w:color w:val="000000"/>
              </w:rPr>
            </w:pPr>
            <w:bookmarkStart w:name="_0a02e53b_8ad7_46c5_bf7f_dfc1c1d30f5e" w:id="635"/>
            <w:bookmarkEnd w:id="634"/>
            <w:r>
              <w:rPr>
                <w:rFonts w:ascii="Times New Roman" w:hAnsi="Times New Roman" w:eastAsia="Times New Roman" w:cs="Times New Roman"/>
                <w:color w:val="000000"/>
              </w:rPr>
              <w:t>2021</w:t>
            </w:r>
          </w:p>
        </w:tc>
        <w:tc>
          <w:tcPr>
            <w:tcW w:w="111"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1049"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+10</w:t>
            </w:r>
            <w:r w:rsidR="002931B3">
              <w:rPr>
                <w:rFonts w:ascii="Times New Roman" w:hAnsi="Times New Roman" w:eastAsia="Times New Roman" w:cs="Times New Roman"/>
                <w:color w:val="000000"/>
              </w:rPr>
              <w:t>%</w:t>
            </w:r>
          </w:p>
        </w:tc>
        <w:tc>
          <w:tcPr>
            <w:tcW w:w="111"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1049"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xml:space="preserve"> 122</w:t>
            </w:r>
          </w:p>
        </w:tc>
      </w:tr>
      <w:tr w:rsidR="009534E2">
        <w:trPr>
          <w:jc w:val="center"/>
        </w:trPr>
        <w:tc>
          <w:tcPr>
            <w:tcW w:w="2681" w:type="pct"/>
            <w:tcBorders>
              <w:top w:val="nil"/>
              <w:left w:val="nil"/>
              <w:bottom w:val="nil"/>
              <w:right w:val="nil"/>
              <w:tl2br w:val="nil"/>
              <w:tr2bl w:val="nil"/>
            </w:tcBorders>
            <w:vAlign w:val="bottom"/>
          </w:tcPr>
          <w:p w:rsidR="009534E2" w:rsidRDefault="009534E2">
            <w:pPr>
              <w:keepNext/>
              <w:jc w:val="right"/>
              <w:rPr>
                <w:color w:val="000000"/>
              </w:rPr>
            </w:pPr>
            <w:bookmarkStart w:name="_d0f25e68_75f9_4969_b06d_c915b8a52ffb" w:id="636"/>
            <w:bookmarkEnd w:id="635"/>
          </w:p>
        </w:tc>
        <w:tc>
          <w:tcPr>
            <w:tcW w:w="111"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1049"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-10</w:t>
            </w:r>
            <w:r w:rsidR="002931B3">
              <w:rPr>
                <w:rFonts w:ascii="Times New Roman" w:hAnsi="Times New Roman" w:eastAsia="Times New Roman" w:cs="Times New Roman"/>
                <w:color w:val="000000"/>
              </w:rPr>
              <w:t>%</w:t>
            </w:r>
          </w:p>
        </w:tc>
        <w:tc>
          <w:tcPr>
            <w:tcW w:w="111" w:type="pct"/>
            <w:tcBorders>
              <w:top w:val="nil"/>
              <w:left w:val="nil"/>
              <w:bottom w:val="nil"/>
              <w:right w:val="nil"/>
              <w:tl2br w:val="nil"/>
              <w:tr2bl w:val="nil"/>
            </w:tcBorders>
            <w:noWrap/>
            <w:vAlign w:val="bottom"/>
          </w:tcPr>
          <w:p w:rsidR="009534E2" w:rsidRDefault="009534E2">
            <w:pPr>
              <w:keepNext/>
              <w:rPr>
                <w:color w:val="000000"/>
              </w:rPr>
            </w:pPr>
          </w:p>
        </w:tc>
        <w:tc>
          <w:tcPr>
            <w:tcW w:w="1049" w:type="pct"/>
            <w:tcBorders>
              <w:top w:val="nil"/>
              <w:left w:val="nil"/>
              <w:bottom w:val="nil"/>
              <w:right w:val="nil"/>
              <w:tl2br w:val="nil"/>
              <w:tr2bl w:val="nil"/>
            </w:tcBorders>
            <w:noWrap/>
            <w:vAlign w:val="bottom"/>
          </w:tcPr>
          <w:p w:rsidR="009534E2" w:rsidRDefault="003369EB">
            <w:pPr>
              <w:keepNext/>
              <w:jc w:val="center"/>
              <w:rPr>
                <w:color w:val="000000"/>
              </w:rPr>
            </w:pPr>
            <w:r>
              <w:rPr>
                <w:rFonts w:ascii="Times New Roman" w:hAnsi="Times New Roman" w:eastAsia="Times New Roman" w:cs="Times New Roman"/>
                <w:color w:val="000000"/>
              </w:rPr>
              <w:t xml:space="preserve"> (122)</w:t>
            </w:r>
          </w:p>
        </w:tc>
      </w:tr>
      <w:bookmarkEnd w:id="628"/>
      <w:bookmarkEnd w:id="636"/>
    </w:tbl>
    <w:p w:rsidR="009534E2" w:rsidRDefault="009534E2">
      <w:pPr>
        <w:rPr>
          <w:rFonts w:asciiTheme="majorHAnsi" w:hAnsiTheme="majorHAnsi" w:cstheme="majorHAnsi"/>
        </w:rPr>
      </w:pPr>
    </w:p>
    <w:p w:rsidR="009534E2" w:rsidRDefault="003369EB">
      <w:pPr>
        <w:keepNext/>
        <w:keepLines/>
        <w:spacing w:after="200"/>
        <w:rPr>
          <w:rFonts w:eastAsia="Times New Roman" w:asciiTheme="majorHAnsi" w:hAnsiTheme="majorHAnsi" w:cstheme="majorHAnsi"/>
          <w:iCs/>
          <w:lang w:eastAsia="ru-RU"/>
        </w:rPr>
      </w:pPr>
      <w:r>
        <w:rPr>
          <w:rFonts w:eastAsia="Times New Roman" w:asciiTheme="majorHAnsi" w:hAnsiTheme="majorHAnsi" w:cstheme="majorHAnsi"/>
          <w:i/>
          <w:iCs/>
          <w:lang w:eastAsia="ru-RU"/>
        </w:rPr>
        <w:t>Liquidity risk and capital management</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Liquidity risk is the risk that an entity will encounter difficulty in meeting obligations associated with financial liabilities. We seek to maintain a stable funding base primarily consisting of agent’s deposits, customer accounts and amounts due to banks and dept. The deposits received from our consumers and agents are also primarily due on demand, but are usually offset against future payments processed through agents. We expect that agent’s deposits will continue to be offset against future payments and not be called by the agents. Customer accounts and amounts due to banks, trade and other payables are due on demand. We have sufficient cash balances and keep them in diversified portfolios of liquid instruments such as government bonds, correspondent account with CBR and overnight placements in high-rated commercial banks, in order to be able to respond timely and steadily to unforeseen liquidity requirements.</w:t>
      </w:r>
    </w:p>
    <w:p w:rsidR="009534E2" w:rsidRDefault="003369EB">
      <w:pPr>
        <w:keepLines/>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Since 2014, the Russian economy has been going through a period of macroeconomic slowdown and liquidity shortage in a number of markets (including those in which we operate), caused among other things by falling oil prices, ruble devaluation and the economic sanctions regime. Banks and other entities in Russia decreased credit limits in their everyday operations and we have noted that our merchants and partners also started and in certain cases continued to request from us larger collaterals to hedge their risks. In 2020, the ruble depreciated substantially and abruptly against the US dollar and the euro due to a steep decline in oil prices. In 2021 the ruble partially regained its positions driven by increased prices on commodities but remained volatile due to geopolitical risks. </w:t>
      </w:r>
      <w:r>
        <w:rPr>
          <w:rFonts w:eastAsia="Arial" w:asciiTheme="majorHAnsi" w:hAnsiTheme="majorHAnsi" w:cstheme="majorHAnsi"/>
          <w:lang w:eastAsia="ru-RU"/>
        </w:rPr>
        <w:t xml:space="preserve">Another major decline occurred in early 2022 in the wake of the military conflict in Ukraine and resuting sanctions. By March 4, 2022, the official Central Bank-issued ruble exchange rate dropped to 111.76 per dollar, compared to 75.76 per dollar on February 21, immediately prior to the escalation, representing a 48% drop over the course of less than two weeks, although the ruble regained much of the ground it lost by late March due to extreme protective measures adopted by the Russian government and the Central Bank, including a mandatory exchange of the majority of currency proceeds by exporters, prohibitively high commissions on foreign currency exchange by individuals, and other protective measures. </w:t>
      </w:r>
      <w:r>
        <w:rPr>
          <w:rFonts w:eastAsia="Times New Roman" w:asciiTheme="majorHAnsi" w:hAnsiTheme="majorHAnsi" w:cstheme="majorHAnsi"/>
          <w:lang w:eastAsia="ru-RU"/>
        </w:rPr>
        <w:t>The full scope of the negative impact that COVID-19, geopolitics and exchange rate volatility have on the Russian economy and available liquidity remains unclear but has the potential to be very significant. We were able to manage these conditions and requirements to date, though the liquidity shortage in the market, if exacerbated may have negative effects on our operations, which cannot be now reliably estimated.</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According to CBR requirements, bank’s capital calculated based on CBR instructions should be not less than certain portion of its risk-adjusted assets. As of December 31, 2022, Qiwi Bank JSC’s capital ratio N1.0 is above the minimal level required of 8%. We monitor the fulfillment of requirements on a daily basis and send the reports to CBR on a monthly basis. As of the years ended December 31, 2022 and 2021 Qiwi Bank JSC met the capital adequacy requirements.</w:t>
      </w:r>
    </w:p>
    <w:p w:rsidR="009534E2" w:rsidRDefault="003369EB">
      <w:pPr>
        <w:keepNext/>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manage our capital structure and adjust it, in light of changes in economic conditions. Our capital includes share capital, share premium, additional paid-in capital, other reserves and translation reserve. To maintain or adjust the capital structure, we may make dividend payments to shareholders or issue new shares. Currently, we require capital to finance our growth. Notwithstanding that we generate significant cash from our operations, in 2020 we issued RUB 5 billion bonds primarily to fund the growth of the factoring portfolio of the ROWI project. The table below summarizes the maturity profile of our financial liabilities based on contractual undiscounted payments.</w:t>
      </w:r>
    </w:p>
    <w:tbl>
      <w:tblPr>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750"/>
        <w:gridCol w:w="193"/>
        <w:gridCol w:w="772"/>
        <w:gridCol w:w="193"/>
        <w:gridCol w:w="805"/>
        <w:gridCol w:w="193"/>
        <w:gridCol w:w="772"/>
        <w:gridCol w:w="194"/>
        <w:gridCol w:w="768"/>
      </w:tblGrid>
      <w:tr w:rsidR="009534E2">
        <w:trPr>
          <w:trHeight w:val="20" w:hRule="exact"/>
          <w:jc w:val="center"/>
        </w:trPr>
        <w:tc>
          <w:tcPr>
            <w:tcW w:w="2751" w:type="pct"/>
            <w:tcBorders>
              <w:top w:val="nil"/>
              <w:left w:val="nil"/>
              <w:bottom w:val="nil"/>
              <w:right w:val="nil"/>
            </w:tcBorders>
            <w:vAlign w:val="bottom"/>
          </w:tcPr>
          <w:p w:rsidR="009534E2" w:rsidRDefault="009534E2">
            <w:pPr>
              <w:keepNext/>
              <w:rPr>
                <w:sz w:val="2"/>
              </w:rPr>
            </w:pPr>
            <w:bookmarkStart w:name="_ad3d6907_e637_4794_885c_dc9b6a140910" w:colFirst="0" w:colLast="0" w:id="637"/>
            <w:bookmarkStart w:name="_4f5eeb4b_589b_4adc_b53d_5eecc06be889" w:colFirst="1" w:colLast="1" w:id="638"/>
            <w:bookmarkStart w:name="_b67e8eec_3795_4265_8ddb_c0d13cae7bba" w:colFirst="2" w:colLast="2" w:id="639"/>
            <w:bookmarkStart w:name="_7dd86129_680b_4ed9_9ad2_35c173117506" w:colFirst="3" w:colLast="3" w:id="640"/>
            <w:bookmarkStart w:name="_2097fc38_1e6e_452c_9a8b_e5f1c04f8415" w:colFirst="4" w:colLast="4" w:id="641"/>
            <w:bookmarkStart w:name="_967b0017_d958_46f8_bac6_b3c6dcef5286" w:colFirst="5" w:colLast="5" w:id="642"/>
            <w:bookmarkStart w:name="_b24d70e7_b9c4_4350_9ad0_f23187cca5d1" w:colFirst="6" w:colLast="6" w:id="643"/>
            <w:bookmarkStart w:name="_1af601f0_9db5_4b2e_8ad9_6135c57fa81e" w:colFirst="7" w:colLast="7" w:id="644"/>
            <w:bookmarkStart w:name="_3b37a2e3_ae37_4bd9_850c_5c3412ba7d69" w:colFirst="8" w:colLast="8" w:id="645"/>
            <w:bookmarkStart w:name="_01421afc_aec1_4a9a_854a_6a6cb4ea4ece" w:id="646"/>
          </w:p>
        </w:tc>
        <w:tc>
          <w:tcPr>
            <w:tcW w:w="114" w:type="pct"/>
            <w:tcBorders>
              <w:top w:val="nil"/>
              <w:left w:val="nil"/>
              <w:bottom w:val="nil"/>
              <w:right w:val="nil"/>
            </w:tcBorders>
            <w:noWrap/>
            <w:vAlign w:val="bottom"/>
          </w:tcPr>
          <w:p w:rsidR="009534E2" w:rsidRDefault="009534E2">
            <w:pPr>
              <w:keepNext/>
              <w:rPr>
                <w:sz w:val="2"/>
              </w:rPr>
            </w:pPr>
          </w:p>
        </w:tc>
        <w:tc>
          <w:tcPr>
            <w:tcW w:w="449" w:type="pct"/>
            <w:tcBorders>
              <w:top w:val="nil"/>
              <w:left w:val="nil"/>
              <w:bottom w:val="nil"/>
              <w:right w:val="nil"/>
            </w:tcBorders>
            <w:noWrap/>
            <w:vAlign w:val="bottom"/>
          </w:tcPr>
          <w:p w:rsidR="009534E2" w:rsidRDefault="009534E2">
            <w:pPr>
              <w:keepNext/>
              <w:rPr>
                <w:sz w:val="2"/>
              </w:rPr>
            </w:pPr>
          </w:p>
        </w:tc>
        <w:tc>
          <w:tcPr>
            <w:tcW w:w="114" w:type="pct"/>
            <w:tcBorders>
              <w:top w:val="nil"/>
              <w:left w:val="nil"/>
              <w:bottom w:val="nil"/>
              <w:right w:val="nil"/>
            </w:tcBorders>
            <w:noWrap/>
            <w:vAlign w:val="bottom"/>
          </w:tcPr>
          <w:p w:rsidR="009534E2" w:rsidRDefault="009534E2">
            <w:pPr>
              <w:keepNext/>
              <w:rPr>
                <w:sz w:val="2"/>
              </w:rPr>
            </w:pPr>
          </w:p>
        </w:tc>
        <w:tc>
          <w:tcPr>
            <w:tcW w:w="449" w:type="pct"/>
            <w:tcBorders>
              <w:top w:val="nil"/>
              <w:left w:val="nil"/>
              <w:bottom w:val="nil"/>
              <w:right w:val="nil"/>
            </w:tcBorders>
            <w:noWrap/>
            <w:vAlign w:val="bottom"/>
          </w:tcPr>
          <w:p w:rsidR="009534E2" w:rsidRDefault="009534E2">
            <w:pPr>
              <w:keepNext/>
              <w:rPr>
                <w:sz w:val="2"/>
              </w:rPr>
            </w:pPr>
          </w:p>
        </w:tc>
        <w:tc>
          <w:tcPr>
            <w:tcW w:w="114" w:type="pct"/>
            <w:tcBorders>
              <w:top w:val="nil"/>
              <w:left w:val="nil"/>
              <w:bottom w:val="nil"/>
              <w:right w:val="nil"/>
            </w:tcBorders>
            <w:noWrap/>
            <w:vAlign w:val="bottom"/>
          </w:tcPr>
          <w:p w:rsidR="009534E2" w:rsidRDefault="009534E2">
            <w:pPr>
              <w:keepNext/>
              <w:rPr>
                <w:sz w:val="2"/>
              </w:rPr>
            </w:pPr>
          </w:p>
        </w:tc>
        <w:tc>
          <w:tcPr>
            <w:tcW w:w="449" w:type="pct"/>
            <w:tcBorders>
              <w:top w:val="nil"/>
              <w:left w:val="nil"/>
              <w:bottom w:val="nil"/>
              <w:right w:val="nil"/>
            </w:tcBorders>
            <w:noWrap/>
            <w:vAlign w:val="bottom"/>
          </w:tcPr>
          <w:p w:rsidR="009534E2" w:rsidRDefault="009534E2">
            <w:pPr>
              <w:keepNext/>
              <w:rPr>
                <w:sz w:val="2"/>
              </w:rPr>
            </w:pPr>
          </w:p>
        </w:tc>
        <w:tc>
          <w:tcPr>
            <w:tcW w:w="114" w:type="pct"/>
            <w:tcBorders>
              <w:top w:val="nil"/>
              <w:left w:val="nil"/>
              <w:bottom w:val="nil"/>
              <w:right w:val="nil"/>
            </w:tcBorders>
            <w:noWrap/>
            <w:vAlign w:val="bottom"/>
          </w:tcPr>
          <w:p w:rsidR="009534E2" w:rsidRDefault="009534E2">
            <w:pPr>
              <w:keepNext/>
              <w:rPr>
                <w:sz w:val="2"/>
              </w:rPr>
            </w:pPr>
          </w:p>
        </w:tc>
        <w:tc>
          <w:tcPr>
            <w:tcW w:w="449" w:type="pct"/>
            <w:tcBorders>
              <w:top w:val="nil"/>
              <w:left w:val="nil"/>
              <w:bottom w:val="nil"/>
              <w:right w:val="nil"/>
            </w:tcBorders>
            <w:noWrap/>
            <w:vAlign w:val="bottom"/>
          </w:tcPr>
          <w:p w:rsidR="009534E2" w:rsidRDefault="009534E2">
            <w:pPr>
              <w:keepNext/>
              <w:rPr>
                <w:sz w:val="2"/>
              </w:rPr>
            </w:pPr>
          </w:p>
        </w:tc>
      </w:tr>
      <w:tr w:rsidR="009534E2">
        <w:trPr>
          <w:jc w:val="center"/>
        </w:trPr>
        <w:tc>
          <w:tcPr>
            <w:tcW w:w="2751" w:type="pct"/>
            <w:tcBorders>
              <w:top w:val="nil"/>
              <w:left w:val="nil"/>
              <w:bottom w:val="nil"/>
              <w:right w:val="nil"/>
              <w:tl2br w:val="nil"/>
              <w:tr2bl w:val="nil"/>
            </w:tcBorders>
            <w:shd w:val="clear" w:color="auto" w:fill="auto"/>
            <w:vAlign w:val="bottom"/>
          </w:tcPr>
          <w:p w:rsidR="009534E2" w:rsidRDefault="009534E2">
            <w:pPr>
              <w:keepNext/>
              <w:rPr>
                <w:color w:val="000000"/>
                <w:sz w:val="16"/>
              </w:rPr>
            </w:pPr>
            <w:bookmarkStart w:name="_25b1ee8a_83fe_48c2_8de2_daa2f3fd4702" w:id="647"/>
            <w:bookmarkEnd w:id="637"/>
            <w:bookmarkEnd w:id="638"/>
            <w:bookmarkEnd w:id="639"/>
            <w:bookmarkEnd w:id="640"/>
            <w:bookmarkEnd w:id="641"/>
            <w:bookmarkEnd w:id="642"/>
            <w:bookmarkEnd w:id="643"/>
            <w:bookmarkEnd w:id="644"/>
            <w:bookmarkEnd w:id="645"/>
          </w:p>
        </w:tc>
        <w:tc>
          <w:tcPr>
            <w:tcW w:w="114" w:type="pct"/>
            <w:tcBorders>
              <w:top w:val="nil"/>
              <w:left w:val="nil"/>
              <w:bottom w:val="nil"/>
              <w:right w:val="nil"/>
              <w:tl2br w:val="nil"/>
              <w:tr2bl w:val="nil"/>
            </w:tcBorders>
            <w:shd w:val="clear" w:color="auto" w:fill="auto"/>
            <w:noWrap/>
            <w:vAlign w:val="bottom"/>
          </w:tcPr>
          <w:p w:rsidR="009534E2" w:rsidRDefault="009534E2">
            <w:pPr>
              <w:keepNext/>
              <w:jc w:val="center"/>
              <w:rPr>
                <w:b/>
                <w:color w:val="000000"/>
                <w:sz w:val="16"/>
              </w:rPr>
            </w:pPr>
          </w:p>
        </w:tc>
        <w:tc>
          <w:tcPr>
            <w:tcW w:w="449" w:type="pct"/>
            <w:tcBorders>
              <w:top w:val="nil"/>
              <w:left w:val="nil"/>
              <w:bottom w:val="nil"/>
              <w:right w:val="nil"/>
              <w:tl2br w:val="nil"/>
              <w:tr2bl w:val="nil"/>
            </w:tcBorders>
            <w:shd w:val="clear" w:color="auto" w:fill="auto"/>
            <w:noWrap/>
            <w:vAlign w:val="bottom"/>
          </w:tcPr>
          <w:p w:rsidR="009534E2" w:rsidRDefault="009534E2">
            <w:pPr>
              <w:keepNext/>
              <w:jc w:val="center"/>
              <w:rPr>
                <w:color w:val="000000"/>
                <w:sz w:val="16"/>
              </w:rPr>
            </w:pPr>
          </w:p>
        </w:tc>
        <w:tc>
          <w:tcPr>
            <w:tcW w:w="114"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    </w:t>
            </w:r>
          </w:p>
        </w:tc>
        <w:tc>
          <w:tcPr>
            <w:tcW w:w="449"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Due:</w:t>
            </w:r>
          </w:p>
        </w:tc>
        <w:tc>
          <w:tcPr>
            <w:tcW w:w="114"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    </w:t>
            </w:r>
          </w:p>
        </w:tc>
        <w:tc>
          <w:tcPr>
            <w:tcW w:w="449"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Within</w:t>
            </w:r>
          </w:p>
        </w:tc>
        <w:tc>
          <w:tcPr>
            <w:tcW w:w="114"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    </w:t>
            </w:r>
          </w:p>
        </w:tc>
        <w:tc>
          <w:tcPr>
            <w:tcW w:w="449"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More than</w:t>
            </w:r>
          </w:p>
        </w:tc>
      </w:tr>
      <w:tr w:rsidR="009534E2">
        <w:trPr>
          <w:jc w:val="center"/>
        </w:trPr>
        <w:tc>
          <w:tcPr>
            <w:tcW w:w="2751" w:type="pct"/>
            <w:tcBorders>
              <w:top w:val="nil"/>
              <w:left w:val="nil"/>
              <w:bottom w:val="nil"/>
              <w:right w:val="nil"/>
              <w:tl2br w:val="nil"/>
              <w:tr2bl w:val="nil"/>
            </w:tcBorders>
            <w:shd w:val="clear" w:color="auto" w:fill="auto"/>
            <w:vAlign w:val="bottom"/>
          </w:tcPr>
          <w:p w:rsidR="009534E2" w:rsidRDefault="009534E2">
            <w:pPr>
              <w:keepNext/>
              <w:rPr>
                <w:color w:val="000000"/>
                <w:sz w:val="16"/>
              </w:rPr>
            </w:pPr>
            <w:bookmarkStart w:name="_cdb0d4b7_d27d_4c88_bbce_4415f9ad62e0" w:id="648"/>
            <w:bookmarkEnd w:id="647"/>
          </w:p>
        </w:tc>
        <w:tc>
          <w:tcPr>
            <w:tcW w:w="114"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    </w:t>
            </w:r>
          </w:p>
        </w:tc>
        <w:tc>
          <w:tcPr>
            <w:tcW w:w="449"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Total</w:t>
            </w:r>
          </w:p>
        </w:tc>
        <w:tc>
          <w:tcPr>
            <w:tcW w:w="114"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    </w:t>
            </w:r>
          </w:p>
        </w:tc>
        <w:tc>
          <w:tcPr>
            <w:tcW w:w="449"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On demand</w:t>
            </w:r>
          </w:p>
        </w:tc>
        <w:tc>
          <w:tcPr>
            <w:tcW w:w="114"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    </w:t>
            </w:r>
          </w:p>
        </w:tc>
        <w:tc>
          <w:tcPr>
            <w:tcW w:w="449"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a year</w:t>
            </w:r>
          </w:p>
        </w:tc>
        <w:tc>
          <w:tcPr>
            <w:tcW w:w="114"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    </w:t>
            </w:r>
          </w:p>
        </w:tc>
        <w:tc>
          <w:tcPr>
            <w:tcW w:w="449"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a year</w:t>
            </w:r>
          </w:p>
        </w:tc>
      </w:tr>
      <w:tr w:rsidR="009534E2">
        <w:trPr>
          <w:jc w:val="center"/>
        </w:trPr>
        <w:tc>
          <w:tcPr>
            <w:tcW w:w="2751" w:type="pct"/>
            <w:tcBorders>
              <w:top w:val="nil"/>
              <w:left w:val="nil"/>
              <w:bottom w:val="nil"/>
              <w:right w:val="nil"/>
              <w:tl2br w:val="nil"/>
              <w:tr2bl w:val="nil"/>
            </w:tcBorders>
            <w:shd w:val="clear" w:color="auto" w:fill="auto"/>
            <w:vAlign w:val="bottom"/>
          </w:tcPr>
          <w:p w:rsidR="009534E2" w:rsidRDefault="009534E2">
            <w:pPr>
              <w:keepNext/>
              <w:rPr>
                <w:color w:val="000000"/>
                <w:sz w:val="16"/>
              </w:rPr>
            </w:pPr>
            <w:bookmarkStart w:name="_95c64d6e_f3e1_40ca_952c_ba4297f0e179" w:id="649"/>
            <w:bookmarkEnd w:id="648"/>
          </w:p>
        </w:tc>
        <w:tc>
          <w:tcPr>
            <w:tcW w:w="114" w:type="pct"/>
            <w:tcBorders>
              <w:top w:val="nil"/>
              <w:left w:val="nil"/>
              <w:bottom w:val="nil"/>
              <w:right w:val="nil"/>
              <w:tl2br w:val="nil"/>
              <w:tr2bl w:val="nil"/>
            </w:tcBorders>
            <w:shd w:val="clear" w:color="auto" w:fill="auto"/>
            <w:noWrap/>
            <w:vAlign w:val="bottom"/>
          </w:tcPr>
          <w:p w:rsidR="009534E2" w:rsidRDefault="009534E2">
            <w:pPr>
              <w:keepNext/>
              <w:jc w:val="center"/>
              <w:rPr>
                <w:color w:val="000000"/>
                <w:sz w:val="16"/>
              </w:rPr>
            </w:pPr>
          </w:p>
        </w:tc>
        <w:tc>
          <w:tcPr>
            <w:tcW w:w="2135" w:type="pct"/>
            <w:gridSpan w:val="7"/>
            <w:tcBorders>
              <w:top w:val="nil"/>
              <w:left w:val="nil"/>
              <w:bottom w:val="nil"/>
              <w:right w:val="nil"/>
              <w:tl2br w:val="nil"/>
              <w:tr2bl w:val="nil"/>
            </w:tcBorders>
            <w:shd w:val="clear" w:color="auto" w:fill="auto"/>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(in RUB millions)</w:t>
            </w:r>
          </w:p>
        </w:tc>
      </w:tr>
      <w:tr w:rsidR="009534E2">
        <w:trPr>
          <w:jc w:val="center"/>
        </w:trPr>
        <w:tc>
          <w:tcPr>
            <w:tcW w:w="2751"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5e610d12_47f7_41d8_8fbc_cecfe1011f3c" w:id="650"/>
            <w:bookmarkEnd w:id="649"/>
            <w:r>
              <w:rPr>
                <w:rFonts w:ascii="Times New Roman" w:hAnsi="Times New Roman" w:eastAsia="Times New Roman" w:cs="Times New Roman"/>
                <w:color w:val="000000"/>
              </w:rPr>
              <w:t>Debt</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4,251</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4,251</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w:t>
            </w:r>
          </w:p>
        </w:tc>
      </w:tr>
      <w:tr w:rsidR="009534E2">
        <w:trPr>
          <w:jc w:val="center"/>
        </w:trPr>
        <w:tc>
          <w:tcPr>
            <w:tcW w:w="2751" w:type="pct"/>
            <w:tcBorders>
              <w:top w:val="nil"/>
              <w:left w:val="nil"/>
              <w:bottom w:val="nil"/>
              <w:right w:val="nil"/>
              <w:tl2br w:val="nil"/>
              <w:tr2bl w:val="nil"/>
            </w:tcBorders>
            <w:vAlign w:val="bottom"/>
          </w:tcPr>
          <w:p w:rsidR="009534E2" w:rsidRDefault="003369EB">
            <w:pPr>
              <w:keepNext/>
              <w:rPr>
                <w:color w:val="000000"/>
              </w:rPr>
            </w:pPr>
            <w:bookmarkStart w:name="_3c11162c_ca6b_4406_9770_f15471447515" w:id="651"/>
            <w:bookmarkEnd w:id="650"/>
            <w:r>
              <w:rPr>
                <w:rFonts w:ascii="Times New Roman" w:hAnsi="Times New Roman" w:eastAsia="Times New Roman" w:cs="Times New Roman"/>
                <w:color w:val="000000"/>
              </w:rPr>
              <w:t>Lease liabilities</w:t>
            </w:r>
          </w:p>
        </w:tc>
        <w:tc>
          <w:tcPr>
            <w:tcW w:w="114"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9"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472</w:t>
            </w:r>
          </w:p>
        </w:tc>
        <w:tc>
          <w:tcPr>
            <w:tcW w:w="114"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9"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w:t>
            </w:r>
          </w:p>
        </w:tc>
        <w:tc>
          <w:tcPr>
            <w:tcW w:w="114"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9"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317</w:t>
            </w:r>
          </w:p>
        </w:tc>
        <w:tc>
          <w:tcPr>
            <w:tcW w:w="114"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9"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155</w:t>
            </w:r>
          </w:p>
        </w:tc>
      </w:tr>
      <w:tr w:rsidR="009534E2">
        <w:trPr>
          <w:jc w:val="center"/>
        </w:trPr>
        <w:tc>
          <w:tcPr>
            <w:tcW w:w="2751"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3f37f349_99da_4ad2_9fbd_493929e030f5" w:id="652"/>
            <w:bookmarkEnd w:id="651"/>
            <w:r>
              <w:rPr>
                <w:rFonts w:ascii="Times New Roman" w:hAnsi="Times New Roman" w:eastAsia="Times New Roman" w:cs="Times New Roman"/>
                <w:color w:val="000000"/>
              </w:rPr>
              <w:t>Trade and other payables</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33,048</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33,048</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w:t>
            </w:r>
          </w:p>
        </w:tc>
      </w:tr>
      <w:tr w:rsidR="009534E2">
        <w:trPr>
          <w:jc w:val="center"/>
        </w:trPr>
        <w:tc>
          <w:tcPr>
            <w:tcW w:w="2751" w:type="pct"/>
            <w:tcBorders>
              <w:top w:val="nil"/>
              <w:left w:val="nil"/>
              <w:bottom w:val="nil"/>
              <w:right w:val="nil"/>
              <w:tl2br w:val="nil"/>
              <w:tr2bl w:val="nil"/>
            </w:tcBorders>
            <w:vAlign w:val="bottom"/>
          </w:tcPr>
          <w:p w:rsidR="009534E2" w:rsidRDefault="003369EB">
            <w:pPr>
              <w:keepNext/>
              <w:rPr>
                <w:color w:val="000000"/>
              </w:rPr>
            </w:pPr>
            <w:bookmarkStart w:name="_9223b559_d005_46ff_b79a_05784da91b1c" w:id="653"/>
            <w:bookmarkEnd w:id="652"/>
            <w:r>
              <w:rPr>
                <w:rFonts w:ascii="Times New Roman" w:hAnsi="Times New Roman" w:eastAsia="Times New Roman" w:cs="Times New Roman"/>
                <w:color w:val="000000"/>
              </w:rPr>
              <w:t>Customer accounts and amounts due to banks</w:t>
            </w:r>
          </w:p>
        </w:tc>
        <w:tc>
          <w:tcPr>
            <w:tcW w:w="114"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9"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11,203</w:t>
            </w:r>
          </w:p>
        </w:tc>
        <w:tc>
          <w:tcPr>
            <w:tcW w:w="114"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9"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11,203</w:t>
            </w:r>
          </w:p>
        </w:tc>
        <w:tc>
          <w:tcPr>
            <w:tcW w:w="114"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9"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w:t>
            </w:r>
          </w:p>
        </w:tc>
        <w:tc>
          <w:tcPr>
            <w:tcW w:w="114"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9"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w:t>
            </w:r>
          </w:p>
        </w:tc>
      </w:tr>
      <w:tr w:rsidR="009534E2">
        <w:trPr>
          <w:jc w:val="center"/>
        </w:trPr>
        <w:tc>
          <w:tcPr>
            <w:tcW w:w="2751"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eebed137_1607_4ef5_81c5_2d072ad0c232" w:id="654"/>
            <w:bookmarkEnd w:id="653"/>
            <w:r>
              <w:rPr>
                <w:rFonts w:ascii="Times New Roman" w:hAnsi="Times New Roman" w:eastAsia="Times New Roman" w:cs="Times New Roman"/>
                <w:color w:val="000000"/>
              </w:rPr>
              <w:t>Financial guaranties</w:t>
            </w:r>
          </w:p>
        </w:tc>
        <w:tc>
          <w:tcPr>
            <w:tcW w:w="114"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1,000</w:t>
            </w:r>
          </w:p>
        </w:tc>
        <w:tc>
          <w:tcPr>
            <w:tcW w:w="114"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w:t>
            </w:r>
          </w:p>
        </w:tc>
        <w:tc>
          <w:tcPr>
            <w:tcW w:w="114"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500</w:t>
            </w:r>
          </w:p>
        </w:tc>
        <w:tc>
          <w:tcPr>
            <w:tcW w:w="114"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500</w:t>
            </w:r>
          </w:p>
        </w:tc>
      </w:tr>
      <w:tr w:rsidR="009534E2">
        <w:trPr>
          <w:jc w:val="center"/>
        </w:trPr>
        <w:tc>
          <w:tcPr>
            <w:tcW w:w="2751" w:type="pct"/>
            <w:tcBorders>
              <w:top w:val="nil"/>
              <w:left w:val="nil"/>
              <w:bottom w:val="nil"/>
              <w:right w:val="nil"/>
              <w:tl2br w:val="nil"/>
              <w:tr2bl w:val="nil"/>
            </w:tcBorders>
            <w:vAlign w:val="bottom"/>
          </w:tcPr>
          <w:p w:rsidR="009534E2" w:rsidRDefault="003369EB">
            <w:pPr>
              <w:keepNext/>
              <w:rPr>
                <w:color w:val="000000"/>
              </w:rPr>
            </w:pPr>
            <w:bookmarkStart w:name="_4ed4af6c_336e_4270_a41b_a8e7596799e3" w:id="655"/>
            <w:bookmarkEnd w:id="654"/>
            <w:r>
              <w:rPr>
                <w:rFonts w:ascii="Times New Roman" w:hAnsi="Times New Roman" w:eastAsia="Times New Roman" w:cs="Times New Roman"/>
                <w:color w:val="000000"/>
              </w:rPr>
              <w:t>Undrown credit commitments</w:t>
            </w:r>
          </w:p>
        </w:tc>
        <w:tc>
          <w:tcPr>
            <w:tcW w:w="114" w:type="pct"/>
            <w:tcBorders>
              <w:top w:val="nil"/>
              <w:left w:val="nil"/>
              <w:bottom w:val="nil"/>
              <w:right w:val="nil"/>
              <w:tl2br w:val="nil"/>
              <w:tr2bl w:val="nil"/>
            </w:tcBorders>
            <w:noWrap/>
            <w:vAlign w:val="bottom"/>
          </w:tcPr>
          <w:p w:rsidR="009534E2" w:rsidRDefault="009534E2">
            <w:pPr>
              <w:keepNext/>
              <w:rPr>
                <w:color w:val="000000"/>
              </w:rPr>
            </w:pPr>
          </w:p>
        </w:tc>
        <w:tc>
          <w:tcPr>
            <w:tcW w:w="449"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1,618</w:t>
            </w:r>
          </w:p>
        </w:tc>
        <w:tc>
          <w:tcPr>
            <w:tcW w:w="114" w:type="pct"/>
            <w:tcBorders>
              <w:top w:val="nil"/>
              <w:left w:val="nil"/>
              <w:bottom w:val="nil"/>
              <w:right w:val="nil"/>
              <w:tl2br w:val="nil"/>
              <w:tr2bl w:val="nil"/>
            </w:tcBorders>
            <w:noWrap/>
            <w:vAlign w:val="bottom"/>
          </w:tcPr>
          <w:p w:rsidR="009534E2" w:rsidRDefault="009534E2">
            <w:pPr>
              <w:keepNext/>
              <w:rPr>
                <w:color w:val="000000"/>
              </w:rPr>
            </w:pPr>
          </w:p>
        </w:tc>
        <w:tc>
          <w:tcPr>
            <w:tcW w:w="449"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1,618</w:t>
            </w:r>
          </w:p>
        </w:tc>
        <w:tc>
          <w:tcPr>
            <w:tcW w:w="114" w:type="pct"/>
            <w:tcBorders>
              <w:top w:val="nil"/>
              <w:left w:val="nil"/>
              <w:bottom w:val="nil"/>
              <w:right w:val="nil"/>
              <w:tl2br w:val="nil"/>
              <w:tr2bl w:val="nil"/>
            </w:tcBorders>
            <w:noWrap/>
            <w:vAlign w:val="bottom"/>
          </w:tcPr>
          <w:p w:rsidR="009534E2" w:rsidRDefault="009534E2">
            <w:pPr>
              <w:keepNext/>
              <w:rPr>
                <w:color w:val="000000"/>
              </w:rPr>
            </w:pPr>
          </w:p>
        </w:tc>
        <w:tc>
          <w:tcPr>
            <w:tcW w:w="449"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w:t>
            </w:r>
          </w:p>
        </w:tc>
        <w:tc>
          <w:tcPr>
            <w:tcW w:w="114" w:type="pct"/>
            <w:tcBorders>
              <w:top w:val="nil"/>
              <w:left w:val="nil"/>
              <w:bottom w:val="nil"/>
              <w:right w:val="nil"/>
              <w:tl2br w:val="nil"/>
              <w:tr2bl w:val="nil"/>
            </w:tcBorders>
            <w:noWrap/>
            <w:vAlign w:val="bottom"/>
          </w:tcPr>
          <w:p w:rsidR="009534E2" w:rsidRDefault="009534E2">
            <w:pPr>
              <w:keepNext/>
              <w:rPr>
                <w:color w:val="000000"/>
              </w:rPr>
            </w:pPr>
          </w:p>
        </w:tc>
        <w:tc>
          <w:tcPr>
            <w:tcW w:w="449"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w:t>
            </w:r>
          </w:p>
        </w:tc>
      </w:tr>
      <w:tr w:rsidR="009534E2">
        <w:trPr>
          <w:jc w:val="center"/>
        </w:trPr>
        <w:tc>
          <w:tcPr>
            <w:tcW w:w="2751" w:type="pct"/>
            <w:tcBorders>
              <w:top w:val="nil"/>
              <w:left w:val="nil"/>
              <w:bottom w:val="nil"/>
              <w:right w:val="nil"/>
              <w:tl2br w:val="nil"/>
              <w:tr2bl w:val="nil"/>
            </w:tcBorders>
            <w:shd w:val="clear" w:color="auto" w:fill="CCEEFF"/>
            <w:vAlign w:val="bottom"/>
          </w:tcPr>
          <w:p w:rsidR="009534E2" w:rsidRDefault="003369EB">
            <w:pPr>
              <w:keepNext/>
              <w:rPr>
                <w:b/>
                <w:color w:val="000000"/>
              </w:rPr>
            </w:pPr>
            <w:bookmarkStart w:name="_d212ed43_2980_49cf_a882_e30321e4bd29" w:id="656"/>
            <w:bookmarkEnd w:id="655"/>
            <w:r>
              <w:rPr>
                <w:rFonts w:ascii="Times New Roman" w:hAnsi="Times New Roman" w:eastAsia="Times New Roman" w:cs="Times New Roman"/>
                <w:b/>
                <w:color w:val="000000"/>
              </w:rPr>
              <w:t>Total as of December 31, 2022</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449"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51,592</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449"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44,869</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449"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5,068</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449"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655</w:t>
            </w:r>
          </w:p>
        </w:tc>
      </w:tr>
      <w:bookmarkEnd w:id="646"/>
      <w:bookmarkEnd w:id="656"/>
    </w:tbl>
    <w:p w:rsidR="009534E2" w:rsidRDefault="009534E2">
      <w:pPr>
        <w:rPr>
          <w:rFonts w:eastAsia="Times New Roman" w:asciiTheme="majorHAnsi" w:hAnsiTheme="majorHAnsi" w:cstheme="majorHAnsi"/>
        </w:rPr>
      </w:pPr>
    </w:p>
    <w:tbl>
      <w:tblPr>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750"/>
        <w:gridCol w:w="193"/>
        <w:gridCol w:w="772"/>
        <w:gridCol w:w="193"/>
        <w:gridCol w:w="805"/>
        <w:gridCol w:w="193"/>
        <w:gridCol w:w="772"/>
        <w:gridCol w:w="194"/>
        <w:gridCol w:w="768"/>
      </w:tblGrid>
      <w:tr w:rsidR="009534E2">
        <w:trPr>
          <w:cantSplit/>
          <w:trHeight w:val="20" w:hRule="exact"/>
          <w:jc w:val="center"/>
        </w:trPr>
        <w:tc>
          <w:tcPr>
            <w:tcW w:w="2751"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9ca7a9a7_682b_46d1_8e61_4221722a01ca" w:id="657"/>
            <w:bookmarkStart w:name="_0aeba7eb_ab88_46a3_a423_89ebb32863d5" w:colFirst="0" w:colLast="0" w:id="658"/>
            <w:bookmarkStart w:name="_7bb5f348_e540_454b_bae4_630c2af6d49a" w:colFirst="1" w:colLast="1" w:id="659"/>
            <w:bookmarkStart w:name="_2066c236_6216_4e85_bd78_3d3508fb1aa6" w:colFirst="2" w:colLast="2" w:id="660"/>
            <w:bookmarkStart w:name="_9829d302_e0ac_415b_9a8e_24740cb636c1" w:colFirst="3" w:colLast="3" w:id="661"/>
            <w:bookmarkStart w:name="_3676d314_c863_467f_90cd_3ebe99343072" w:colFirst="4" w:colLast="4" w:id="662"/>
            <w:bookmarkStart w:name="_a423dcf1_d568_4186_b7a9_50f23556f5df" w:colFirst="5" w:colLast="5" w:id="663"/>
            <w:bookmarkStart w:name="_3aa2f2a0_daa6_4025_b1ab_041eb24e107f" w:colFirst="6" w:colLast="6" w:id="664"/>
            <w:bookmarkStart w:name="_9ca1b249_e58b_4e5c_95c2_e3ecf25564d0" w:colFirst="7" w:colLast="7" w:id="665"/>
            <w:bookmarkStart w:name="_d800dbcc_e6e7_46b7_b505_37828e954c5f" w:colFirst="8" w:colLast="8" w:id="666"/>
            <w:bookmarkStart w:name="_da9ab34b_92c6_4129_b7d3_71113da78a4d" w:id="667"/>
            <w:bookmarkEnd w:id="657"/>
          </w:p>
        </w:tc>
        <w:tc>
          <w:tcPr>
            <w:tcW w:w="11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49"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1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49"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1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49"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1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49"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cantSplit/>
          <w:jc w:val="center"/>
        </w:trPr>
        <w:tc>
          <w:tcPr>
            <w:tcW w:w="2751"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98d11dcc_b18f_446f_9ae3_80198c953ab8" w:id="668"/>
            <w:bookmarkEnd w:id="658"/>
            <w:bookmarkEnd w:id="659"/>
            <w:bookmarkEnd w:id="660"/>
            <w:bookmarkEnd w:id="661"/>
            <w:bookmarkEnd w:id="662"/>
            <w:bookmarkEnd w:id="663"/>
            <w:bookmarkEnd w:id="664"/>
            <w:bookmarkEnd w:id="665"/>
            <w:bookmarkEnd w:id="666"/>
          </w:p>
        </w:tc>
        <w:tc>
          <w:tcPr>
            <w:tcW w:w="11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49"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114"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49"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Due:</w:t>
            </w:r>
          </w:p>
        </w:tc>
        <w:tc>
          <w:tcPr>
            <w:tcW w:w="114"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49"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Within</w:t>
            </w:r>
          </w:p>
        </w:tc>
        <w:tc>
          <w:tcPr>
            <w:tcW w:w="114"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49"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More than</w:t>
            </w:r>
          </w:p>
        </w:tc>
      </w:tr>
      <w:tr w:rsidR="009534E2">
        <w:trPr>
          <w:cantSplit/>
          <w:jc w:val="center"/>
        </w:trPr>
        <w:tc>
          <w:tcPr>
            <w:tcW w:w="2751"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5dda543e_4104_453c_b9c6_3f00c2aca2e2" w:id="669"/>
            <w:bookmarkEnd w:id="668"/>
          </w:p>
        </w:tc>
        <w:tc>
          <w:tcPr>
            <w:tcW w:w="114"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49"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w:t>
            </w:r>
          </w:p>
        </w:tc>
        <w:tc>
          <w:tcPr>
            <w:tcW w:w="114"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49"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On demand</w:t>
            </w:r>
          </w:p>
        </w:tc>
        <w:tc>
          <w:tcPr>
            <w:tcW w:w="114"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49"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a year</w:t>
            </w:r>
          </w:p>
        </w:tc>
        <w:tc>
          <w:tcPr>
            <w:tcW w:w="114"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49"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a year</w:t>
            </w:r>
          </w:p>
        </w:tc>
      </w:tr>
      <w:tr w:rsidR="009534E2">
        <w:trPr>
          <w:cantSplit/>
          <w:jc w:val="center"/>
        </w:trPr>
        <w:tc>
          <w:tcPr>
            <w:tcW w:w="2751"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1a2bbd7a_23da_40ec_93c1_247d2db863f0" w:id="670"/>
            <w:bookmarkEnd w:id="669"/>
          </w:p>
        </w:tc>
        <w:tc>
          <w:tcPr>
            <w:tcW w:w="11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2135" w:type="pct"/>
            <w:gridSpan w:val="7"/>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r>
      <w:tr w:rsidR="009534E2">
        <w:trPr>
          <w:cantSplit/>
          <w:jc w:val="center"/>
        </w:trPr>
        <w:tc>
          <w:tcPr>
            <w:tcW w:w="2751" w:type="pct"/>
            <w:tcBorders>
              <w:top w:val="nil"/>
              <w:left w:val="nil"/>
              <w:bottom w:val="nil"/>
              <w:right w:val="nil"/>
              <w:tl2br w:val="nil"/>
              <w:tr2bl w:val="nil"/>
            </w:tcBorders>
            <w:shd w:val="clear" w:color="auto" w:fill="CCEEFF"/>
            <w:vAlign w:val="bottom"/>
          </w:tcPr>
          <w:p w:rsidR="009534E2" w:rsidRDefault="003369EB">
            <w:pPr>
              <w:keepNext/>
              <w:ind w:left="144" w:hanging="144"/>
              <w:rPr>
                <w:rFonts w:asciiTheme="majorHAnsi" w:hAnsiTheme="majorHAnsi" w:cstheme="majorHAnsi"/>
                <w:color w:val="000000"/>
              </w:rPr>
            </w:pPr>
            <w:bookmarkStart w:name="_ebfb6fe7_84dc_4672_ab58_5b19b2ea145a" w:id="671"/>
            <w:bookmarkEnd w:id="670"/>
            <w:r>
              <w:rPr>
                <w:rFonts w:eastAsia="Times New Roman" w:asciiTheme="majorHAnsi" w:hAnsiTheme="majorHAnsi" w:cstheme="majorHAnsi"/>
                <w:color w:val="000000"/>
              </w:rPr>
              <w:t>Debt</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4,772</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86</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4,686</w:t>
            </w:r>
          </w:p>
        </w:tc>
      </w:tr>
      <w:tr w:rsidR="009534E2">
        <w:trPr>
          <w:cantSplit/>
          <w:jc w:val="center"/>
        </w:trPr>
        <w:tc>
          <w:tcPr>
            <w:tcW w:w="2751" w:type="pct"/>
            <w:tcBorders>
              <w:top w:val="nil"/>
              <w:left w:val="nil"/>
              <w:bottom w:val="nil"/>
              <w:right w:val="nil"/>
              <w:tl2br w:val="nil"/>
              <w:tr2bl w:val="nil"/>
            </w:tcBorders>
            <w:vAlign w:val="bottom"/>
          </w:tcPr>
          <w:p w:rsidR="009534E2" w:rsidRDefault="003369EB">
            <w:pPr>
              <w:keepNext/>
              <w:ind w:left="144" w:hanging="144"/>
              <w:rPr>
                <w:rFonts w:asciiTheme="majorHAnsi" w:hAnsiTheme="majorHAnsi" w:cstheme="majorHAnsi"/>
                <w:color w:val="000000"/>
              </w:rPr>
            </w:pPr>
            <w:bookmarkStart w:name="_ad6db81b_6a3d_4441_9f1e_f6296367f30f" w:id="672"/>
            <w:bookmarkEnd w:id="671"/>
            <w:r>
              <w:rPr>
                <w:rFonts w:eastAsia="Times New Roman" w:asciiTheme="majorHAnsi" w:hAnsiTheme="majorHAnsi" w:cstheme="majorHAnsi"/>
                <w:color w:val="000000"/>
              </w:rPr>
              <w:t>Lease liabilities</w:t>
            </w:r>
          </w:p>
        </w:tc>
        <w:tc>
          <w:tcPr>
            <w:tcW w:w="11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9"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710</w:t>
            </w:r>
          </w:p>
        </w:tc>
        <w:tc>
          <w:tcPr>
            <w:tcW w:w="11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9"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1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9"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324</w:t>
            </w:r>
          </w:p>
        </w:tc>
        <w:tc>
          <w:tcPr>
            <w:tcW w:w="11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9"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386</w:t>
            </w:r>
          </w:p>
        </w:tc>
      </w:tr>
      <w:tr w:rsidR="009534E2">
        <w:trPr>
          <w:cantSplit/>
          <w:jc w:val="center"/>
        </w:trPr>
        <w:tc>
          <w:tcPr>
            <w:tcW w:w="2751" w:type="pct"/>
            <w:tcBorders>
              <w:top w:val="nil"/>
              <w:left w:val="nil"/>
              <w:bottom w:val="nil"/>
              <w:right w:val="nil"/>
              <w:tl2br w:val="nil"/>
              <w:tr2bl w:val="nil"/>
            </w:tcBorders>
            <w:shd w:val="clear" w:color="auto" w:fill="CCEEFF"/>
            <w:vAlign w:val="bottom"/>
          </w:tcPr>
          <w:p w:rsidR="009534E2" w:rsidRDefault="003369EB">
            <w:pPr>
              <w:keepNext/>
              <w:ind w:left="144" w:hanging="144"/>
              <w:rPr>
                <w:rFonts w:asciiTheme="majorHAnsi" w:hAnsiTheme="majorHAnsi" w:cstheme="majorHAnsi"/>
                <w:color w:val="000000"/>
              </w:rPr>
            </w:pPr>
            <w:bookmarkStart w:name="_263cd26e_89cc_48f8_b8e1_b0641254dc6e" w:id="673"/>
            <w:bookmarkEnd w:id="672"/>
            <w:r>
              <w:rPr>
                <w:rFonts w:eastAsia="Times New Roman" w:asciiTheme="majorHAnsi" w:hAnsiTheme="majorHAnsi" w:cstheme="majorHAnsi"/>
                <w:color w:val="000000"/>
              </w:rPr>
              <w:t>Trade and other payables</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23,365</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23,365</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9"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cantSplit/>
          <w:jc w:val="center"/>
        </w:trPr>
        <w:tc>
          <w:tcPr>
            <w:tcW w:w="2751" w:type="pct"/>
            <w:tcBorders>
              <w:top w:val="nil"/>
              <w:left w:val="nil"/>
              <w:bottom w:val="nil"/>
              <w:right w:val="nil"/>
              <w:tl2br w:val="nil"/>
              <w:tr2bl w:val="nil"/>
            </w:tcBorders>
            <w:vAlign w:val="bottom"/>
          </w:tcPr>
          <w:p w:rsidR="009534E2" w:rsidRDefault="003369EB">
            <w:pPr>
              <w:keepNext/>
              <w:ind w:left="144" w:hanging="144"/>
              <w:rPr>
                <w:rFonts w:asciiTheme="majorHAnsi" w:hAnsiTheme="majorHAnsi" w:cstheme="majorHAnsi"/>
                <w:color w:val="000000"/>
              </w:rPr>
            </w:pPr>
            <w:bookmarkStart w:name="_0137e0b3_afa7_4504_ac38_eafdb8e1ad10" w:id="674"/>
            <w:bookmarkEnd w:id="673"/>
            <w:r>
              <w:rPr>
                <w:rFonts w:eastAsia="Times New Roman" w:asciiTheme="majorHAnsi" w:hAnsiTheme="majorHAnsi" w:cstheme="majorHAnsi"/>
                <w:color w:val="000000"/>
              </w:rPr>
              <w:t>Customer accounts and amounts due to banks</w:t>
            </w:r>
          </w:p>
        </w:tc>
        <w:tc>
          <w:tcPr>
            <w:tcW w:w="11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9"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7,635</w:t>
            </w:r>
          </w:p>
        </w:tc>
        <w:tc>
          <w:tcPr>
            <w:tcW w:w="11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9"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6,801</w:t>
            </w:r>
          </w:p>
        </w:tc>
        <w:tc>
          <w:tcPr>
            <w:tcW w:w="11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9"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834</w:t>
            </w:r>
          </w:p>
        </w:tc>
        <w:tc>
          <w:tcPr>
            <w:tcW w:w="11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49"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cantSplit/>
          <w:jc w:val="center"/>
        </w:trPr>
        <w:tc>
          <w:tcPr>
            <w:tcW w:w="2751" w:type="pct"/>
            <w:tcBorders>
              <w:top w:val="nil"/>
              <w:left w:val="nil"/>
              <w:bottom w:val="nil"/>
              <w:right w:val="nil"/>
              <w:tl2br w:val="nil"/>
              <w:tr2bl w:val="nil"/>
            </w:tcBorders>
            <w:shd w:val="clear" w:color="auto" w:fill="CCEEFF"/>
            <w:vAlign w:val="bottom"/>
          </w:tcPr>
          <w:p w:rsidR="009534E2" w:rsidRDefault="003369EB">
            <w:pPr>
              <w:keepNext/>
              <w:ind w:left="144" w:hanging="144"/>
              <w:rPr>
                <w:rFonts w:asciiTheme="majorHAnsi" w:hAnsiTheme="majorHAnsi" w:cstheme="majorHAnsi"/>
                <w:b/>
                <w:color w:val="000000"/>
              </w:rPr>
            </w:pPr>
            <w:bookmarkStart w:name="_367f11db_aaa7_46e6_9b25_62716d6f5cd4" w:id="675"/>
            <w:bookmarkEnd w:id="674"/>
            <w:r>
              <w:rPr>
                <w:rFonts w:eastAsia="Times New Roman" w:asciiTheme="majorHAnsi" w:hAnsiTheme="majorHAnsi" w:cstheme="majorHAnsi"/>
                <w:b/>
                <w:color w:val="000000"/>
              </w:rPr>
              <w:t>Total as of December 31, 2021</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49"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36,482</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49"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30,166</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49"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1,244</w:t>
            </w:r>
          </w:p>
        </w:tc>
        <w:tc>
          <w:tcPr>
            <w:tcW w:w="11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49"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5,072</w:t>
            </w:r>
          </w:p>
        </w:tc>
      </w:tr>
      <w:bookmarkEnd w:id="667"/>
      <w:bookmarkEnd w:id="675"/>
    </w:tbl>
    <w:p w:rsidR="009534E2" w:rsidRDefault="009534E2">
      <w:pPr>
        <w:rPr>
          <w:rFonts w:asciiTheme="majorHAnsi" w:hAnsiTheme="majorHAnsi" w:cstheme="majorHAnsi"/>
        </w:rPr>
      </w:pPr>
    </w:p>
    <w:p w:rsidR="009534E2" w:rsidRDefault="003369EB">
      <w:pPr>
        <w:keepNext/>
        <w:keepLines/>
        <w:spacing w:after="200"/>
        <w:rPr>
          <w:rFonts w:eastAsia="Times New Roman" w:asciiTheme="majorHAnsi" w:hAnsiTheme="majorHAnsi" w:cstheme="majorHAnsi"/>
          <w:iCs/>
        </w:rPr>
      </w:pPr>
      <w:r>
        <w:rPr>
          <w:rFonts w:eastAsia="Times New Roman" w:asciiTheme="majorHAnsi" w:hAnsiTheme="majorHAnsi" w:cstheme="majorHAnsi"/>
          <w:i/>
          <w:iCs/>
          <w:lang w:eastAsia="ru-RU"/>
        </w:rPr>
        <w:t>Credit risk</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Our financial assets, which potentially subject to credit risk, comprise principally trade receivables, loans issued, cash and debt securities. We sell services on a prepayment basis or ensure that our receivables are from large merchants and agents with sufficient and appropriate credit history. Our receivables from merchants and others, except for agents, are generally non-interest-bearing and do not require collateral. Receivables from agents are interest-bearing and unsecured. We hold cash primarily with reputable Russian and international banks, including the Central Bank of Russia, which management considers having minimal risk of default, although credit ratings of Russian and Kazakh banks are generally lower than of banks in more developed markets.</w:t>
      </w:r>
      <w:r>
        <w:t xml:space="preserve"> </w:t>
      </w:r>
      <w:r>
        <w:rPr>
          <w:rFonts w:eastAsia="Times New Roman" w:asciiTheme="majorHAnsi" w:hAnsiTheme="majorHAnsi" w:cstheme="majorHAnsi"/>
          <w:lang w:eastAsia="ru-RU"/>
        </w:rPr>
        <w:t>Debt securities include corporate and government bonds.</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An impairment analysis is performed at each reporting date using a provision matrix to measure expected credit losses. The provision rates are based on days past due for groupings of various customer segments with similar loss patterns. The carrying amount of accounts receivable, net of allowance for impairment of receivables, represents the maximum amount exposed to the credit risk for this type of receivables.</w:t>
      </w:r>
    </w:p>
    <w:p w:rsidR="009534E2" w:rsidRDefault="003369EB">
      <w:pPr>
        <w:keepNext/>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Set out below is the information about the credit risk exposure on our trade and other receivables (except for advances issued) using a provision matrix:</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315"/>
        <w:gridCol w:w="193"/>
        <w:gridCol w:w="858"/>
        <w:gridCol w:w="267"/>
        <w:gridCol w:w="829"/>
        <w:gridCol w:w="267"/>
        <w:gridCol w:w="844"/>
        <w:gridCol w:w="267"/>
        <w:gridCol w:w="844"/>
        <w:gridCol w:w="267"/>
        <w:gridCol w:w="849"/>
      </w:tblGrid>
      <w:tr w:rsidR="009534E2">
        <w:trPr>
          <w:trHeight w:val="20" w:hRule="exact"/>
          <w:jc w:val="center"/>
        </w:trPr>
        <w:tc>
          <w:tcPr>
            <w:tcW w:w="2473"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ce0af716_b417_408e_aa5d_da943de70fc3" w:colFirst="0" w:colLast="0" w:id="676"/>
            <w:bookmarkStart w:name="_81b28a1e_5450_4826_b44f_a1dffa703283" w:colFirst="1" w:colLast="1" w:id="677"/>
            <w:bookmarkStart w:name="_de859c3a_854a_41cf_ac32_78da19b0b583" w:colFirst="2" w:colLast="2" w:id="678"/>
            <w:bookmarkStart w:name="_44b6a251_b4f0_4e79_9cdb_7737f2e80162" w:colFirst="3" w:colLast="3" w:id="679"/>
            <w:bookmarkStart w:name="_c4c7b061_62d2_4725_a6cb_1031ec43d4bf" w:colFirst="4" w:colLast="4" w:id="680"/>
            <w:bookmarkStart w:name="_833f159d_7aea_4157_a753_5a5972bad038" w:colFirst="5" w:colLast="5" w:id="681"/>
            <w:bookmarkStart w:name="_ffdab1fb_ee23_4545_b0ff_c2064fb83c5b" w:colFirst="6" w:colLast="6" w:id="682"/>
            <w:bookmarkStart w:name="_2b5fbdfb_9d40_41b2_a07f_2c4c8cbd4e25" w:colFirst="7" w:colLast="7" w:id="683"/>
            <w:bookmarkStart w:name="_d8e92719_1368_4a35_b7d6_f6260caa4fa1" w:colFirst="8" w:colLast="8" w:id="684"/>
            <w:bookmarkStart w:name="_a633bd19_74e3_4d6f_b55b_b2680183a7b3" w:colFirst="9" w:colLast="9" w:id="685"/>
            <w:bookmarkStart w:name="_2dc7948e_8920_4fcb_ba64_aef869c6fdf2" w:colFirst="10" w:colLast="10" w:id="686"/>
            <w:bookmarkStart w:name="_a21e345b_9aa6_4ce1_8d00_f30d45298f6d" w:id="687"/>
          </w:p>
        </w:tc>
        <w:tc>
          <w:tcPr>
            <w:tcW w:w="10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2473" w:type="pct"/>
            <w:tcBorders>
              <w:top w:val="nil"/>
              <w:left w:val="nil"/>
              <w:bottom w:val="nil"/>
              <w:right w:val="nil"/>
              <w:tl2br w:val="nil"/>
              <w:tr2bl w:val="nil"/>
            </w:tcBorders>
            <w:shd w:val="clear" w:color="auto" w:fill="auto"/>
            <w:vAlign w:val="bottom"/>
          </w:tcPr>
          <w:p w:rsidR="009534E2" w:rsidRDefault="003369EB">
            <w:pPr>
              <w:keepNext/>
              <w:rPr>
                <w:rFonts w:asciiTheme="majorHAnsi" w:hAnsiTheme="majorHAnsi" w:cstheme="majorHAnsi"/>
                <w:b/>
                <w:color w:val="000000"/>
                <w:sz w:val="16"/>
              </w:rPr>
            </w:pPr>
            <w:bookmarkStart w:name="_aa2ded13_aabf_4e92_84bd_ce327b140e88" w:id="688"/>
            <w:bookmarkEnd w:id="676"/>
            <w:bookmarkEnd w:id="677"/>
            <w:bookmarkEnd w:id="678"/>
            <w:bookmarkEnd w:id="679"/>
            <w:bookmarkEnd w:id="680"/>
            <w:bookmarkEnd w:id="681"/>
            <w:bookmarkEnd w:id="682"/>
            <w:bookmarkEnd w:id="683"/>
            <w:bookmarkEnd w:id="684"/>
            <w:bookmarkEnd w:id="685"/>
            <w:bookmarkEnd w:id="686"/>
            <w:r>
              <w:rPr>
                <w:rFonts w:eastAsia="Times New Roman" w:asciiTheme="majorHAnsi" w:hAnsiTheme="majorHAnsi" w:cstheme="majorHAnsi"/>
                <w:b/>
                <w:color w:val="000000"/>
                <w:sz w:val="16"/>
              </w:rPr>
              <w:t>December 31, 2022</w:t>
            </w:r>
          </w:p>
        </w:tc>
        <w:tc>
          <w:tcPr>
            <w:tcW w:w="10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2425" w:type="pct"/>
            <w:gridSpan w:val="9"/>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Days past due</w:t>
            </w:r>
          </w:p>
        </w:tc>
      </w:tr>
      <w:tr w:rsidR="009534E2">
        <w:trPr>
          <w:jc w:val="center"/>
        </w:trPr>
        <w:tc>
          <w:tcPr>
            <w:tcW w:w="2473"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6620d169_9e79_4915_966c_ce7f3a6dff81" w:id="689"/>
            <w:bookmarkEnd w:id="688"/>
          </w:p>
        </w:tc>
        <w:tc>
          <w:tcPr>
            <w:tcW w:w="10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Current and</w:t>
            </w:r>
          </w:p>
        </w:tc>
        <w:tc>
          <w:tcPr>
            <w:tcW w:w="10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10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10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10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r>
      <w:tr w:rsidR="009534E2">
        <w:trPr>
          <w:jc w:val="center"/>
        </w:trPr>
        <w:tc>
          <w:tcPr>
            <w:tcW w:w="2473"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0411b335_01a4_4d22_b95c_cb22e04a96d4" w:id="690"/>
            <w:bookmarkEnd w:id="689"/>
          </w:p>
        </w:tc>
        <w:tc>
          <w:tcPr>
            <w:tcW w:w="10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&lt;30 days</w:t>
            </w:r>
          </w:p>
        </w:tc>
        <w:tc>
          <w:tcPr>
            <w:tcW w:w="102"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30-60 days</w:t>
            </w:r>
          </w:p>
        </w:tc>
        <w:tc>
          <w:tcPr>
            <w:tcW w:w="102"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61-90 days</w:t>
            </w:r>
          </w:p>
        </w:tc>
        <w:tc>
          <w:tcPr>
            <w:tcW w:w="102"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&gt;91 days</w:t>
            </w:r>
          </w:p>
        </w:tc>
        <w:tc>
          <w:tcPr>
            <w:tcW w:w="102"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w:t>
            </w:r>
          </w:p>
        </w:tc>
      </w:tr>
      <w:tr w:rsidR="009534E2">
        <w:trPr>
          <w:jc w:val="center"/>
        </w:trPr>
        <w:tc>
          <w:tcPr>
            <w:tcW w:w="2473"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5e609cbb_822a_48f7_b064_bef785baa9ce" w:id="691"/>
            <w:bookmarkEnd w:id="690"/>
            <w:r>
              <w:rPr>
                <w:rFonts w:eastAsia="Times New Roman" w:asciiTheme="majorHAnsi" w:hAnsiTheme="majorHAnsi" w:cstheme="majorHAnsi"/>
                <w:color w:val="000000"/>
              </w:rPr>
              <w:t>Expected credit loss rate</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1.8</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47</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81</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r>
      <w:tr w:rsidR="009534E2">
        <w:trPr>
          <w:jc w:val="center"/>
        </w:trPr>
        <w:tc>
          <w:tcPr>
            <w:tcW w:w="2473"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0f5bfd04_ea97_4020_89f3_dfef9ca8e36f" w:id="692"/>
            <w:bookmarkEnd w:id="691"/>
            <w:r>
              <w:rPr>
                <w:rFonts w:eastAsia="Times New Roman" w:asciiTheme="majorHAnsi" w:hAnsiTheme="majorHAnsi" w:cstheme="majorHAnsi"/>
                <w:color w:val="000000"/>
              </w:rPr>
              <w:t>Exposure at default</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14,694</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255</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125</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810</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15,884</w:t>
            </w:r>
          </w:p>
        </w:tc>
      </w:tr>
      <w:tr w:rsidR="009534E2">
        <w:trPr>
          <w:jc w:val="center"/>
        </w:trPr>
        <w:tc>
          <w:tcPr>
            <w:tcW w:w="2473"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9bad2e8b_e2b9_4d72_8e28_198ba717faca" w:id="693"/>
            <w:bookmarkEnd w:id="692"/>
            <w:r>
              <w:rPr>
                <w:rFonts w:eastAsia="Times New Roman" w:asciiTheme="majorHAnsi" w:hAnsiTheme="majorHAnsi" w:cstheme="majorHAnsi"/>
                <w:color w:val="000000"/>
              </w:rPr>
              <w:t>Expected credit loss</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(268)</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(29)</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(59)</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(660)</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03"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(1,016)</w:t>
            </w:r>
          </w:p>
        </w:tc>
      </w:tr>
      <w:bookmarkEnd w:id="687"/>
      <w:bookmarkEnd w:id="693"/>
    </w:tbl>
    <w:p w:rsidR="009534E2" w:rsidRDefault="009534E2">
      <w:pPr>
        <w:rPr>
          <w:rFonts w:eastAsia="Times New Roman" w:asciiTheme="majorHAnsi" w:hAnsiTheme="majorHAnsi" w:cstheme="majorHAnsi"/>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315"/>
        <w:gridCol w:w="193"/>
        <w:gridCol w:w="858"/>
        <w:gridCol w:w="267"/>
        <w:gridCol w:w="829"/>
        <w:gridCol w:w="267"/>
        <w:gridCol w:w="844"/>
        <w:gridCol w:w="267"/>
        <w:gridCol w:w="844"/>
        <w:gridCol w:w="267"/>
        <w:gridCol w:w="849"/>
      </w:tblGrid>
      <w:tr w:rsidR="009534E2">
        <w:trPr>
          <w:trHeight w:val="20" w:hRule="exact"/>
          <w:jc w:val="center"/>
        </w:trPr>
        <w:tc>
          <w:tcPr>
            <w:tcW w:w="2473"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069d57ee_84a8_4b08_8536_c911b3a90323" w:id="694"/>
            <w:bookmarkStart w:name="_7d7893ae_7885_4641_840b_65bea908f291" w:colFirst="0" w:colLast="0" w:id="695"/>
            <w:bookmarkStart w:name="_cc742b35_fc58_427a_a58d_1df1a5dfe726" w:colFirst="1" w:colLast="1" w:id="696"/>
            <w:bookmarkStart w:name="_1e8306fb_f557_40a2_ad4c_e145e13a6b77" w:colFirst="2" w:colLast="2" w:id="697"/>
            <w:bookmarkStart w:name="_014bd3de_93f2_4a78_ad97_b971781b755d" w:colFirst="3" w:colLast="3" w:id="698"/>
            <w:bookmarkStart w:name="_c5023d0a_cd9f_4284_b60e_cd3fea8f6b88" w:colFirst="4" w:colLast="4" w:id="699"/>
            <w:bookmarkStart w:name="_8de5a43f_570b_4174_a464_a39498faf858" w:colFirst="5" w:colLast="5" w:id="700"/>
            <w:bookmarkStart w:name="_4838d0f2_e5b9_4c6e_8b4b_2112c4c7d3a9" w:colFirst="6" w:colLast="6" w:id="701"/>
            <w:bookmarkStart w:name="_2783250a_c744_4910_9e30_444d1b3b9cac" w:colFirst="7" w:colLast="7" w:id="702"/>
            <w:bookmarkStart w:name="_241fcfa4_bdbf_4c40_afde_70d0945239d1" w:colFirst="8" w:colLast="8" w:id="703"/>
            <w:bookmarkStart w:name="_ab6978f0_a539_48db_83c3_ff676386e3ba" w:colFirst="9" w:colLast="9" w:id="704"/>
            <w:bookmarkStart w:name="_81372285_2ccb_4044_8357_df0a63fbb223" w:colFirst="10" w:colLast="10" w:id="705"/>
            <w:bookmarkStart w:name="_763a77b3_bd6e_42fe_8cd9_81196f96bb9b" w:id="706"/>
            <w:bookmarkEnd w:id="694"/>
          </w:p>
        </w:tc>
        <w:tc>
          <w:tcPr>
            <w:tcW w:w="10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2473" w:type="pct"/>
            <w:tcBorders>
              <w:top w:val="nil"/>
              <w:left w:val="nil"/>
              <w:bottom w:val="nil"/>
              <w:right w:val="nil"/>
              <w:tl2br w:val="nil"/>
              <w:tr2bl w:val="nil"/>
            </w:tcBorders>
            <w:shd w:val="clear" w:color="auto" w:fill="auto"/>
            <w:vAlign w:val="bottom"/>
          </w:tcPr>
          <w:p w:rsidR="009534E2" w:rsidRDefault="003369EB">
            <w:pPr>
              <w:keepNext/>
              <w:rPr>
                <w:rFonts w:asciiTheme="majorHAnsi" w:hAnsiTheme="majorHAnsi" w:cstheme="majorHAnsi"/>
                <w:b/>
                <w:color w:val="000000"/>
                <w:sz w:val="16"/>
              </w:rPr>
            </w:pPr>
            <w:bookmarkStart w:name="_9b4519ee_9493_450f_9793_7fce8f8db882" w:id="707"/>
            <w:bookmarkEnd w:id="695"/>
            <w:bookmarkEnd w:id="696"/>
            <w:bookmarkEnd w:id="697"/>
            <w:bookmarkEnd w:id="698"/>
            <w:bookmarkEnd w:id="699"/>
            <w:bookmarkEnd w:id="700"/>
            <w:bookmarkEnd w:id="701"/>
            <w:bookmarkEnd w:id="702"/>
            <w:bookmarkEnd w:id="703"/>
            <w:bookmarkEnd w:id="704"/>
            <w:bookmarkEnd w:id="705"/>
            <w:r>
              <w:rPr>
                <w:rFonts w:eastAsia="Times New Roman" w:asciiTheme="majorHAnsi" w:hAnsiTheme="majorHAnsi" w:cstheme="majorHAnsi"/>
                <w:b/>
                <w:color w:val="000000"/>
                <w:sz w:val="16"/>
              </w:rPr>
              <w:t>December 31, 2021</w:t>
            </w:r>
          </w:p>
        </w:tc>
        <w:tc>
          <w:tcPr>
            <w:tcW w:w="10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2425" w:type="pct"/>
            <w:gridSpan w:val="9"/>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Days past due</w:t>
            </w:r>
          </w:p>
        </w:tc>
      </w:tr>
      <w:tr w:rsidR="009534E2">
        <w:trPr>
          <w:jc w:val="center"/>
        </w:trPr>
        <w:tc>
          <w:tcPr>
            <w:tcW w:w="2473"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4015cc58_2ed0_4523_8934_aeed2106dc43" w:id="708"/>
            <w:bookmarkEnd w:id="707"/>
          </w:p>
        </w:tc>
        <w:tc>
          <w:tcPr>
            <w:tcW w:w="10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Current and</w:t>
            </w:r>
          </w:p>
        </w:tc>
        <w:tc>
          <w:tcPr>
            <w:tcW w:w="102"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102"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102"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102"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0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r>
      <w:tr w:rsidR="009534E2">
        <w:trPr>
          <w:jc w:val="center"/>
        </w:trPr>
        <w:tc>
          <w:tcPr>
            <w:tcW w:w="2473"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9566ef11_5162_48f5_837d_e9454f8def37" w:id="709"/>
            <w:bookmarkEnd w:id="708"/>
          </w:p>
        </w:tc>
        <w:tc>
          <w:tcPr>
            <w:tcW w:w="10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&lt;30 days</w:t>
            </w:r>
          </w:p>
        </w:tc>
        <w:tc>
          <w:tcPr>
            <w:tcW w:w="102" w:type="pct"/>
            <w:tcBorders>
              <w:top w:val="nil"/>
              <w:left w:val="nil"/>
              <w:bottom w:val="nil"/>
              <w:right w:val="nil"/>
              <w:tl2br w:val="nil"/>
              <w:tr2bl w:val="nil"/>
            </w:tcBorders>
            <w:shd w:val="clear" w:color="auto" w:fill="auto"/>
            <w:noWrap/>
            <w:vAlign w:val="center"/>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30-60 days</w:t>
            </w:r>
          </w:p>
        </w:tc>
        <w:tc>
          <w:tcPr>
            <w:tcW w:w="102" w:type="pct"/>
            <w:tcBorders>
              <w:top w:val="nil"/>
              <w:left w:val="nil"/>
              <w:bottom w:val="nil"/>
              <w:right w:val="nil"/>
              <w:tl2br w:val="nil"/>
              <w:tr2bl w:val="nil"/>
            </w:tcBorders>
            <w:shd w:val="clear" w:color="auto" w:fill="auto"/>
            <w:noWrap/>
            <w:vAlign w:val="center"/>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61-90 days</w:t>
            </w:r>
          </w:p>
        </w:tc>
        <w:tc>
          <w:tcPr>
            <w:tcW w:w="102" w:type="pct"/>
            <w:tcBorders>
              <w:top w:val="nil"/>
              <w:left w:val="nil"/>
              <w:bottom w:val="nil"/>
              <w:right w:val="nil"/>
              <w:tl2br w:val="nil"/>
              <w:tr2bl w:val="nil"/>
            </w:tcBorders>
            <w:shd w:val="clear" w:color="auto" w:fill="auto"/>
            <w:noWrap/>
            <w:vAlign w:val="center"/>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&gt;91 days</w:t>
            </w:r>
          </w:p>
        </w:tc>
        <w:tc>
          <w:tcPr>
            <w:tcW w:w="102" w:type="pct"/>
            <w:tcBorders>
              <w:top w:val="nil"/>
              <w:left w:val="nil"/>
              <w:bottom w:val="nil"/>
              <w:right w:val="nil"/>
              <w:tl2br w:val="nil"/>
              <w:tr2bl w:val="nil"/>
            </w:tcBorders>
            <w:shd w:val="clear" w:color="auto" w:fill="auto"/>
            <w:noWrap/>
            <w:vAlign w:val="center"/>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w:t>
            </w:r>
          </w:p>
        </w:tc>
      </w:tr>
      <w:tr w:rsidR="009534E2">
        <w:trPr>
          <w:jc w:val="center"/>
        </w:trPr>
        <w:tc>
          <w:tcPr>
            <w:tcW w:w="2473"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870a9503_cc2e_469a_bfdb_5e0010e94551" w:id="710"/>
            <w:bookmarkEnd w:id="709"/>
            <w:r>
              <w:rPr>
                <w:rFonts w:eastAsia="Times New Roman" w:asciiTheme="majorHAnsi" w:hAnsiTheme="majorHAnsi" w:cstheme="majorHAnsi"/>
                <w:color w:val="000000"/>
              </w:rPr>
              <w:t>Expected credit loss rate</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0.06</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19</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94</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95</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r>
      <w:tr w:rsidR="009534E2">
        <w:trPr>
          <w:jc w:val="center"/>
        </w:trPr>
        <w:tc>
          <w:tcPr>
            <w:tcW w:w="2473"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0064525d_234d_4174_94c5_ab3200ae6678" w:id="711"/>
            <w:bookmarkEnd w:id="710"/>
            <w:r>
              <w:rPr>
                <w:rFonts w:eastAsia="Times New Roman" w:asciiTheme="majorHAnsi" w:hAnsiTheme="majorHAnsi" w:cstheme="majorHAnsi"/>
                <w:color w:val="000000"/>
              </w:rPr>
              <w:t>Exposure at default</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11,241</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79</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34</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477</w:t>
            </w:r>
          </w:p>
        </w:tc>
        <w:tc>
          <w:tcPr>
            <w:tcW w:w="10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11,831</w:t>
            </w:r>
          </w:p>
        </w:tc>
      </w:tr>
      <w:tr w:rsidR="009534E2">
        <w:trPr>
          <w:jc w:val="center"/>
        </w:trPr>
        <w:tc>
          <w:tcPr>
            <w:tcW w:w="2473"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776ad09d_d8e2_4818_830d_17524011bd23" w:id="712"/>
            <w:bookmarkEnd w:id="711"/>
            <w:r>
              <w:rPr>
                <w:rFonts w:eastAsia="Times New Roman" w:asciiTheme="majorHAnsi" w:hAnsiTheme="majorHAnsi" w:cstheme="majorHAnsi"/>
                <w:color w:val="000000"/>
              </w:rPr>
              <w:t>Expected credit loss</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(7)</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(15)</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(32)</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3"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(455)</w:t>
            </w:r>
          </w:p>
        </w:tc>
        <w:tc>
          <w:tcPr>
            <w:tcW w:w="10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03"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(509)</w:t>
            </w:r>
          </w:p>
        </w:tc>
      </w:tr>
      <w:bookmarkEnd w:id="706"/>
      <w:bookmarkEnd w:id="712"/>
    </w:tbl>
    <w:p w:rsidR="009534E2" w:rsidRDefault="009534E2">
      <w:pPr>
        <w:rPr>
          <w:rFonts w:eastAsia="Times New Roman" w:asciiTheme="majorHAnsi" w:hAnsiTheme="majorHAnsi" w:cstheme="majorHAnsi"/>
        </w:rPr>
      </w:pPr>
    </w:p>
    <w:p w:rsidR="009534E2" w:rsidRDefault="003369EB">
      <w:pPr>
        <w:spacing w:after="200"/>
        <w:ind w:firstLine="461"/>
        <w:rPr>
          <w:rFonts w:eastAsia="Times New Roman" w:asciiTheme="majorHAnsi" w:hAnsiTheme="majorHAnsi" w:cstheme="majorHAnsi"/>
          <w:lang w:eastAsia="ru-RU"/>
        </w:rPr>
      </w:pPr>
      <w:bookmarkStart w:name="_67c9a80d_9c3a_4fc1_b91d_85b2d68b2474" w:id="713"/>
      <w:bookmarkEnd w:id="713"/>
      <w:r>
        <w:rPr>
          <w:rFonts w:eastAsia="Times New Roman" w:asciiTheme="majorHAnsi" w:hAnsiTheme="majorHAnsi" w:cstheme="majorHAnsi"/>
          <w:lang w:eastAsia="ru-RU"/>
        </w:rPr>
        <w:t>We evaluate the concentration of risk with respect to trade and other receivables as low, as our customers are located in several jurisdictions and industries and operate in largely independent markets. Our Top 5 counterparties are large and reputable companies. The table below demonstrates the largest counterparties’ balances as a percentage of respective totals: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237"/>
        <w:gridCol w:w="252"/>
        <w:gridCol w:w="1202"/>
        <w:gridCol w:w="267"/>
        <w:gridCol w:w="1202"/>
        <w:gridCol w:w="267"/>
        <w:gridCol w:w="1206"/>
        <w:gridCol w:w="167"/>
      </w:tblGrid>
      <w:tr w:rsidR="009534E2">
        <w:trPr>
          <w:trHeight w:val="20" w:hRule="exact"/>
        </w:trPr>
        <w:tc>
          <w:tcPr>
            <w:tcW w:w="2889" w:type="pct"/>
            <w:tcBorders>
              <w:top w:val="nil"/>
              <w:left w:val="nil"/>
              <w:bottom w:val="nil"/>
              <w:right w:val="nil"/>
            </w:tcBorders>
            <w:noWrap/>
            <w:vAlign w:val="bottom"/>
          </w:tcPr>
          <w:p w:rsidR="009534E2" w:rsidRDefault="009534E2">
            <w:pPr>
              <w:keepNext/>
              <w:rPr>
                <w:rFonts w:asciiTheme="majorHAnsi" w:hAnsiTheme="majorHAnsi" w:cstheme="majorHAnsi"/>
                <w:sz w:val="2"/>
              </w:rPr>
            </w:pPr>
            <w:bookmarkStart w:name="_1096b9b2_c90b_4bf4_b636_c73ce183dd29" w:id="714"/>
            <w:bookmarkStart w:name="_e200bfce_bc5e_4900_8fda_d4ab09eddb73" w:colFirst="0" w:colLast="0" w:id="715"/>
            <w:bookmarkStart w:name="_4b416f45_3ac2_4aec_9dd9_19874b2e8ff4" w:colFirst="1" w:colLast="1" w:id="716"/>
            <w:bookmarkStart w:name="_eee9ba31_27f7_49a8_aef4_0e0b64d69b73" w:colFirst="2" w:colLast="2" w:id="717"/>
            <w:bookmarkStart w:name="_501c8cf4_f185_4bbd_a704_e9ba57640c39" w:colFirst="3" w:colLast="3" w:id="718"/>
            <w:bookmarkStart w:name="_8f15f032_29ba_4580_a74e_6be121be4027" w:colFirst="4" w:colLast="4" w:id="719"/>
            <w:bookmarkStart w:name="_da2fb79c_45aa_461f_b39b_f97e23bf1e81" w:colFirst="5" w:colLast="5" w:id="720"/>
            <w:bookmarkStart w:name="_4734d908_eb2a_45b6_804f_8c223951498f" w:colFirst="6" w:colLast="6" w:id="721"/>
            <w:bookmarkStart w:name="_02dda99e_d16c_4453_8e71_c154324f7881" w:colFirst="7" w:colLast="7" w:id="722"/>
            <w:bookmarkStart w:name="_095379ab_ba30_47c8_9130_571e01255139" w:id="723"/>
            <w:bookmarkEnd w:id="714"/>
          </w:p>
        </w:tc>
        <w:tc>
          <w:tcPr>
            <w:tcW w:w="119"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59"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19"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59"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19"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59"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c>
          <w:tcPr>
            <w:tcW w:w="2889"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sz w:val="16"/>
              </w:rPr>
            </w:pPr>
            <w:bookmarkStart w:name="_3a50ac57_3e9c_4184_abbf_a5bc74f37597" w:id="724"/>
            <w:bookmarkEnd w:id="715"/>
            <w:bookmarkEnd w:id="716"/>
            <w:bookmarkEnd w:id="717"/>
            <w:bookmarkEnd w:id="718"/>
            <w:bookmarkEnd w:id="719"/>
            <w:bookmarkEnd w:id="720"/>
            <w:bookmarkEnd w:id="721"/>
            <w:bookmarkEnd w:id="722"/>
          </w:p>
        </w:tc>
        <w:tc>
          <w:tcPr>
            <w:tcW w:w="119"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1916" w:type="pct"/>
            <w:gridSpan w:val="5"/>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Trade and other receivables</w:t>
            </w:r>
          </w:p>
        </w:tc>
        <w:tc>
          <w:tcPr>
            <w:tcW w:w="75"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r>
      <w:tr w:rsidR="009534E2">
        <w:tc>
          <w:tcPr>
            <w:tcW w:w="2889"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bookmarkStart w:name="_38a38115_9104_42e2_a3b4_30ff4ddf7a9c" w:id="725"/>
            <w:bookmarkEnd w:id="724"/>
          </w:p>
        </w:tc>
        <w:tc>
          <w:tcPr>
            <w:tcW w:w="119"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59"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c>
          <w:tcPr>
            <w:tcW w:w="119"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59"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c>
          <w:tcPr>
            <w:tcW w:w="119"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59"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c>
          <w:tcPr>
            <w:tcW w:w="75"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r>
      <w:tr w:rsidR="009534E2">
        <w:tc>
          <w:tcPr>
            <w:tcW w:w="2889"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b/>
                <w:color w:val="000000"/>
                <w:sz w:val="16"/>
              </w:rPr>
            </w:pPr>
            <w:bookmarkStart w:name="_ecbf2ea1_4dfa_4062_86c5_6b19042d3e51" w:id="726"/>
            <w:bookmarkEnd w:id="725"/>
          </w:p>
        </w:tc>
        <w:tc>
          <w:tcPr>
            <w:tcW w:w="119"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59"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w:t>
            </w:r>
          </w:p>
        </w:tc>
        <w:tc>
          <w:tcPr>
            <w:tcW w:w="119"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59"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w:t>
            </w:r>
          </w:p>
        </w:tc>
        <w:tc>
          <w:tcPr>
            <w:tcW w:w="119"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b/>
                <w:color w:val="000000"/>
                <w:sz w:val="16"/>
              </w:rPr>
            </w:pPr>
          </w:p>
        </w:tc>
        <w:tc>
          <w:tcPr>
            <w:tcW w:w="559"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w:t>
            </w:r>
          </w:p>
        </w:tc>
        <w:tc>
          <w:tcPr>
            <w:tcW w:w="75"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r>
      <w:tr w:rsidR="009534E2">
        <w:tc>
          <w:tcPr>
            <w:tcW w:w="2889" w:type="pct"/>
            <w:tcBorders>
              <w:top w:val="nil"/>
              <w:left w:val="nil"/>
              <w:bottom w:val="single" w:color="000000" w:sz="4" w:space="0"/>
              <w:right w:val="nil"/>
              <w:tl2br w:val="nil"/>
              <w:tr2bl w:val="nil"/>
            </w:tcBorders>
            <w:shd w:val="clear" w:color="auto" w:fill="auto"/>
            <w:vAlign w:val="bottom"/>
          </w:tcPr>
          <w:p w:rsidR="009534E2" w:rsidRDefault="003369EB">
            <w:pPr>
              <w:rPr>
                <w:rFonts w:asciiTheme="majorHAnsi" w:hAnsiTheme="majorHAnsi" w:cstheme="majorHAnsi"/>
                <w:b/>
                <w:color w:val="000000"/>
                <w:sz w:val="16"/>
              </w:rPr>
            </w:pPr>
            <w:bookmarkStart w:name="_9e22bd18_12be_4071_952d_81fe41bb12ed" w:id="727"/>
            <w:bookmarkEnd w:id="726"/>
            <w:r>
              <w:rPr>
                <w:rFonts w:eastAsia="Times New Roman" w:asciiTheme="majorHAnsi" w:hAnsiTheme="majorHAnsi" w:cstheme="majorHAnsi"/>
                <w:b/>
                <w:color w:val="000000"/>
                <w:sz w:val="16"/>
              </w:rPr>
              <w:t>Concentration of credit risks by main counterparties, % from total amount</w:t>
            </w:r>
          </w:p>
        </w:tc>
        <w:tc>
          <w:tcPr>
            <w:tcW w:w="119"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59"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19"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59"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19"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59"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c>
          <w:tcPr>
            <w:tcW w:w="75"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r>
      <w:tr w:rsidR="009534E2">
        <w:tc>
          <w:tcPr>
            <w:tcW w:w="2889"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color w:val="000000"/>
              </w:rPr>
            </w:pPr>
            <w:bookmarkStart w:name="_d5bde96d_4bca_4df3_be23_c720b1b3f83d" w:id="728"/>
            <w:bookmarkEnd w:id="727"/>
            <w:r>
              <w:rPr>
                <w:rFonts w:eastAsia="Times New Roman" w:asciiTheme="majorHAnsi" w:hAnsiTheme="majorHAnsi" w:cstheme="majorHAnsi"/>
                <w:color w:val="000000"/>
              </w:rPr>
              <w:t>Top 5 counterparties</w:t>
            </w:r>
          </w:p>
        </w:tc>
        <w:tc>
          <w:tcPr>
            <w:tcW w:w="119"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59"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54</w:t>
            </w:r>
          </w:p>
        </w:tc>
        <w:tc>
          <w:tcPr>
            <w:tcW w:w="119"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59"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64</w:t>
            </w:r>
          </w:p>
        </w:tc>
        <w:tc>
          <w:tcPr>
            <w:tcW w:w="119"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59"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31</w:t>
            </w:r>
          </w:p>
        </w:tc>
        <w:tc>
          <w:tcPr>
            <w:tcW w:w="75"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w:t>
            </w:r>
          </w:p>
        </w:tc>
      </w:tr>
      <w:tr w:rsidR="009534E2">
        <w:tc>
          <w:tcPr>
            <w:tcW w:w="2889" w:type="pct"/>
            <w:tcBorders>
              <w:top w:val="nil"/>
              <w:left w:val="nil"/>
              <w:bottom w:val="nil"/>
              <w:right w:val="nil"/>
              <w:tl2br w:val="nil"/>
              <w:tr2bl w:val="nil"/>
            </w:tcBorders>
            <w:vAlign w:val="bottom"/>
          </w:tcPr>
          <w:p w:rsidR="009534E2" w:rsidRDefault="003369EB">
            <w:pPr>
              <w:rPr>
                <w:rFonts w:asciiTheme="majorHAnsi" w:hAnsiTheme="majorHAnsi" w:cstheme="majorHAnsi"/>
                <w:color w:val="000000"/>
              </w:rPr>
            </w:pPr>
            <w:bookmarkStart w:name="_bbf433e2_2f5a_4b3f_b11b_1e015dfec835" w:id="729"/>
            <w:bookmarkEnd w:id="728"/>
            <w:r>
              <w:rPr>
                <w:rFonts w:eastAsia="Times New Roman" w:asciiTheme="majorHAnsi" w:hAnsiTheme="majorHAnsi" w:cstheme="majorHAnsi"/>
                <w:color w:val="000000"/>
              </w:rPr>
              <w:t>Others</w:t>
            </w:r>
          </w:p>
        </w:tc>
        <w:tc>
          <w:tcPr>
            <w:tcW w:w="119"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59"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46</w:t>
            </w:r>
          </w:p>
        </w:tc>
        <w:tc>
          <w:tcPr>
            <w:tcW w:w="119"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59"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36</w:t>
            </w:r>
          </w:p>
        </w:tc>
        <w:tc>
          <w:tcPr>
            <w:tcW w:w="119"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59"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69</w:t>
            </w:r>
          </w:p>
        </w:tc>
        <w:tc>
          <w:tcPr>
            <w:tcW w:w="75"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w:t>
            </w:r>
          </w:p>
        </w:tc>
      </w:tr>
      <w:bookmarkEnd w:id="723"/>
      <w:bookmarkEnd w:id="729"/>
    </w:tbl>
    <w:p w:rsidR="009534E2" w:rsidRDefault="009534E2">
      <w:pPr>
        <w:rPr>
          <w:rFonts w:asciiTheme="majorHAnsi" w:hAnsiTheme="majorHAnsi" w:cstheme="majorHAnsi"/>
        </w:rPr>
      </w:pP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 xml:space="preserve">The amount of loans issued to legal entities which primarily related to ROWI project as of December 31, 2022 was RUB 15,043 million compared to RUB 11,537 million as of December 31, 2021 the corresponding amount of provisions for loan impairment was RUB 421 million as compared with RUB 92 million to the same period in the prior year (see Item </w:t>
      </w:r>
      <w:r>
        <w:rPr>
          <w:rFonts w:eastAsia="Times New Roman" w:asciiTheme="majorHAnsi" w:hAnsiTheme="majorHAnsi" w:cstheme="majorHAnsi"/>
          <w:i/>
          <w:iCs/>
          <w:lang w:eastAsia="ru-RU"/>
        </w:rPr>
        <w:t>5A “– Operating results”</w:t>
      </w:r>
      <w:r>
        <w:rPr>
          <w:rFonts w:eastAsia="Times New Roman" w:asciiTheme="majorHAnsi" w:hAnsiTheme="majorHAnsi" w:cstheme="majorHAnsi"/>
          <w:lang w:eastAsia="ru-RU"/>
        </w:rPr>
        <w:t xml:space="preserve"> for more details on the dynamics). A loan is considered overdue when the borrower fails to make any payment due under the loan at the reporting date and an overdue amount is recognized as the aggregate amount of all amounts due from the borrower under the respective loan agreement including accrued interest and commissions if any. For the purposes of our internal credit risk assessment, we consider all loans with a principal and/or interest payment that is more than 90 days overdue as “non‐performing”.</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As of December 31, 2022, we had credit exposure in connection with financial and performance guarantees we provide mostly to non-related parties as part of our ROWI business and certain of our merchants (predominantly in betting space) in the amount of RUB 82,653 million up from RUB 46,631 as of December 31, 2021.</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are also exposed to substantial risk through loans and financial and performance guarantees issued to small and medium enterprises, where Qiwi Bank serves as the lender or issuer of the guarantees and bears the credit risk. When granting these loans and guarantees, we use automated scoring solvency models and evaluates individually each application as to the probability of fraud and of default. It uses information from external sources as well as an internally established methodology in order to approve or reject each application. We also use manual verification for determining the credit limit for the approved applicants.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As part of the credit risk assessment of factoring transactions, we evaluate the credit risk of an individual client as well as of the debtor. We believe that debtor risk assessment is an important source of additional security and credit quality guarantee. Procedures and responsibilities for assessing and managing the credits risk of clients and debtors are clearly stipulated in the internal risk policy. To assess the clients’ accounts receivable as a form of collateral, we analyze each debtor individually and collectively at the portfolio level (risk concentration, turnover ratios and other parameters). We also make allowances for the dual structure of collateral for the assets placed under factoring operations. According to such structure, the debtor whose receivables are assigned to us must fulfill its obligations and in case the debtor fails to fulfill its contractual liabilities, the liabilities are transferred to the client under recourse. Compared with traditional lending, therefore, the assets are better collateralized and the credit risk is lower.</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The management established a credit committee that develops and approves general principles for lending and takes special measures to mitigate credit risk such as reduction of the credit limits for unreliable clients, diversification of methods of work with overdue borrowers and more advanced scoring models for the new borrowers.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 xml:space="preserve">The calculation of ECLs incorporates forward-looking information. We perform historical analysis and identify the key economic variables impacting credit risk and ECLs for each portfolio. The impact of these economic variables on the ECL is determined by performing statistical regression analysis in order to understand the way how changes in these variables historically impacted default rates. Having performed this analysis, we believe that </w:t>
      </w:r>
      <w:r w:rsidR="00F00840">
        <w:rPr>
          <w:rFonts w:eastAsia="Times New Roman" w:asciiTheme="majorHAnsi" w:hAnsiTheme="majorHAnsi" w:cstheme="majorHAnsi"/>
        </w:rPr>
        <w:t>such</w:t>
      </w:r>
      <w:r>
        <w:rPr>
          <w:rFonts w:eastAsia="Times New Roman" w:asciiTheme="majorHAnsi" w:hAnsiTheme="majorHAnsi" w:cstheme="majorHAnsi"/>
        </w:rPr>
        <w:t xml:space="preserve"> forward-looking information does not significantly affect the amount of E</w:t>
      </w:r>
      <w:r w:rsidR="00F00840">
        <w:rPr>
          <w:rFonts w:eastAsia="Times New Roman" w:asciiTheme="majorHAnsi" w:hAnsiTheme="majorHAnsi" w:cstheme="majorHAnsi"/>
        </w:rPr>
        <w:t>CLs</w:t>
      </w:r>
      <w:r>
        <w:rPr>
          <w:rFonts w:eastAsia="Times New Roman" w:asciiTheme="majorHAnsi" w:hAnsiTheme="majorHAnsi" w:cstheme="majorHAnsi"/>
        </w:rPr>
        <w:t xml:space="preserve"> recognized in the consolidated financial statements.</w:t>
      </w:r>
    </w:p>
    <w:p w:rsidR="009534E2" w:rsidRDefault="003369EB">
      <w:pPr>
        <w:keepNext/>
        <w:keepLines/>
        <w:spacing w:after="200"/>
        <w:rPr>
          <w:rFonts w:eastAsia="Times New Roman" w:asciiTheme="majorHAnsi" w:hAnsiTheme="majorHAnsi" w:cstheme="majorHAnsi"/>
          <w:i/>
          <w:iCs/>
          <w:lang w:eastAsia="ru-RU"/>
        </w:rPr>
      </w:pPr>
      <w:r>
        <w:rPr>
          <w:rFonts w:eastAsia="Times New Roman" w:asciiTheme="majorHAnsi" w:hAnsiTheme="majorHAnsi" w:cstheme="majorHAnsi"/>
          <w:i/>
          <w:iCs/>
          <w:lang w:eastAsia="ru-RU"/>
        </w:rPr>
        <w:t>Market risk</w:t>
      </w:r>
    </w:p>
    <w:p w:rsidR="009534E2" w:rsidRDefault="003369EB">
      <w:pPr>
        <w:spacing w:after="200"/>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We are exposed to market risk through our holding of a trading portfolio of bonds. Our market risk management is aimed at keeping the level of market risk assumed by the Group in line with the Group’s strategy. The Group manages its market risk on both portfolio and individual basis. The most commonly used tools are VAR (value at risk) and stop-loss limits, which are set in accordance with the Group’s risk appetite and pursuant to the Group’s portfolio investment guidelines.</w:t>
      </w:r>
    </w:p>
    <w:p w:rsidR="009534E2" w:rsidRDefault="003369EB">
      <w:pPr>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An analysis of the sensitivity of changes in the fair value of financial instruments at fair value though other comprehensive income due to changes in the interest rates, based on positions existing as of December 31, 2022 and 2021 and a simplified scenario of a 100 bp symmetrical fall or rise in all yield curves, is as follows:</w:t>
      </w:r>
    </w:p>
    <w:p w:rsidR="009534E2" w:rsidRDefault="009534E2">
      <w:pPr>
        <w:ind w:firstLine="461"/>
        <w:rPr>
          <w:rFonts w:eastAsia="Times New Roman"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553"/>
        <w:gridCol w:w="240"/>
        <w:gridCol w:w="1385"/>
        <w:gridCol w:w="240"/>
        <w:gridCol w:w="1382"/>
      </w:tblGrid>
      <w:tr w:rsidR="009534E2">
        <w:trPr>
          <w:trHeight w:val="20" w:hRule="exact"/>
        </w:trPr>
        <w:tc>
          <w:tcPr>
            <w:tcW w:w="3497" w:type="pct"/>
            <w:tcBorders>
              <w:top w:val="nil"/>
              <w:left w:val="nil"/>
              <w:bottom w:val="nil"/>
              <w:right w:val="nil"/>
            </w:tcBorders>
            <w:vAlign w:val="bottom"/>
          </w:tcPr>
          <w:p w:rsidR="009534E2" w:rsidRDefault="009534E2">
            <w:pPr>
              <w:keepNext/>
              <w:rPr>
                <w:sz w:val="2"/>
              </w:rPr>
            </w:pPr>
            <w:bookmarkStart w:name="_89d3f2c8_87a7_4637_9101_2e3728133076" w:colFirst="0" w:colLast="0" w:id="730"/>
            <w:bookmarkStart w:name="_fa121d72_3b9d_40bf_a345_aef4257c0b48" w:colFirst="1" w:colLast="1" w:id="731"/>
            <w:bookmarkStart w:name="_8d8f2854_6b35_4cb2_8974_cbcb619d62a6" w:colFirst="2" w:colLast="2" w:id="732"/>
            <w:bookmarkStart w:name="_0a311ac2_d433_4ed3_a649_ad56acdc13b9" w:colFirst="3" w:colLast="3" w:id="733"/>
            <w:bookmarkStart w:name="_91ededa2_baff_4b87_b666_c2720ffcff3d" w:colFirst="4" w:colLast="4" w:id="734"/>
            <w:bookmarkStart w:name="_97675b99_30b9_480a_a694_883c6a6e1cbf" w:id="735"/>
          </w:p>
        </w:tc>
        <w:tc>
          <w:tcPr>
            <w:tcW w:w="111" w:type="pct"/>
            <w:tcBorders>
              <w:top w:val="nil"/>
              <w:left w:val="nil"/>
              <w:bottom w:val="nil"/>
              <w:right w:val="nil"/>
            </w:tcBorders>
            <w:noWrap/>
            <w:vAlign w:val="bottom"/>
          </w:tcPr>
          <w:p w:rsidR="009534E2" w:rsidRDefault="009534E2">
            <w:pPr>
              <w:keepNext/>
              <w:rPr>
                <w:sz w:val="2"/>
              </w:rPr>
            </w:pPr>
          </w:p>
        </w:tc>
        <w:tc>
          <w:tcPr>
            <w:tcW w:w="641" w:type="pct"/>
            <w:tcBorders>
              <w:top w:val="nil"/>
              <w:left w:val="nil"/>
              <w:bottom w:val="nil"/>
              <w:right w:val="nil"/>
            </w:tcBorders>
            <w:noWrap/>
            <w:vAlign w:val="bottom"/>
          </w:tcPr>
          <w:p w:rsidR="009534E2" w:rsidRDefault="009534E2">
            <w:pPr>
              <w:keepNext/>
              <w:rPr>
                <w:sz w:val="2"/>
              </w:rPr>
            </w:pPr>
          </w:p>
        </w:tc>
        <w:tc>
          <w:tcPr>
            <w:tcW w:w="111" w:type="pct"/>
            <w:tcBorders>
              <w:top w:val="nil"/>
              <w:left w:val="nil"/>
              <w:bottom w:val="nil"/>
              <w:right w:val="nil"/>
            </w:tcBorders>
            <w:noWrap/>
            <w:vAlign w:val="bottom"/>
          </w:tcPr>
          <w:p w:rsidR="009534E2" w:rsidRDefault="009534E2">
            <w:pPr>
              <w:keepNext/>
              <w:rPr>
                <w:sz w:val="2"/>
              </w:rPr>
            </w:pPr>
          </w:p>
        </w:tc>
        <w:tc>
          <w:tcPr>
            <w:tcW w:w="640" w:type="pct"/>
            <w:tcBorders>
              <w:top w:val="nil"/>
              <w:left w:val="nil"/>
              <w:bottom w:val="nil"/>
              <w:right w:val="nil"/>
            </w:tcBorders>
            <w:noWrap/>
            <w:vAlign w:val="bottom"/>
          </w:tcPr>
          <w:p w:rsidR="009534E2" w:rsidRDefault="009534E2">
            <w:pPr>
              <w:keepNext/>
              <w:rPr>
                <w:sz w:val="2"/>
              </w:rPr>
            </w:pPr>
          </w:p>
        </w:tc>
      </w:tr>
      <w:tr w:rsidR="009534E2">
        <w:tc>
          <w:tcPr>
            <w:tcW w:w="3497" w:type="pct"/>
            <w:tcBorders>
              <w:top w:val="nil"/>
              <w:left w:val="nil"/>
              <w:bottom w:val="nil"/>
              <w:right w:val="nil"/>
              <w:tl2br w:val="nil"/>
              <w:tr2bl w:val="nil"/>
            </w:tcBorders>
            <w:shd w:val="clear" w:color="auto" w:fill="auto"/>
            <w:vAlign w:val="bottom"/>
          </w:tcPr>
          <w:p w:rsidR="009534E2" w:rsidRDefault="009534E2">
            <w:pPr>
              <w:rPr>
                <w:color w:val="000000"/>
                <w:sz w:val="16"/>
              </w:rPr>
            </w:pPr>
            <w:bookmarkStart w:name="_256340f5_bd65_4e39_a635_295e77c3def0" w:id="736"/>
            <w:bookmarkEnd w:id="730"/>
            <w:bookmarkEnd w:id="731"/>
            <w:bookmarkEnd w:id="732"/>
            <w:bookmarkEnd w:id="733"/>
            <w:bookmarkEnd w:id="734"/>
          </w:p>
        </w:tc>
        <w:tc>
          <w:tcPr>
            <w:tcW w:w="111" w:type="pct"/>
            <w:tcBorders>
              <w:top w:val="nil"/>
              <w:left w:val="nil"/>
              <w:bottom w:val="nil"/>
              <w:right w:val="nil"/>
              <w:tl2br w:val="nil"/>
              <w:tr2bl w:val="nil"/>
            </w:tcBorders>
            <w:shd w:val="clear" w:color="auto" w:fill="auto"/>
            <w:noWrap/>
            <w:vAlign w:val="bottom"/>
          </w:tcPr>
          <w:p w:rsidR="009534E2" w:rsidRDefault="003369EB">
            <w:pPr>
              <w:jc w:val="center"/>
              <w:rPr>
                <w:b/>
                <w:color w:val="000000"/>
                <w:sz w:val="16"/>
              </w:rPr>
            </w:pPr>
            <w:r>
              <w:rPr>
                <w:rFonts w:ascii="Times New Roman" w:hAnsi="Times New Roman" w:eastAsia="Times New Roman" w:cs="Times New Roman"/>
                <w:b/>
                <w:color w:val="000000"/>
                <w:sz w:val="16"/>
              </w:rPr>
              <w:t>    </w:t>
            </w:r>
          </w:p>
        </w:tc>
        <w:tc>
          <w:tcPr>
            <w:tcW w:w="1392"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jc w:val="center"/>
              <w:rPr>
                <w:b/>
                <w:color w:val="000000"/>
                <w:sz w:val="16"/>
              </w:rPr>
            </w:pPr>
            <w:r>
              <w:rPr>
                <w:rFonts w:ascii="Times New Roman" w:hAnsi="Times New Roman" w:eastAsia="Times New Roman" w:cs="Times New Roman"/>
                <w:b/>
                <w:color w:val="000000"/>
                <w:sz w:val="16"/>
              </w:rPr>
              <w:t>Other comprehensive income/(loss)</w:t>
            </w:r>
          </w:p>
        </w:tc>
      </w:tr>
      <w:tr w:rsidR="009534E2">
        <w:tc>
          <w:tcPr>
            <w:tcW w:w="3497" w:type="pct"/>
            <w:tcBorders>
              <w:top w:val="nil"/>
              <w:left w:val="nil"/>
              <w:bottom w:val="nil"/>
              <w:right w:val="nil"/>
              <w:tl2br w:val="nil"/>
              <w:tr2bl w:val="nil"/>
            </w:tcBorders>
            <w:shd w:val="clear" w:color="auto" w:fill="auto"/>
            <w:vAlign w:val="bottom"/>
          </w:tcPr>
          <w:p w:rsidR="009534E2" w:rsidRDefault="009534E2">
            <w:pPr>
              <w:rPr>
                <w:color w:val="000000"/>
                <w:sz w:val="16"/>
              </w:rPr>
            </w:pPr>
            <w:bookmarkStart w:name="_0a9f30ca_6528_4e67_af23_3937ce5bb779" w:id="737"/>
            <w:bookmarkEnd w:id="736"/>
          </w:p>
        </w:tc>
        <w:tc>
          <w:tcPr>
            <w:tcW w:w="111" w:type="pct"/>
            <w:tcBorders>
              <w:top w:val="nil"/>
              <w:left w:val="nil"/>
              <w:bottom w:val="nil"/>
              <w:right w:val="nil"/>
              <w:tl2br w:val="nil"/>
              <w:tr2bl w:val="nil"/>
            </w:tcBorders>
            <w:shd w:val="clear" w:color="auto" w:fill="auto"/>
            <w:noWrap/>
            <w:vAlign w:val="bottom"/>
          </w:tcPr>
          <w:p w:rsidR="009534E2" w:rsidRDefault="009534E2">
            <w:pPr>
              <w:jc w:val="center"/>
              <w:rPr>
                <w:b/>
                <w:color w:val="000000"/>
                <w:sz w:val="16"/>
              </w:rPr>
            </w:pPr>
          </w:p>
        </w:tc>
        <w:tc>
          <w:tcPr>
            <w:tcW w:w="641" w:type="pct"/>
            <w:tcBorders>
              <w:top w:val="nil"/>
              <w:left w:val="nil"/>
              <w:bottom w:val="nil"/>
              <w:right w:val="nil"/>
              <w:tl2br w:val="nil"/>
              <w:tr2bl w:val="nil"/>
            </w:tcBorders>
            <w:shd w:val="clear" w:color="auto" w:fill="auto"/>
            <w:noWrap/>
            <w:vAlign w:val="bottom"/>
          </w:tcPr>
          <w:p w:rsidR="009534E2" w:rsidRDefault="003369EB">
            <w:pPr>
              <w:jc w:val="center"/>
              <w:rPr>
                <w:b/>
                <w:color w:val="000000"/>
                <w:sz w:val="16"/>
              </w:rPr>
            </w:pPr>
            <w:r>
              <w:rPr>
                <w:rFonts w:ascii="Times New Roman" w:hAnsi="Times New Roman" w:eastAsia="Times New Roman" w:cs="Times New Roman"/>
                <w:b/>
                <w:color w:val="000000"/>
                <w:sz w:val="16"/>
              </w:rPr>
              <w:t>As of December 31, </w:t>
            </w:r>
          </w:p>
        </w:tc>
        <w:tc>
          <w:tcPr>
            <w:tcW w:w="111" w:type="pct"/>
            <w:tcBorders>
              <w:top w:val="nil"/>
              <w:left w:val="nil"/>
              <w:bottom w:val="nil"/>
              <w:right w:val="nil"/>
              <w:tl2br w:val="nil"/>
              <w:tr2bl w:val="nil"/>
            </w:tcBorders>
            <w:shd w:val="clear" w:color="auto" w:fill="auto"/>
            <w:noWrap/>
            <w:vAlign w:val="bottom"/>
          </w:tcPr>
          <w:p w:rsidR="009534E2" w:rsidRDefault="009534E2">
            <w:pPr>
              <w:jc w:val="center"/>
              <w:rPr>
                <w:b/>
                <w:color w:val="000000"/>
                <w:sz w:val="16"/>
              </w:rPr>
            </w:pPr>
          </w:p>
        </w:tc>
        <w:tc>
          <w:tcPr>
            <w:tcW w:w="640" w:type="pct"/>
            <w:tcBorders>
              <w:top w:val="nil"/>
              <w:left w:val="nil"/>
              <w:bottom w:val="nil"/>
              <w:right w:val="nil"/>
              <w:tl2br w:val="nil"/>
              <w:tr2bl w:val="nil"/>
            </w:tcBorders>
            <w:shd w:val="clear" w:color="auto" w:fill="auto"/>
            <w:noWrap/>
            <w:vAlign w:val="bottom"/>
          </w:tcPr>
          <w:p w:rsidR="009534E2" w:rsidRDefault="003369EB">
            <w:pPr>
              <w:jc w:val="center"/>
              <w:rPr>
                <w:b/>
                <w:color w:val="000000"/>
                <w:sz w:val="16"/>
              </w:rPr>
            </w:pPr>
            <w:r>
              <w:rPr>
                <w:rFonts w:ascii="Times New Roman" w:hAnsi="Times New Roman" w:eastAsia="Times New Roman" w:cs="Times New Roman"/>
                <w:b/>
                <w:color w:val="000000"/>
                <w:sz w:val="16"/>
              </w:rPr>
              <w:t>As of December 31,</w:t>
            </w:r>
          </w:p>
        </w:tc>
      </w:tr>
      <w:tr w:rsidR="009534E2">
        <w:tc>
          <w:tcPr>
            <w:tcW w:w="3497" w:type="pct"/>
            <w:tcBorders>
              <w:top w:val="nil"/>
              <w:left w:val="nil"/>
              <w:bottom w:val="nil"/>
              <w:right w:val="nil"/>
              <w:tl2br w:val="nil"/>
              <w:tr2bl w:val="nil"/>
            </w:tcBorders>
            <w:shd w:val="clear" w:color="auto" w:fill="auto"/>
            <w:vAlign w:val="bottom"/>
          </w:tcPr>
          <w:p w:rsidR="009534E2" w:rsidRDefault="009534E2">
            <w:pPr>
              <w:rPr>
                <w:color w:val="000000"/>
                <w:sz w:val="16"/>
              </w:rPr>
            </w:pPr>
            <w:bookmarkStart w:name="_8d5f3bd9_29c0_4da8_b6ec_abe84767583b" w:id="738"/>
            <w:bookmarkEnd w:id="737"/>
          </w:p>
        </w:tc>
        <w:tc>
          <w:tcPr>
            <w:tcW w:w="111" w:type="pct"/>
            <w:tcBorders>
              <w:top w:val="nil"/>
              <w:left w:val="nil"/>
              <w:bottom w:val="nil"/>
              <w:right w:val="nil"/>
              <w:tl2br w:val="nil"/>
              <w:tr2bl w:val="nil"/>
            </w:tcBorders>
            <w:shd w:val="clear" w:color="auto" w:fill="auto"/>
            <w:noWrap/>
            <w:vAlign w:val="bottom"/>
          </w:tcPr>
          <w:p w:rsidR="009534E2" w:rsidRDefault="003369EB">
            <w:pPr>
              <w:jc w:val="center"/>
              <w:rPr>
                <w:b/>
                <w:color w:val="000000"/>
                <w:sz w:val="16"/>
              </w:rPr>
            </w:pPr>
            <w:r>
              <w:rPr>
                <w:rFonts w:ascii="Times New Roman" w:hAnsi="Times New Roman" w:eastAsia="Times New Roman" w:cs="Times New Roman"/>
                <w:b/>
                <w:color w:val="000000"/>
                <w:sz w:val="16"/>
              </w:rPr>
              <w:t>    </w:t>
            </w:r>
          </w:p>
        </w:tc>
        <w:tc>
          <w:tcPr>
            <w:tcW w:w="641"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b/>
                <w:color w:val="000000"/>
                <w:sz w:val="16"/>
              </w:rPr>
            </w:pPr>
            <w:r>
              <w:rPr>
                <w:rFonts w:ascii="Times New Roman" w:hAnsi="Times New Roman" w:eastAsia="Times New Roman" w:cs="Times New Roman"/>
                <w:b/>
                <w:color w:val="000000"/>
                <w:sz w:val="16"/>
              </w:rPr>
              <w:t>2021</w:t>
            </w:r>
          </w:p>
        </w:tc>
        <w:tc>
          <w:tcPr>
            <w:tcW w:w="111" w:type="pct"/>
            <w:tcBorders>
              <w:top w:val="nil"/>
              <w:left w:val="nil"/>
              <w:bottom w:val="nil"/>
              <w:right w:val="nil"/>
              <w:tl2br w:val="nil"/>
              <w:tr2bl w:val="nil"/>
            </w:tcBorders>
            <w:shd w:val="clear" w:color="auto" w:fill="auto"/>
            <w:noWrap/>
            <w:vAlign w:val="bottom"/>
          </w:tcPr>
          <w:p w:rsidR="009534E2" w:rsidRDefault="003369EB">
            <w:pPr>
              <w:jc w:val="center"/>
              <w:rPr>
                <w:b/>
                <w:color w:val="000000"/>
                <w:sz w:val="16"/>
              </w:rPr>
            </w:pPr>
            <w:r>
              <w:rPr>
                <w:rFonts w:ascii="Times New Roman" w:hAnsi="Times New Roman" w:eastAsia="Times New Roman" w:cs="Times New Roman"/>
                <w:b/>
                <w:color w:val="000000"/>
                <w:sz w:val="16"/>
              </w:rPr>
              <w:t>    </w:t>
            </w:r>
          </w:p>
        </w:tc>
        <w:tc>
          <w:tcPr>
            <w:tcW w:w="640"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b/>
                <w:color w:val="000000"/>
                <w:sz w:val="16"/>
              </w:rPr>
            </w:pPr>
            <w:r>
              <w:rPr>
                <w:rFonts w:ascii="Times New Roman" w:hAnsi="Times New Roman" w:eastAsia="Times New Roman" w:cs="Times New Roman"/>
                <w:b/>
                <w:color w:val="000000"/>
                <w:sz w:val="16"/>
              </w:rPr>
              <w:t> 2022</w:t>
            </w:r>
          </w:p>
        </w:tc>
      </w:tr>
      <w:tr w:rsidR="009534E2">
        <w:tc>
          <w:tcPr>
            <w:tcW w:w="3497" w:type="pct"/>
            <w:tcBorders>
              <w:top w:val="nil"/>
              <w:left w:val="nil"/>
              <w:bottom w:val="nil"/>
              <w:right w:val="nil"/>
              <w:tl2br w:val="nil"/>
              <w:tr2bl w:val="nil"/>
            </w:tcBorders>
            <w:shd w:val="clear" w:color="auto" w:fill="CCEEFF"/>
            <w:vAlign w:val="bottom"/>
          </w:tcPr>
          <w:p w:rsidR="009534E2" w:rsidRDefault="003369EB">
            <w:pPr>
              <w:rPr>
                <w:color w:val="000000"/>
              </w:rPr>
            </w:pPr>
            <w:bookmarkStart w:name="_acdb584d_2044_4f2e_b24d_11a624ee306a" w:id="739"/>
            <w:bookmarkEnd w:id="738"/>
            <w:r>
              <w:rPr>
                <w:rFonts w:ascii="Times New Roman" w:hAnsi="Times New Roman" w:eastAsia="Times New Roman" w:cs="Times New Roman"/>
                <w:color w:val="000000"/>
              </w:rPr>
              <w:t>100 bp rise of interest rate</w:t>
            </w:r>
          </w:p>
        </w:tc>
        <w:tc>
          <w:tcPr>
            <w:tcW w:w="111" w:type="pct"/>
            <w:tcBorders>
              <w:top w:val="nil"/>
              <w:left w:val="nil"/>
              <w:bottom w:val="nil"/>
              <w:right w:val="nil"/>
              <w:tl2br w:val="nil"/>
              <w:tr2bl w:val="nil"/>
            </w:tcBorders>
            <w:shd w:val="clear" w:color="auto" w:fill="CCEEFF"/>
            <w:noWrap/>
            <w:vAlign w:val="bottom"/>
          </w:tcPr>
          <w:p w:rsidR="009534E2" w:rsidRDefault="009534E2">
            <w:pPr>
              <w:jc w:val="center"/>
              <w:rPr>
                <w:color w:val="000000"/>
              </w:rPr>
            </w:pPr>
          </w:p>
        </w:tc>
        <w:tc>
          <w:tcPr>
            <w:tcW w:w="641" w:type="pct"/>
            <w:tcBorders>
              <w:top w:val="nil"/>
              <w:left w:val="nil"/>
              <w:bottom w:val="nil"/>
              <w:right w:val="nil"/>
              <w:tl2br w:val="nil"/>
              <w:tr2bl w:val="nil"/>
            </w:tcBorders>
            <w:shd w:val="clear" w:color="auto" w:fill="CCEEFF"/>
            <w:noWrap/>
            <w:vAlign w:val="bottom"/>
          </w:tcPr>
          <w:p w:rsidR="009534E2" w:rsidRDefault="003369EB">
            <w:pPr>
              <w:jc w:val="right"/>
              <w:rPr>
                <w:color w:val="000000"/>
              </w:rPr>
            </w:pPr>
            <w:r>
              <w:rPr>
                <w:rFonts w:ascii="Times New Roman" w:hAnsi="Times New Roman" w:eastAsia="Times New Roman" w:cs="Times New Roman"/>
                <w:color w:val="000000"/>
              </w:rPr>
              <w:t xml:space="preserve"> (252)</w:t>
            </w:r>
          </w:p>
        </w:tc>
        <w:tc>
          <w:tcPr>
            <w:tcW w:w="111" w:type="pct"/>
            <w:tcBorders>
              <w:top w:val="nil"/>
              <w:left w:val="nil"/>
              <w:bottom w:val="nil"/>
              <w:right w:val="nil"/>
              <w:tl2br w:val="nil"/>
              <w:tr2bl w:val="nil"/>
            </w:tcBorders>
            <w:shd w:val="clear" w:color="auto" w:fill="CCEEFF"/>
            <w:noWrap/>
            <w:vAlign w:val="bottom"/>
          </w:tcPr>
          <w:p w:rsidR="009534E2" w:rsidRDefault="009534E2">
            <w:pPr>
              <w:jc w:val="right"/>
              <w:rPr>
                <w:color w:val="000000"/>
              </w:rPr>
            </w:pPr>
          </w:p>
        </w:tc>
        <w:tc>
          <w:tcPr>
            <w:tcW w:w="640" w:type="pct"/>
            <w:tcBorders>
              <w:top w:val="nil"/>
              <w:left w:val="nil"/>
              <w:bottom w:val="nil"/>
              <w:right w:val="nil"/>
              <w:tl2br w:val="nil"/>
              <w:tr2bl w:val="nil"/>
            </w:tcBorders>
            <w:shd w:val="clear" w:color="auto" w:fill="CCEEFF"/>
            <w:noWrap/>
            <w:vAlign w:val="bottom"/>
          </w:tcPr>
          <w:p w:rsidR="009534E2" w:rsidRDefault="003369EB">
            <w:pPr>
              <w:jc w:val="right"/>
              <w:rPr>
                <w:color w:val="000000"/>
              </w:rPr>
            </w:pPr>
            <w:r>
              <w:rPr>
                <w:rFonts w:ascii="Times New Roman" w:hAnsi="Times New Roman" w:eastAsia="Times New Roman" w:cs="Times New Roman"/>
                <w:color w:val="000000"/>
              </w:rPr>
              <w:t xml:space="preserve"> (242)</w:t>
            </w:r>
          </w:p>
        </w:tc>
      </w:tr>
      <w:tr w:rsidR="009534E2">
        <w:tc>
          <w:tcPr>
            <w:tcW w:w="3497" w:type="pct"/>
            <w:tcBorders>
              <w:top w:val="nil"/>
              <w:left w:val="nil"/>
              <w:bottom w:val="nil"/>
              <w:right w:val="nil"/>
              <w:tl2br w:val="nil"/>
              <w:tr2bl w:val="nil"/>
            </w:tcBorders>
            <w:vAlign w:val="bottom"/>
          </w:tcPr>
          <w:p w:rsidR="009534E2" w:rsidRDefault="003369EB">
            <w:pPr>
              <w:rPr>
                <w:color w:val="000000"/>
              </w:rPr>
            </w:pPr>
            <w:bookmarkStart w:name="_4b560efe_1284_4b8d_95b7_db29ca7d6fb9" w:id="740"/>
            <w:bookmarkEnd w:id="739"/>
            <w:r>
              <w:rPr>
                <w:rFonts w:ascii="Times New Roman" w:hAnsi="Times New Roman" w:eastAsia="Times New Roman" w:cs="Times New Roman"/>
                <w:color w:val="000000"/>
              </w:rPr>
              <w:t>100 bp fall of interest rate</w:t>
            </w:r>
          </w:p>
        </w:tc>
        <w:tc>
          <w:tcPr>
            <w:tcW w:w="111" w:type="pct"/>
            <w:tcBorders>
              <w:top w:val="nil"/>
              <w:left w:val="nil"/>
              <w:bottom w:val="nil"/>
              <w:right w:val="nil"/>
              <w:tl2br w:val="nil"/>
              <w:tr2bl w:val="nil"/>
            </w:tcBorders>
            <w:noWrap/>
            <w:vAlign w:val="bottom"/>
          </w:tcPr>
          <w:p w:rsidR="009534E2" w:rsidRDefault="003369EB">
            <w:pPr>
              <w:rPr>
                <w:color w:val="000000"/>
              </w:rPr>
            </w:pPr>
            <w:r>
              <w:rPr>
                <w:rFonts w:ascii="Times New Roman" w:hAnsi="Times New Roman" w:eastAsia="Times New Roman" w:cs="Times New Roman"/>
                <w:color w:val="000000"/>
              </w:rPr>
              <w:t> </w:t>
            </w:r>
          </w:p>
        </w:tc>
        <w:tc>
          <w:tcPr>
            <w:tcW w:w="641" w:type="pct"/>
            <w:tcBorders>
              <w:top w:val="nil"/>
              <w:left w:val="nil"/>
              <w:bottom w:val="nil"/>
              <w:right w:val="nil"/>
              <w:tl2br w:val="nil"/>
              <w:tr2bl w:val="nil"/>
            </w:tcBorders>
            <w:noWrap/>
            <w:vAlign w:val="bottom"/>
          </w:tcPr>
          <w:p w:rsidR="009534E2" w:rsidRDefault="003369EB">
            <w:pPr>
              <w:ind w:right="60"/>
              <w:jc w:val="right"/>
              <w:rPr>
                <w:color w:val="000000"/>
              </w:rPr>
            </w:pPr>
            <w:r>
              <w:rPr>
                <w:rFonts w:ascii="Times New Roman" w:hAnsi="Times New Roman" w:eastAsia="Times New Roman" w:cs="Times New Roman"/>
                <w:color w:val="000000"/>
              </w:rPr>
              <w:t xml:space="preserve"> 252</w:t>
            </w:r>
          </w:p>
        </w:tc>
        <w:tc>
          <w:tcPr>
            <w:tcW w:w="111" w:type="pct"/>
            <w:tcBorders>
              <w:top w:val="nil"/>
              <w:left w:val="nil"/>
              <w:bottom w:val="nil"/>
              <w:right w:val="nil"/>
              <w:tl2br w:val="nil"/>
              <w:tr2bl w:val="nil"/>
            </w:tcBorders>
            <w:noWrap/>
            <w:vAlign w:val="bottom"/>
          </w:tcPr>
          <w:p w:rsidR="009534E2" w:rsidRDefault="003369EB">
            <w:pPr>
              <w:jc w:val="right"/>
              <w:rPr>
                <w:color w:val="000000"/>
              </w:rPr>
            </w:pPr>
            <w:r>
              <w:rPr>
                <w:rFonts w:ascii="Times New Roman" w:hAnsi="Times New Roman" w:eastAsia="Times New Roman" w:cs="Times New Roman"/>
                <w:color w:val="000000"/>
              </w:rPr>
              <w:t> </w:t>
            </w:r>
          </w:p>
        </w:tc>
        <w:tc>
          <w:tcPr>
            <w:tcW w:w="640" w:type="pct"/>
            <w:tcBorders>
              <w:top w:val="nil"/>
              <w:left w:val="nil"/>
              <w:bottom w:val="nil"/>
              <w:right w:val="nil"/>
              <w:tl2br w:val="nil"/>
              <w:tr2bl w:val="nil"/>
            </w:tcBorders>
            <w:noWrap/>
            <w:vAlign w:val="bottom"/>
          </w:tcPr>
          <w:p w:rsidR="009534E2" w:rsidRDefault="003369EB">
            <w:pPr>
              <w:ind w:right="60"/>
              <w:jc w:val="right"/>
              <w:rPr>
                <w:color w:val="000000"/>
              </w:rPr>
            </w:pPr>
            <w:r>
              <w:rPr>
                <w:rFonts w:ascii="Times New Roman" w:hAnsi="Times New Roman" w:eastAsia="Times New Roman" w:cs="Times New Roman"/>
                <w:color w:val="000000"/>
              </w:rPr>
              <w:t xml:space="preserve"> 242</w:t>
            </w:r>
          </w:p>
        </w:tc>
      </w:tr>
    </w:tbl>
    <w:p w:rsidR="009534E2" w:rsidRDefault="00EC0AE1">
      <w:pPr>
        <w:ind w:firstLine="461"/>
        <w:rPr>
          <w:rFonts w:eastAsia="Times New Roman" w:asciiTheme="majorHAnsi" w:hAnsiTheme="majorHAnsi" w:cstheme="majorHAnsi"/>
          <w:sz w:val="2"/>
          <w:szCs w:val="2"/>
          <w:lang w:eastAsia="ru-RU"/>
        </w:rPr>
      </w:pPr>
    </w:p>
    <w:bookmarkEnd w:displacedByCustomXml="next" w:id="740"/>
    <w:bookmarkEnd w:displacedByCustomXml="next" w:id="735"/>
    <w:p w:rsidR="009534E2" w:rsidRDefault="009534E2">
      <w:pPr>
        <w:rPr>
          <w:rFonts w:eastAsia="Times New Roman" w:asciiTheme="majorHAnsi" w:hAnsiTheme="majorHAnsi" w:cstheme="majorHAnsi"/>
        </w:rPr>
      </w:pPr>
    </w:p>
    <w:p w:rsidR="009534E2" w:rsidRDefault="003369EB">
      <w:pPr>
        <w:keepNext/>
        <w:keepLines/>
        <w:tabs>
          <w:tab w:val="left" w:pos="1168"/>
        </w:tabs>
        <w:spacing w:after="200"/>
        <w:ind w:left="1080" w:hanging="108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12.</w:t>
      </w:r>
      <w:r>
        <w:rPr>
          <w:rFonts w:eastAsia="Times New Roman" w:asciiTheme="majorHAnsi" w:hAnsiTheme="majorHAnsi" w:cstheme="majorHAnsi"/>
          <w:sz w:val="24"/>
          <w:szCs w:val="24"/>
        </w:rPr>
        <w:tab/>
      </w:r>
      <w:r>
        <w:rPr>
          <w:rFonts w:eastAsia="Times New Roman" w:asciiTheme="majorHAnsi" w:hAnsiTheme="majorHAnsi" w:cstheme="majorHAnsi"/>
          <w:b/>
          <w:bCs/>
          <w:lang w:eastAsia="ru-RU"/>
        </w:rPr>
        <w:t>Description of Securities Other Than Equity Securities</w:t>
      </w:r>
      <w:bookmarkStart w:name="ITEM12DescriptionofSecuritiesOtherThanEq" w:id="741"/>
      <w:bookmarkEnd w:id="741"/>
    </w:p>
    <w:p w:rsidR="009534E2" w:rsidRDefault="003369EB">
      <w:pPr>
        <w:keepNext/>
        <w:keepLine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A.</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Debt Securities.</w:t>
      </w:r>
      <w:bookmarkStart w:name="ADebtSecurities_830882" w:id="742"/>
      <w:bookmarkEnd w:id="742"/>
    </w:p>
    <w:p w:rsidR="009534E2" w:rsidRDefault="003369EB">
      <w:pPr>
        <w:tabs>
          <w:tab w:val="left" w:pos="479"/>
        </w:tabs>
        <w:spacing w:after="200"/>
        <w:ind w:firstLine="461"/>
        <w:rPr>
          <w:rFonts w:eastAsia="Times New Roman" w:asciiTheme="majorHAnsi" w:hAnsiTheme="majorHAnsi" w:cstheme="majorHAnsi"/>
          <w:lang w:val="ru-RU" w:eastAsia="ru-RU"/>
        </w:rPr>
      </w:pPr>
      <w:r>
        <w:rPr>
          <w:rFonts w:eastAsia="Times New Roman" w:asciiTheme="majorHAnsi" w:hAnsiTheme="majorHAnsi" w:cstheme="majorHAnsi"/>
          <w:lang w:val="ru-RU" w:eastAsia="ru-RU"/>
        </w:rPr>
        <w:t>Not applicable.</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B.</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Warrants and Rights.</w:t>
      </w:r>
      <w:bookmarkStart w:name="BWarrantsandRights_927271" w:id="743"/>
      <w:bookmarkEnd w:id="743"/>
    </w:p>
    <w:p w:rsidR="009534E2" w:rsidRDefault="003369EB">
      <w:pPr>
        <w:spacing w:after="200"/>
        <w:ind w:firstLine="461"/>
        <w:rPr>
          <w:rFonts w:eastAsia="Times New Roman" w:asciiTheme="majorHAnsi" w:hAnsiTheme="majorHAnsi" w:cstheme="majorHAnsi"/>
          <w:lang w:val="ru-RU" w:eastAsia="ru-RU"/>
        </w:rPr>
      </w:pPr>
      <w:r>
        <w:rPr>
          <w:rFonts w:eastAsia="Times New Roman" w:asciiTheme="majorHAnsi" w:hAnsiTheme="majorHAnsi" w:cstheme="majorHAnsi"/>
          <w:lang w:val="ru-RU" w:eastAsia="ru-RU"/>
        </w:rPr>
        <w:t>Not applicable.</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eastAsia="ru-RU"/>
        </w:rPr>
        <w:t>C.</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Other Securities.</w:t>
      </w:r>
      <w:bookmarkStart w:name="COtherSecurities_437374" w:id="744"/>
      <w:bookmarkEnd w:id="744"/>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val="ru-RU" w:eastAsia="ru-RU"/>
        </w:rPr>
        <w:t>Not applicable.</w:t>
      </w:r>
    </w:p>
    <w:p w:rsidR="009534E2" w:rsidRDefault="003369EB">
      <w:pPr>
        <w:keepNext/>
        <w:keepLines/>
        <w:tabs>
          <w:tab w:val="left" w:pos="479"/>
        </w:tabs>
        <w:spacing w:after="200"/>
        <w:ind w:left="461" w:hanging="461"/>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D.</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American Depositary Shares.</w:t>
      </w:r>
      <w:bookmarkStart w:name="DAmericanDepositaryShares_723136" w:id="745"/>
      <w:bookmarkEnd w:id="745"/>
    </w:p>
    <w:p w:rsidR="009534E2" w:rsidRDefault="003369EB">
      <w:pPr>
        <w:keepNext/>
        <w:keepLines/>
        <w:spacing w:after="200"/>
        <w:ind w:left="360" w:hanging="36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Fees and Expenses</w:t>
      </w:r>
    </w:p>
    <w:tbl>
      <w:tblPr>
        <w:tblW w:w="5000" w:type="pct"/>
        <w:tblCellMar>
          <w:left w:w="0" w:type="dxa"/>
          <w:right w:w="0" w:type="dxa"/>
        </w:tblCellMar>
        <w:tblLook w:val="04A0" w:firstRow="1" w:lastRow="0" w:firstColumn="1" w:lastColumn="0" w:noHBand="0" w:noVBand="1"/>
      </w:tblPr>
      <w:tblGrid>
        <w:gridCol w:w="5385"/>
        <w:gridCol w:w="229"/>
        <w:gridCol w:w="5186"/>
      </w:tblGrid>
      <w:tr w:rsidR="009534E2">
        <w:tc>
          <w:tcPr>
            <w:tcW w:w="2493" w:type="pct"/>
            <w:vAlign w:val="bottom"/>
            <w:hideMark/>
          </w:tcPr>
          <w:p w:rsidR="009534E2" w:rsidRDefault="003369EB">
            <w:pPr>
              <w:rPr>
                <w:rFonts w:eastAsia="Times New Roman" w:asciiTheme="majorHAnsi" w:hAnsiTheme="majorHAnsi" w:cstheme="majorHAnsi"/>
                <w:sz w:val="24"/>
                <w:szCs w:val="24"/>
              </w:rPr>
            </w:pPr>
            <w:bookmarkStart w:name="_feb9ba23_3e0b_430c_9de1_3ab9d31e8137" w:id="746"/>
            <w:bookmarkStart w:name="_092f3def_d690_4c3c_9f61_d35ad4cd2262" w:id="747"/>
            <w:bookmarkEnd w:id="746"/>
            <w:r>
              <w:rPr>
                <w:rFonts w:eastAsia="Times New Roman" w:asciiTheme="majorHAnsi" w:hAnsiTheme="majorHAnsi" w:cstheme="majorHAnsi"/>
                <w:b/>
                <w:bCs/>
                <w:sz w:val="16"/>
                <w:szCs w:val="16"/>
                <w:lang w:eastAsia="ru-RU"/>
              </w:rPr>
              <w:t>Persons depositing or withdrawing class B shares or ADS holders must pay:</w:t>
            </w:r>
          </w:p>
        </w:tc>
        <w:tc>
          <w:tcPr>
            <w:tcW w:w="106" w:type="pct"/>
          </w:tcPr>
          <w:p w:rsidR="009534E2" w:rsidRDefault="003369EB">
            <w:pPr>
              <w:rPr>
                <w:rFonts w:eastAsia="Times New Roman" w:asciiTheme="majorHAnsi" w:hAnsiTheme="majorHAnsi" w:cstheme="majorHAnsi"/>
                <w:sz w:val="16"/>
                <w:szCs w:val="16"/>
                <w:lang w:eastAsia="ru-RU"/>
              </w:rPr>
            </w:pPr>
            <w:r>
              <w:rPr>
                <w:rFonts w:eastAsia="Times New Roman" w:asciiTheme="majorHAnsi" w:hAnsiTheme="majorHAnsi" w:cstheme="majorHAnsi"/>
                <w:sz w:val="16"/>
                <w:szCs w:val="16"/>
                <w:lang w:eastAsia="ru-RU"/>
              </w:rPr>
              <w:t>    </w:t>
            </w:r>
          </w:p>
        </w:tc>
        <w:tc>
          <w:tcPr>
            <w:tcW w:w="2401" w:type="pct"/>
            <w:vAlign w:val="bottom"/>
            <w:hideMark/>
          </w:tcPr>
          <w:p w:rsidR="009534E2" w:rsidRDefault="003369EB">
            <w:pPr>
              <w:rPr>
                <w:rFonts w:eastAsia="Times New Roman" w:asciiTheme="majorHAnsi" w:hAnsiTheme="majorHAnsi" w:cstheme="majorHAnsi"/>
                <w:sz w:val="24"/>
                <w:szCs w:val="24"/>
              </w:rPr>
            </w:pPr>
            <w:r>
              <w:rPr>
                <w:rFonts w:eastAsia="Times New Roman" w:asciiTheme="majorHAnsi" w:hAnsiTheme="majorHAnsi" w:cstheme="majorHAnsi"/>
                <w:b/>
                <w:bCs/>
                <w:sz w:val="16"/>
                <w:szCs w:val="16"/>
                <w:lang w:val="ru-RU" w:eastAsia="ru-RU"/>
              </w:rPr>
              <w:t>For:</w:t>
            </w:r>
          </w:p>
        </w:tc>
      </w:tr>
      <w:tr w:rsidR="009534E2">
        <w:tc>
          <w:tcPr>
            <w:tcW w:w="2493" w:type="pct"/>
            <w:vAlign w:val="center"/>
          </w:tcPr>
          <w:p w:rsidR="009534E2" w:rsidRDefault="009534E2">
            <w:pPr>
              <w:rPr>
                <w:rFonts w:eastAsia="Times New Roman" w:asciiTheme="majorHAnsi" w:hAnsiTheme="majorHAnsi" w:cstheme="majorHAnsi"/>
              </w:rPr>
            </w:pPr>
          </w:p>
        </w:tc>
        <w:tc>
          <w:tcPr>
            <w:tcW w:w="106" w:type="pct"/>
          </w:tcPr>
          <w:p w:rsidR="009534E2" w:rsidRDefault="009534E2">
            <w:pPr>
              <w:rPr>
                <w:rFonts w:eastAsia="Times New Roman" w:asciiTheme="majorHAnsi" w:hAnsiTheme="majorHAnsi" w:cstheme="majorHAnsi"/>
              </w:rPr>
            </w:pPr>
          </w:p>
        </w:tc>
        <w:tc>
          <w:tcPr>
            <w:tcW w:w="2401" w:type="pct"/>
            <w:vAlign w:val="center"/>
          </w:tcPr>
          <w:p w:rsidR="009534E2" w:rsidRDefault="009534E2">
            <w:pPr>
              <w:rPr>
                <w:rFonts w:eastAsia="Times New Roman" w:asciiTheme="majorHAnsi" w:hAnsiTheme="majorHAnsi" w:cstheme="majorHAnsi"/>
              </w:rPr>
            </w:pPr>
          </w:p>
        </w:tc>
      </w:tr>
      <w:tr w:rsidR="009534E2">
        <w:tc>
          <w:tcPr>
            <w:tcW w:w="2493" w:type="pct"/>
            <w:vAlign w:val="center"/>
          </w:tcPr>
          <w:p w:rsidR="009534E2" w:rsidRDefault="003369EB">
            <w:pPr>
              <w:rPr>
                <w:rFonts w:eastAsia="Times New Roman" w:asciiTheme="majorHAnsi" w:hAnsiTheme="majorHAnsi" w:cstheme="majorHAnsi"/>
              </w:rPr>
            </w:pPr>
            <w:r>
              <w:rPr>
                <w:rFonts w:eastAsia="Times New Roman" w:asciiTheme="majorHAnsi" w:hAnsiTheme="majorHAnsi" w:cstheme="majorHAnsi"/>
                <w:lang w:eastAsia="ru-RU"/>
              </w:rPr>
              <w:t>US $5.00 (or less) per 100 ADSs (or portion of 100 ADSs)</w:t>
            </w:r>
          </w:p>
        </w:tc>
        <w:tc>
          <w:tcPr>
            <w:tcW w:w="106" w:type="pct"/>
          </w:tcPr>
          <w:p w:rsidR="009534E2" w:rsidRDefault="009534E2">
            <w:pPr>
              <w:ind w:left="360" w:hanging="360"/>
              <w:rPr>
                <w:rFonts w:eastAsia="Times New Roman" w:asciiTheme="majorHAnsi" w:hAnsiTheme="majorHAnsi" w:cstheme="majorHAnsi"/>
                <w:lang w:eastAsia="ru-RU"/>
              </w:rPr>
            </w:pPr>
          </w:p>
        </w:tc>
        <w:tc>
          <w:tcPr>
            <w:tcW w:w="2401" w:type="pct"/>
            <w:vAlign w:val="center"/>
          </w:tcPr>
          <w:p w:rsidR="009534E2" w:rsidRDefault="003369EB">
            <w:pPr>
              <w:ind w:left="346" w:hanging="346"/>
              <w:rPr>
                <w:rFonts w:eastAsia="Times New Roman" w:asciiTheme="majorHAnsi" w:hAnsiTheme="majorHAnsi" w:cstheme="majorHAnsi"/>
              </w:rPr>
            </w:pPr>
            <w:r>
              <w:rPr>
                <w:rFonts w:eastAsia="Times New Roman" w:asciiTheme="majorHAnsi" w:hAnsiTheme="majorHAnsi" w:cstheme="majorHAnsi"/>
                <w:lang w:eastAsia="ru-RU"/>
              </w:rPr>
              <w:t>·     Issuance of ADSs, including issuances resulting from a distribution of class B shares or rights or other property</w:t>
            </w:r>
          </w:p>
        </w:tc>
      </w:tr>
      <w:tr w:rsidR="009534E2">
        <w:tc>
          <w:tcPr>
            <w:tcW w:w="2493" w:type="pct"/>
            <w:vAlign w:val="center"/>
          </w:tcPr>
          <w:p w:rsidR="009534E2" w:rsidRDefault="009534E2">
            <w:pPr>
              <w:rPr>
                <w:rFonts w:eastAsia="Times New Roman" w:asciiTheme="majorHAnsi" w:hAnsiTheme="majorHAnsi" w:cstheme="majorHAnsi"/>
              </w:rPr>
            </w:pPr>
          </w:p>
        </w:tc>
        <w:tc>
          <w:tcPr>
            <w:tcW w:w="106" w:type="pct"/>
          </w:tcPr>
          <w:p w:rsidR="009534E2" w:rsidRDefault="009534E2">
            <w:pPr>
              <w:rPr>
                <w:rFonts w:eastAsia="Times New Roman" w:asciiTheme="majorHAnsi" w:hAnsiTheme="majorHAnsi" w:cstheme="majorHAnsi"/>
              </w:rPr>
            </w:pPr>
          </w:p>
        </w:tc>
        <w:tc>
          <w:tcPr>
            <w:tcW w:w="2401" w:type="pct"/>
            <w:vAlign w:val="center"/>
          </w:tcPr>
          <w:p w:rsidR="009534E2" w:rsidRDefault="009534E2">
            <w:pPr>
              <w:ind w:left="346" w:hanging="346"/>
              <w:rPr>
                <w:rFonts w:eastAsia="Times New Roman" w:asciiTheme="majorHAnsi" w:hAnsiTheme="majorHAnsi" w:cstheme="majorHAnsi"/>
              </w:rPr>
            </w:pPr>
          </w:p>
        </w:tc>
      </w:tr>
      <w:tr w:rsidR="009534E2">
        <w:tc>
          <w:tcPr>
            <w:tcW w:w="2493" w:type="pct"/>
            <w:vAlign w:val="center"/>
          </w:tcPr>
          <w:p w:rsidR="009534E2" w:rsidRDefault="009534E2">
            <w:pPr>
              <w:rPr>
                <w:rFonts w:eastAsia="Times New Roman" w:asciiTheme="majorHAnsi" w:hAnsiTheme="majorHAnsi" w:cstheme="majorHAnsi"/>
              </w:rPr>
            </w:pPr>
          </w:p>
        </w:tc>
        <w:tc>
          <w:tcPr>
            <w:tcW w:w="106" w:type="pct"/>
          </w:tcPr>
          <w:p w:rsidR="009534E2" w:rsidRDefault="009534E2">
            <w:pPr>
              <w:rPr>
                <w:rFonts w:eastAsia="Times New Roman" w:asciiTheme="majorHAnsi" w:hAnsiTheme="majorHAnsi" w:cstheme="majorHAnsi"/>
                <w:lang w:eastAsia="ru-RU"/>
              </w:rPr>
            </w:pPr>
          </w:p>
        </w:tc>
        <w:tc>
          <w:tcPr>
            <w:tcW w:w="2401" w:type="pct"/>
            <w:vAlign w:val="center"/>
          </w:tcPr>
          <w:p w:rsidR="009534E2" w:rsidRDefault="003369EB">
            <w:pPr>
              <w:ind w:left="346" w:hanging="346"/>
              <w:rPr>
                <w:rFonts w:eastAsia="Times New Roman" w:asciiTheme="majorHAnsi" w:hAnsiTheme="majorHAnsi" w:cstheme="majorHAnsi"/>
              </w:rPr>
            </w:pPr>
            <w:r>
              <w:rPr>
                <w:rFonts w:eastAsia="Times New Roman" w:asciiTheme="majorHAnsi" w:hAnsiTheme="majorHAnsi" w:cstheme="majorHAnsi"/>
                <w:lang w:eastAsia="ru-RU"/>
              </w:rPr>
              <w:t>·     Cancellation of ADSs for the purpose of withdrawal, including if the deposit agreement terminates</w:t>
            </w:r>
          </w:p>
        </w:tc>
      </w:tr>
      <w:tr w:rsidR="009534E2">
        <w:tc>
          <w:tcPr>
            <w:tcW w:w="2493" w:type="pct"/>
            <w:vAlign w:val="center"/>
          </w:tcPr>
          <w:p w:rsidR="009534E2" w:rsidRDefault="009534E2">
            <w:pPr>
              <w:rPr>
                <w:rFonts w:eastAsia="Times New Roman" w:asciiTheme="majorHAnsi" w:hAnsiTheme="majorHAnsi" w:cstheme="majorHAnsi"/>
              </w:rPr>
            </w:pPr>
          </w:p>
        </w:tc>
        <w:tc>
          <w:tcPr>
            <w:tcW w:w="106" w:type="pct"/>
          </w:tcPr>
          <w:p w:rsidR="009534E2" w:rsidRDefault="009534E2">
            <w:pPr>
              <w:rPr>
                <w:rFonts w:eastAsia="Times New Roman" w:asciiTheme="majorHAnsi" w:hAnsiTheme="majorHAnsi" w:cstheme="majorHAnsi"/>
              </w:rPr>
            </w:pPr>
          </w:p>
        </w:tc>
        <w:tc>
          <w:tcPr>
            <w:tcW w:w="2401" w:type="pct"/>
            <w:vAlign w:val="center"/>
          </w:tcPr>
          <w:p w:rsidR="009534E2" w:rsidRDefault="009534E2">
            <w:pPr>
              <w:ind w:left="346" w:hanging="346"/>
              <w:rPr>
                <w:rFonts w:eastAsia="Times New Roman" w:asciiTheme="majorHAnsi" w:hAnsiTheme="majorHAnsi" w:cstheme="majorHAnsi"/>
              </w:rPr>
            </w:pPr>
          </w:p>
        </w:tc>
      </w:tr>
      <w:tr w:rsidR="009534E2">
        <w:tc>
          <w:tcPr>
            <w:tcW w:w="2493" w:type="pct"/>
            <w:vAlign w:val="center"/>
          </w:tcPr>
          <w:p w:rsidR="009534E2" w:rsidRDefault="003369EB">
            <w:pPr>
              <w:rPr>
                <w:rFonts w:eastAsia="Times New Roman" w:asciiTheme="majorHAnsi" w:hAnsiTheme="majorHAnsi" w:cstheme="majorHAnsi"/>
              </w:rPr>
            </w:pPr>
            <w:r>
              <w:rPr>
                <w:rFonts w:eastAsia="Times New Roman" w:asciiTheme="majorHAnsi" w:hAnsiTheme="majorHAnsi" w:cstheme="majorHAnsi"/>
                <w:lang w:eastAsia="ru-RU"/>
              </w:rPr>
              <w:t>US $0.05 (or less) per ADS</w:t>
            </w:r>
          </w:p>
        </w:tc>
        <w:tc>
          <w:tcPr>
            <w:tcW w:w="106" w:type="pct"/>
          </w:tcPr>
          <w:p w:rsidR="009534E2" w:rsidRDefault="009534E2">
            <w:pPr>
              <w:rPr>
                <w:rFonts w:eastAsia="Times New Roman" w:asciiTheme="majorHAnsi" w:hAnsiTheme="majorHAnsi" w:cstheme="majorHAnsi"/>
                <w:lang w:eastAsia="ru-RU"/>
              </w:rPr>
            </w:pPr>
          </w:p>
        </w:tc>
        <w:tc>
          <w:tcPr>
            <w:tcW w:w="2401" w:type="pct"/>
            <w:vAlign w:val="center"/>
          </w:tcPr>
          <w:p w:rsidR="009534E2" w:rsidRDefault="003369EB">
            <w:pPr>
              <w:ind w:left="346" w:hanging="346"/>
              <w:rPr>
                <w:rFonts w:eastAsia="Times New Roman" w:asciiTheme="majorHAnsi" w:hAnsiTheme="majorHAnsi" w:cstheme="majorHAnsi"/>
              </w:rPr>
            </w:pPr>
            <w:r>
              <w:rPr>
                <w:rFonts w:eastAsia="Times New Roman" w:asciiTheme="majorHAnsi" w:hAnsiTheme="majorHAnsi" w:cstheme="majorHAnsi"/>
                <w:lang w:eastAsia="ru-RU"/>
              </w:rPr>
              <w:t>·     Any cash distribution to ADS holders</w:t>
            </w:r>
          </w:p>
        </w:tc>
      </w:tr>
      <w:tr w:rsidR="009534E2">
        <w:tc>
          <w:tcPr>
            <w:tcW w:w="2493" w:type="pct"/>
            <w:vAlign w:val="center"/>
          </w:tcPr>
          <w:p w:rsidR="009534E2" w:rsidRDefault="009534E2">
            <w:pPr>
              <w:rPr>
                <w:rFonts w:eastAsia="Times New Roman" w:asciiTheme="majorHAnsi" w:hAnsiTheme="majorHAnsi" w:cstheme="majorHAnsi"/>
              </w:rPr>
            </w:pPr>
          </w:p>
        </w:tc>
        <w:tc>
          <w:tcPr>
            <w:tcW w:w="106" w:type="pct"/>
          </w:tcPr>
          <w:p w:rsidR="009534E2" w:rsidRDefault="009534E2">
            <w:pPr>
              <w:rPr>
                <w:rFonts w:eastAsia="Times New Roman" w:asciiTheme="majorHAnsi" w:hAnsiTheme="majorHAnsi" w:cstheme="majorHAnsi"/>
              </w:rPr>
            </w:pPr>
          </w:p>
        </w:tc>
        <w:tc>
          <w:tcPr>
            <w:tcW w:w="2401" w:type="pct"/>
            <w:vAlign w:val="center"/>
          </w:tcPr>
          <w:p w:rsidR="009534E2" w:rsidRDefault="009534E2">
            <w:pPr>
              <w:ind w:left="346" w:hanging="346"/>
              <w:rPr>
                <w:rFonts w:eastAsia="Times New Roman" w:asciiTheme="majorHAnsi" w:hAnsiTheme="majorHAnsi" w:cstheme="majorHAnsi"/>
              </w:rPr>
            </w:pPr>
          </w:p>
        </w:tc>
      </w:tr>
      <w:tr w:rsidR="009534E2">
        <w:tc>
          <w:tcPr>
            <w:tcW w:w="2493" w:type="pct"/>
            <w:vAlign w:val="center"/>
          </w:tcPr>
          <w:p w:rsidR="009534E2" w:rsidRDefault="003369EB">
            <w:pPr>
              <w:rPr>
                <w:rFonts w:eastAsia="Times New Roman" w:asciiTheme="majorHAnsi" w:hAnsiTheme="majorHAnsi" w:cstheme="majorHAnsi"/>
              </w:rPr>
            </w:pPr>
            <w:r>
              <w:rPr>
                <w:rFonts w:eastAsia="Times New Roman" w:asciiTheme="majorHAnsi" w:hAnsiTheme="majorHAnsi" w:cstheme="majorHAnsi"/>
                <w:lang w:eastAsia="ru-RU"/>
              </w:rPr>
              <w:t>A fee equivalent to the fee that would be payable if securities distributed to you had been class B shares and the class B shares had been deposited for issuance of ADSs</w:t>
            </w:r>
          </w:p>
        </w:tc>
        <w:tc>
          <w:tcPr>
            <w:tcW w:w="106" w:type="pct"/>
          </w:tcPr>
          <w:p w:rsidR="009534E2" w:rsidRDefault="009534E2">
            <w:pPr>
              <w:rPr>
                <w:rFonts w:eastAsia="Times New Roman" w:asciiTheme="majorHAnsi" w:hAnsiTheme="majorHAnsi" w:cstheme="majorHAnsi"/>
                <w:lang w:eastAsia="ru-RU"/>
              </w:rPr>
            </w:pPr>
          </w:p>
        </w:tc>
        <w:tc>
          <w:tcPr>
            <w:tcW w:w="2401" w:type="pct"/>
            <w:vAlign w:val="center"/>
          </w:tcPr>
          <w:p w:rsidR="009534E2" w:rsidRDefault="003369EB">
            <w:pPr>
              <w:ind w:left="346" w:hanging="346"/>
              <w:rPr>
                <w:rFonts w:eastAsia="Times New Roman" w:asciiTheme="majorHAnsi" w:hAnsiTheme="majorHAnsi" w:cstheme="majorHAnsi"/>
              </w:rPr>
            </w:pPr>
            <w:r>
              <w:rPr>
                <w:rFonts w:eastAsia="Times New Roman" w:asciiTheme="majorHAnsi" w:hAnsiTheme="majorHAnsi" w:cstheme="majorHAnsi"/>
                <w:lang w:eastAsia="ru-RU"/>
              </w:rPr>
              <w:t>·     Distribution of securities distributed to holders of deposited securities which are distributed by the depositary to ADS holders</w:t>
            </w:r>
          </w:p>
        </w:tc>
      </w:tr>
      <w:tr w:rsidR="009534E2">
        <w:tc>
          <w:tcPr>
            <w:tcW w:w="2493" w:type="pct"/>
            <w:vAlign w:val="center"/>
          </w:tcPr>
          <w:p w:rsidR="009534E2" w:rsidRDefault="009534E2">
            <w:pPr>
              <w:rPr>
                <w:rFonts w:eastAsia="Times New Roman" w:asciiTheme="majorHAnsi" w:hAnsiTheme="majorHAnsi" w:cstheme="majorHAnsi"/>
              </w:rPr>
            </w:pPr>
          </w:p>
        </w:tc>
        <w:tc>
          <w:tcPr>
            <w:tcW w:w="106" w:type="pct"/>
          </w:tcPr>
          <w:p w:rsidR="009534E2" w:rsidRDefault="009534E2">
            <w:pPr>
              <w:rPr>
                <w:rFonts w:eastAsia="Times New Roman" w:asciiTheme="majorHAnsi" w:hAnsiTheme="majorHAnsi" w:cstheme="majorHAnsi"/>
              </w:rPr>
            </w:pPr>
          </w:p>
        </w:tc>
        <w:tc>
          <w:tcPr>
            <w:tcW w:w="2401" w:type="pct"/>
            <w:vAlign w:val="center"/>
          </w:tcPr>
          <w:p w:rsidR="009534E2" w:rsidRDefault="009534E2">
            <w:pPr>
              <w:ind w:left="346" w:hanging="346"/>
              <w:rPr>
                <w:rFonts w:eastAsia="Times New Roman" w:asciiTheme="majorHAnsi" w:hAnsiTheme="majorHAnsi" w:cstheme="majorHAnsi"/>
              </w:rPr>
            </w:pPr>
          </w:p>
        </w:tc>
      </w:tr>
      <w:tr w:rsidR="009534E2">
        <w:tc>
          <w:tcPr>
            <w:tcW w:w="2493" w:type="pct"/>
            <w:vAlign w:val="center"/>
          </w:tcPr>
          <w:p w:rsidR="009534E2" w:rsidRDefault="003369EB">
            <w:pPr>
              <w:rPr>
                <w:rFonts w:eastAsia="Times New Roman" w:asciiTheme="majorHAnsi" w:hAnsiTheme="majorHAnsi" w:cstheme="majorHAnsi"/>
              </w:rPr>
            </w:pPr>
            <w:r>
              <w:rPr>
                <w:rFonts w:eastAsia="Times New Roman" w:asciiTheme="majorHAnsi" w:hAnsiTheme="majorHAnsi" w:cstheme="majorHAnsi"/>
                <w:lang w:eastAsia="ru-RU"/>
              </w:rPr>
              <w:t>US $0.05 (or less) per ADSs per calendar year</w:t>
            </w:r>
          </w:p>
        </w:tc>
        <w:tc>
          <w:tcPr>
            <w:tcW w:w="106" w:type="pct"/>
          </w:tcPr>
          <w:p w:rsidR="009534E2" w:rsidRDefault="009534E2">
            <w:pPr>
              <w:rPr>
                <w:rFonts w:eastAsia="Times New Roman" w:asciiTheme="majorHAnsi" w:hAnsiTheme="majorHAnsi" w:cstheme="majorHAnsi"/>
                <w:lang w:eastAsia="ru-RU"/>
              </w:rPr>
            </w:pPr>
          </w:p>
        </w:tc>
        <w:tc>
          <w:tcPr>
            <w:tcW w:w="2401" w:type="pct"/>
            <w:vAlign w:val="center"/>
          </w:tcPr>
          <w:p w:rsidR="009534E2" w:rsidRDefault="003369EB">
            <w:pPr>
              <w:ind w:left="346" w:hanging="346"/>
              <w:rPr>
                <w:rFonts w:eastAsia="Times New Roman" w:asciiTheme="majorHAnsi" w:hAnsiTheme="majorHAnsi" w:cstheme="majorHAnsi"/>
              </w:rPr>
            </w:pPr>
            <w:r>
              <w:rPr>
                <w:rFonts w:eastAsia="Times New Roman" w:asciiTheme="majorHAnsi" w:hAnsiTheme="majorHAnsi" w:cstheme="majorHAnsi"/>
                <w:lang w:eastAsia="ru-RU"/>
              </w:rPr>
              <w:t>·     Depositary services</w:t>
            </w:r>
          </w:p>
        </w:tc>
      </w:tr>
      <w:tr w:rsidR="009534E2">
        <w:tc>
          <w:tcPr>
            <w:tcW w:w="2493" w:type="pct"/>
            <w:vAlign w:val="center"/>
          </w:tcPr>
          <w:p w:rsidR="009534E2" w:rsidRDefault="009534E2">
            <w:pPr>
              <w:rPr>
                <w:rFonts w:eastAsia="Times New Roman" w:asciiTheme="majorHAnsi" w:hAnsiTheme="majorHAnsi" w:cstheme="majorHAnsi"/>
              </w:rPr>
            </w:pPr>
          </w:p>
        </w:tc>
        <w:tc>
          <w:tcPr>
            <w:tcW w:w="106" w:type="pct"/>
          </w:tcPr>
          <w:p w:rsidR="009534E2" w:rsidRDefault="009534E2">
            <w:pPr>
              <w:rPr>
                <w:rFonts w:eastAsia="Times New Roman" w:asciiTheme="majorHAnsi" w:hAnsiTheme="majorHAnsi" w:cstheme="majorHAnsi"/>
              </w:rPr>
            </w:pPr>
          </w:p>
        </w:tc>
        <w:tc>
          <w:tcPr>
            <w:tcW w:w="2401" w:type="pct"/>
            <w:vAlign w:val="center"/>
          </w:tcPr>
          <w:p w:rsidR="009534E2" w:rsidRDefault="009534E2">
            <w:pPr>
              <w:ind w:left="346" w:hanging="346"/>
              <w:rPr>
                <w:rFonts w:eastAsia="Times New Roman" w:asciiTheme="majorHAnsi" w:hAnsiTheme="majorHAnsi" w:cstheme="majorHAnsi"/>
              </w:rPr>
            </w:pPr>
          </w:p>
        </w:tc>
      </w:tr>
      <w:tr w:rsidR="009534E2">
        <w:tc>
          <w:tcPr>
            <w:tcW w:w="2493" w:type="pct"/>
          </w:tcPr>
          <w:p w:rsidR="009534E2" w:rsidRDefault="003369EB">
            <w:pPr>
              <w:rPr>
                <w:rFonts w:eastAsia="Times New Roman" w:asciiTheme="majorHAnsi" w:hAnsiTheme="majorHAnsi" w:cstheme="majorHAnsi"/>
              </w:rPr>
            </w:pPr>
            <w:r>
              <w:rPr>
                <w:rFonts w:eastAsia="Times New Roman" w:asciiTheme="majorHAnsi" w:hAnsiTheme="majorHAnsi" w:cstheme="majorHAnsi"/>
                <w:lang w:eastAsia="ru-RU"/>
              </w:rPr>
              <w:t>Registration or transfer fees</w:t>
            </w:r>
          </w:p>
        </w:tc>
        <w:tc>
          <w:tcPr>
            <w:tcW w:w="106" w:type="pct"/>
          </w:tcPr>
          <w:p w:rsidR="009534E2" w:rsidRDefault="009534E2">
            <w:pPr>
              <w:rPr>
                <w:rFonts w:eastAsia="Times New Roman" w:asciiTheme="majorHAnsi" w:hAnsiTheme="majorHAnsi" w:cstheme="majorHAnsi"/>
                <w:lang w:eastAsia="ru-RU"/>
              </w:rPr>
            </w:pPr>
          </w:p>
        </w:tc>
        <w:tc>
          <w:tcPr>
            <w:tcW w:w="2401" w:type="pct"/>
            <w:vAlign w:val="center"/>
          </w:tcPr>
          <w:p w:rsidR="009534E2" w:rsidRDefault="003369EB">
            <w:pPr>
              <w:ind w:left="346" w:hanging="346"/>
              <w:rPr>
                <w:rFonts w:eastAsia="Times New Roman" w:asciiTheme="majorHAnsi" w:hAnsiTheme="majorHAnsi" w:cstheme="majorHAnsi"/>
              </w:rPr>
            </w:pPr>
            <w:r>
              <w:rPr>
                <w:rFonts w:eastAsia="Times New Roman" w:asciiTheme="majorHAnsi" w:hAnsiTheme="majorHAnsi" w:cstheme="majorHAnsi"/>
                <w:lang w:eastAsia="ru-RU"/>
              </w:rPr>
              <w:t>·     Transfer and registration of class B shares on our share register to or from the name of the depositary or its agent when you deposit or withdraw class B shares</w:t>
            </w:r>
          </w:p>
        </w:tc>
      </w:tr>
      <w:tr w:rsidR="009534E2">
        <w:tc>
          <w:tcPr>
            <w:tcW w:w="2493" w:type="pct"/>
            <w:vAlign w:val="center"/>
          </w:tcPr>
          <w:p w:rsidR="009534E2" w:rsidRDefault="009534E2">
            <w:pPr>
              <w:rPr>
                <w:rFonts w:eastAsia="Times New Roman" w:asciiTheme="majorHAnsi" w:hAnsiTheme="majorHAnsi" w:cstheme="majorHAnsi"/>
                <w:lang w:eastAsia="ru-RU"/>
              </w:rPr>
            </w:pPr>
          </w:p>
        </w:tc>
        <w:tc>
          <w:tcPr>
            <w:tcW w:w="106" w:type="pct"/>
          </w:tcPr>
          <w:p w:rsidR="009534E2" w:rsidRDefault="009534E2">
            <w:pPr>
              <w:rPr>
                <w:rFonts w:eastAsia="Times New Roman" w:asciiTheme="majorHAnsi" w:hAnsiTheme="majorHAnsi" w:cstheme="majorHAnsi"/>
                <w:lang w:eastAsia="ru-RU"/>
              </w:rPr>
            </w:pPr>
          </w:p>
        </w:tc>
        <w:tc>
          <w:tcPr>
            <w:tcW w:w="2401" w:type="pct"/>
            <w:vAlign w:val="center"/>
          </w:tcPr>
          <w:p w:rsidR="009534E2" w:rsidRDefault="009534E2">
            <w:pPr>
              <w:ind w:left="346" w:hanging="346"/>
              <w:rPr>
                <w:rFonts w:eastAsia="Times New Roman" w:asciiTheme="majorHAnsi" w:hAnsiTheme="majorHAnsi" w:cstheme="majorHAnsi"/>
                <w:lang w:eastAsia="ru-RU"/>
              </w:rPr>
            </w:pPr>
          </w:p>
        </w:tc>
      </w:tr>
      <w:tr w:rsidR="009534E2">
        <w:tc>
          <w:tcPr>
            <w:tcW w:w="2493" w:type="pct"/>
          </w:tcPr>
          <w:p w:rsidR="009534E2" w:rsidRDefault="003369EB">
            <w:pPr>
              <w:ind w:left="360" w:hanging="360"/>
              <w:rPr>
                <w:rFonts w:eastAsia="Times New Roman" w:asciiTheme="majorHAnsi" w:hAnsiTheme="majorHAnsi" w:cstheme="majorHAnsi"/>
                <w:lang w:eastAsia="ru-RU"/>
              </w:rPr>
            </w:pPr>
            <w:r>
              <w:rPr>
                <w:rFonts w:eastAsia="Times New Roman" w:asciiTheme="majorHAnsi" w:hAnsiTheme="majorHAnsi" w:cstheme="majorHAnsi"/>
                <w:lang w:eastAsia="ru-RU"/>
              </w:rPr>
              <w:t>Expenses of the depositary</w:t>
            </w:r>
          </w:p>
        </w:tc>
        <w:tc>
          <w:tcPr>
            <w:tcW w:w="106" w:type="pct"/>
          </w:tcPr>
          <w:p w:rsidR="009534E2" w:rsidRDefault="009534E2">
            <w:pPr>
              <w:rPr>
                <w:rFonts w:eastAsia="Times New Roman" w:asciiTheme="majorHAnsi" w:hAnsiTheme="majorHAnsi" w:cstheme="majorHAnsi"/>
                <w:lang w:eastAsia="ru-RU"/>
              </w:rPr>
            </w:pPr>
          </w:p>
        </w:tc>
        <w:tc>
          <w:tcPr>
            <w:tcW w:w="2401" w:type="pct"/>
            <w:vAlign w:val="center"/>
          </w:tcPr>
          <w:p w:rsidR="009534E2" w:rsidRDefault="003369EB">
            <w:pPr>
              <w:ind w:left="346" w:hanging="346"/>
              <w:rPr>
                <w:rFonts w:eastAsia="Times New Roman" w:asciiTheme="majorHAnsi" w:hAnsiTheme="majorHAnsi" w:cstheme="majorHAnsi"/>
                <w:lang w:eastAsia="ru-RU"/>
              </w:rPr>
            </w:pPr>
            <w:r>
              <w:rPr>
                <w:rFonts w:eastAsia="Times New Roman" w:asciiTheme="majorHAnsi" w:hAnsiTheme="majorHAnsi" w:cstheme="majorHAnsi"/>
                <w:lang w:eastAsia="ru-RU"/>
              </w:rPr>
              <w:t>·     Cable, telex and facsimile transmissions (when expressly provided in the deposit agreement)</w:t>
            </w:r>
          </w:p>
        </w:tc>
      </w:tr>
      <w:tr w:rsidR="009534E2">
        <w:tc>
          <w:tcPr>
            <w:tcW w:w="2493" w:type="pct"/>
            <w:vAlign w:val="center"/>
          </w:tcPr>
          <w:p w:rsidR="009534E2" w:rsidRDefault="009534E2">
            <w:pPr>
              <w:rPr>
                <w:rFonts w:eastAsia="Times New Roman" w:asciiTheme="majorHAnsi" w:hAnsiTheme="majorHAnsi" w:cstheme="majorHAnsi"/>
                <w:lang w:eastAsia="ru-RU"/>
              </w:rPr>
            </w:pPr>
          </w:p>
        </w:tc>
        <w:tc>
          <w:tcPr>
            <w:tcW w:w="106" w:type="pct"/>
          </w:tcPr>
          <w:p w:rsidR="009534E2" w:rsidRDefault="009534E2">
            <w:pPr>
              <w:rPr>
                <w:rFonts w:eastAsia="Times New Roman" w:asciiTheme="majorHAnsi" w:hAnsiTheme="majorHAnsi" w:cstheme="majorHAnsi"/>
                <w:lang w:eastAsia="ru-RU"/>
              </w:rPr>
            </w:pPr>
          </w:p>
        </w:tc>
        <w:tc>
          <w:tcPr>
            <w:tcW w:w="2401" w:type="pct"/>
            <w:vAlign w:val="center"/>
          </w:tcPr>
          <w:p w:rsidR="009534E2" w:rsidRDefault="009534E2">
            <w:pPr>
              <w:ind w:left="346" w:hanging="346"/>
              <w:rPr>
                <w:rFonts w:eastAsia="Times New Roman" w:asciiTheme="majorHAnsi" w:hAnsiTheme="majorHAnsi" w:cstheme="majorHAnsi"/>
                <w:lang w:eastAsia="ru-RU"/>
              </w:rPr>
            </w:pPr>
          </w:p>
        </w:tc>
      </w:tr>
      <w:tr w:rsidR="009534E2">
        <w:tc>
          <w:tcPr>
            <w:tcW w:w="2493" w:type="pct"/>
            <w:vAlign w:val="center"/>
          </w:tcPr>
          <w:p w:rsidR="009534E2" w:rsidRDefault="009534E2">
            <w:pPr>
              <w:rPr>
                <w:rFonts w:eastAsia="Times New Roman" w:asciiTheme="majorHAnsi" w:hAnsiTheme="majorHAnsi" w:cstheme="majorHAnsi"/>
                <w:lang w:eastAsia="ru-RU"/>
              </w:rPr>
            </w:pPr>
          </w:p>
        </w:tc>
        <w:tc>
          <w:tcPr>
            <w:tcW w:w="106" w:type="pct"/>
          </w:tcPr>
          <w:p w:rsidR="009534E2" w:rsidRDefault="009534E2">
            <w:pPr>
              <w:rPr>
                <w:rFonts w:eastAsia="Times New Roman" w:asciiTheme="majorHAnsi" w:hAnsiTheme="majorHAnsi" w:cstheme="majorHAnsi"/>
                <w:lang w:eastAsia="ru-RU"/>
              </w:rPr>
            </w:pPr>
          </w:p>
        </w:tc>
        <w:tc>
          <w:tcPr>
            <w:tcW w:w="2401" w:type="pct"/>
            <w:vAlign w:val="center"/>
          </w:tcPr>
          <w:p w:rsidR="009534E2" w:rsidRDefault="003369EB">
            <w:pPr>
              <w:ind w:left="346" w:hanging="346"/>
              <w:rPr>
                <w:rFonts w:eastAsia="Times New Roman" w:asciiTheme="majorHAnsi" w:hAnsiTheme="majorHAnsi" w:cstheme="majorHAnsi"/>
                <w:lang w:eastAsia="ru-RU"/>
              </w:rPr>
            </w:pPr>
            <w:r>
              <w:rPr>
                <w:rFonts w:eastAsia="Times New Roman" w:asciiTheme="majorHAnsi" w:hAnsiTheme="majorHAnsi" w:cstheme="majorHAnsi"/>
                <w:lang w:eastAsia="ru-RU"/>
              </w:rPr>
              <w:t>·     Converting foreign currency to US dollars</w:t>
            </w:r>
          </w:p>
        </w:tc>
      </w:tr>
      <w:tr w:rsidR="009534E2">
        <w:tc>
          <w:tcPr>
            <w:tcW w:w="2493" w:type="pct"/>
            <w:vAlign w:val="center"/>
          </w:tcPr>
          <w:p w:rsidR="009534E2" w:rsidRDefault="009534E2">
            <w:pPr>
              <w:rPr>
                <w:rFonts w:eastAsia="Times New Roman" w:asciiTheme="majorHAnsi" w:hAnsiTheme="majorHAnsi" w:cstheme="majorHAnsi"/>
                <w:lang w:eastAsia="ru-RU"/>
              </w:rPr>
            </w:pPr>
          </w:p>
        </w:tc>
        <w:tc>
          <w:tcPr>
            <w:tcW w:w="106" w:type="pct"/>
          </w:tcPr>
          <w:p w:rsidR="009534E2" w:rsidRDefault="009534E2">
            <w:pPr>
              <w:rPr>
                <w:rFonts w:eastAsia="Times New Roman" w:asciiTheme="majorHAnsi" w:hAnsiTheme="majorHAnsi" w:cstheme="majorHAnsi"/>
                <w:lang w:eastAsia="ru-RU"/>
              </w:rPr>
            </w:pPr>
          </w:p>
        </w:tc>
        <w:tc>
          <w:tcPr>
            <w:tcW w:w="2401" w:type="pct"/>
            <w:vAlign w:val="center"/>
          </w:tcPr>
          <w:p w:rsidR="009534E2" w:rsidRDefault="009534E2">
            <w:pPr>
              <w:ind w:left="346" w:hanging="346"/>
              <w:rPr>
                <w:rFonts w:eastAsia="Times New Roman" w:asciiTheme="majorHAnsi" w:hAnsiTheme="majorHAnsi" w:cstheme="majorHAnsi"/>
                <w:lang w:eastAsia="ru-RU"/>
              </w:rPr>
            </w:pPr>
          </w:p>
        </w:tc>
      </w:tr>
      <w:tr w:rsidR="009534E2">
        <w:tc>
          <w:tcPr>
            <w:tcW w:w="2493" w:type="pct"/>
            <w:vAlign w:val="center"/>
          </w:tcPr>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t>Taxes and other governmental charges the depositary or the custodian have to pay on any ADS or share underlying an ADS, for example, stock transfer taxes, stamp duty or withholding taxes</w:t>
            </w:r>
          </w:p>
        </w:tc>
        <w:tc>
          <w:tcPr>
            <w:tcW w:w="106" w:type="pct"/>
          </w:tcPr>
          <w:p w:rsidR="009534E2" w:rsidRDefault="009534E2">
            <w:pPr>
              <w:rPr>
                <w:rFonts w:eastAsia="Times New Roman" w:asciiTheme="majorHAnsi" w:hAnsiTheme="majorHAnsi" w:cstheme="majorHAnsi"/>
                <w:lang w:val="ru-RU" w:eastAsia="ru-RU"/>
              </w:rPr>
            </w:pPr>
          </w:p>
        </w:tc>
        <w:tc>
          <w:tcPr>
            <w:tcW w:w="2401" w:type="pct"/>
          </w:tcPr>
          <w:p w:rsidR="009534E2" w:rsidRDefault="003369EB">
            <w:pPr>
              <w:ind w:left="346" w:hanging="346"/>
              <w:rPr>
                <w:rFonts w:eastAsia="Times New Roman" w:asciiTheme="majorHAnsi" w:hAnsiTheme="majorHAnsi" w:cstheme="majorHAnsi"/>
                <w:lang w:eastAsia="ru-RU"/>
              </w:rPr>
            </w:pPr>
            <w:r>
              <w:rPr>
                <w:rFonts w:eastAsia="Times New Roman" w:asciiTheme="majorHAnsi" w:hAnsiTheme="majorHAnsi" w:cstheme="majorHAnsi"/>
                <w:lang w:val="ru-RU" w:eastAsia="ru-RU"/>
              </w:rPr>
              <w:t>·    </w:t>
            </w:r>
            <w:r>
              <w:rPr>
                <w:rFonts w:eastAsia="Times New Roman" w:asciiTheme="majorHAnsi" w:hAnsiTheme="majorHAnsi" w:cstheme="majorHAnsi"/>
                <w:lang w:eastAsia="ru-RU"/>
              </w:rPr>
              <w:t> </w:t>
            </w:r>
            <w:r>
              <w:rPr>
                <w:rFonts w:eastAsia="Times New Roman" w:asciiTheme="majorHAnsi" w:hAnsiTheme="majorHAnsi" w:cstheme="majorHAnsi"/>
                <w:lang w:val="ru-RU" w:eastAsia="ru-RU"/>
              </w:rPr>
              <w:t>As necessary</w:t>
            </w:r>
          </w:p>
        </w:tc>
      </w:tr>
      <w:tr w:rsidR="009534E2">
        <w:tc>
          <w:tcPr>
            <w:tcW w:w="2493" w:type="pct"/>
            <w:vAlign w:val="center"/>
          </w:tcPr>
          <w:p w:rsidR="009534E2" w:rsidRDefault="009534E2">
            <w:pPr>
              <w:rPr>
                <w:rFonts w:eastAsia="Times New Roman" w:asciiTheme="majorHAnsi" w:hAnsiTheme="majorHAnsi" w:cstheme="majorHAnsi"/>
                <w:lang w:eastAsia="ru-RU"/>
              </w:rPr>
            </w:pPr>
          </w:p>
        </w:tc>
        <w:tc>
          <w:tcPr>
            <w:tcW w:w="106" w:type="pct"/>
          </w:tcPr>
          <w:p w:rsidR="009534E2" w:rsidRDefault="009534E2">
            <w:pPr>
              <w:rPr>
                <w:rFonts w:eastAsia="Times New Roman" w:asciiTheme="majorHAnsi" w:hAnsiTheme="majorHAnsi" w:cstheme="majorHAnsi"/>
                <w:lang w:eastAsia="ru-RU"/>
              </w:rPr>
            </w:pPr>
          </w:p>
        </w:tc>
        <w:tc>
          <w:tcPr>
            <w:tcW w:w="2401" w:type="pct"/>
            <w:vAlign w:val="center"/>
          </w:tcPr>
          <w:p w:rsidR="009534E2" w:rsidRDefault="009534E2">
            <w:pPr>
              <w:ind w:left="346" w:hanging="346"/>
              <w:rPr>
                <w:rFonts w:eastAsia="Times New Roman" w:asciiTheme="majorHAnsi" w:hAnsiTheme="majorHAnsi" w:cstheme="majorHAnsi"/>
                <w:lang w:eastAsia="ru-RU"/>
              </w:rPr>
            </w:pPr>
          </w:p>
        </w:tc>
      </w:tr>
      <w:tr w:rsidR="009534E2">
        <w:tc>
          <w:tcPr>
            <w:tcW w:w="2493" w:type="pct"/>
            <w:vAlign w:val="center"/>
          </w:tcPr>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t>Any charges incurred by the depositary or its agents for servicing the deposited securities</w:t>
            </w:r>
          </w:p>
        </w:tc>
        <w:tc>
          <w:tcPr>
            <w:tcW w:w="106" w:type="pct"/>
          </w:tcPr>
          <w:p w:rsidR="009534E2" w:rsidRDefault="009534E2">
            <w:pPr>
              <w:rPr>
                <w:rFonts w:eastAsia="Times New Roman" w:asciiTheme="majorHAnsi" w:hAnsiTheme="majorHAnsi" w:cstheme="majorHAnsi"/>
                <w:lang w:val="ru-RU" w:eastAsia="ru-RU"/>
              </w:rPr>
            </w:pPr>
          </w:p>
        </w:tc>
        <w:tc>
          <w:tcPr>
            <w:tcW w:w="2401" w:type="pct"/>
          </w:tcPr>
          <w:p w:rsidR="009534E2" w:rsidRDefault="003369EB">
            <w:pPr>
              <w:ind w:left="346" w:hanging="346"/>
              <w:rPr>
                <w:rFonts w:eastAsia="Times New Roman" w:asciiTheme="majorHAnsi" w:hAnsiTheme="majorHAnsi" w:cstheme="majorHAnsi"/>
                <w:lang w:eastAsia="ru-RU"/>
              </w:rPr>
            </w:pPr>
            <w:r>
              <w:rPr>
                <w:rFonts w:eastAsia="Times New Roman" w:asciiTheme="majorHAnsi" w:hAnsiTheme="majorHAnsi" w:cstheme="majorHAnsi"/>
                <w:lang w:val="ru-RU" w:eastAsia="ru-RU"/>
              </w:rPr>
              <w:t>·    </w:t>
            </w:r>
            <w:r>
              <w:rPr>
                <w:rFonts w:eastAsia="Times New Roman" w:asciiTheme="majorHAnsi" w:hAnsiTheme="majorHAnsi" w:cstheme="majorHAnsi"/>
                <w:lang w:eastAsia="ru-RU"/>
              </w:rPr>
              <w:t> </w:t>
            </w:r>
            <w:r>
              <w:rPr>
                <w:rFonts w:eastAsia="Times New Roman" w:asciiTheme="majorHAnsi" w:hAnsiTheme="majorHAnsi" w:cstheme="majorHAnsi"/>
                <w:lang w:val="ru-RU" w:eastAsia="ru-RU"/>
              </w:rPr>
              <w:t>As necessary</w:t>
            </w:r>
          </w:p>
        </w:tc>
      </w:tr>
      <w:bookmarkEnd w:id="747"/>
    </w:tbl>
    <w:p w:rsidR="009534E2" w:rsidRDefault="009534E2">
      <w:pPr>
        <w:rPr>
          <w:rFonts w:asciiTheme="majorHAnsi" w:hAnsiTheme="majorHAnsi" w:cstheme="majorHAnsi"/>
        </w:rPr>
      </w:pPr>
    </w:p>
    <w:p w:rsidR="009534E2" w:rsidRDefault="003369EB">
      <w:pPr>
        <w:spacing w:after="200"/>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The depositary collects its fees for delivery and surrender of ADSs directly from investors depositing class B shares or surrendering ADSs for the purpose of withdrawal or from intermediaries acting for them. The depositary collects fees for making distributions to investors by deducting those fees from the amounts distributed or by selling a portion of distributable property to pay the fees. The depositary may collect its annual fee for depositary services by deduction from cash distributions or by directly billing investors or by charging the book-entry system accounts of participants acting for them. The depositary may generally refuse to provide fee-based services until its fees for these services are paid.</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From time to time, the depositary may make payments to us to reimburse and/or class B share revenue from the fees collected from ADS holders, or waive fees and expenses for services provided, generally relating to costs and expenses arising out of establishment and maintenance of the ADS program. In performing its duties under the deposit agreement, the depositary may use brokers, dealers or other service providers that are affiliates of the depositary and that may earn or share fees or commissions. The depositary may make available to us a set amount or a portion of the depositary fees charged in respect of the ADR program or otherwise upon such terms and conditions as we and the depositary may agree from time to time.</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Payment of Taxes</w:t>
      </w:r>
    </w:p>
    <w:p w:rsidR="009534E2" w:rsidRDefault="003369EB">
      <w:pPr>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You will be responsible for any taxes or other governmental charges payable on your ADSs or on the deposited securities represented by any of your ADSs. The depositary may refuse to register any transfer of your ADSs or allow you to withdraw the deposited securities represented by your ADSs until such taxes or other charges are paid. It may apply payments owed to you or sell deposited securities represented by your ADSs to pay any taxes owed and you will remain liable for any deficiency. If the depositary sells deposited securities, it will, if appropriate, reduce the number of ADSs to reflect the sale and pay to ADS holders any proceeds, or send to ADS holders any property, remaining after it has paid the taxes.</w:t>
      </w:r>
    </w:p>
    <w:p w:rsidR="009534E2" w:rsidRDefault="009534E2">
      <w:pPr>
        <w:rPr>
          <w:rFonts w:eastAsia="Times New Roman" w:asciiTheme="majorHAnsi" w:hAnsiTheme="majorHAnsi" w:cstheme="majorHAnsi"/>
          <w:lang w:eastAsia="ru-RU"/>
        </w:rPr>
      </w:pPr>
    </w:p>
    <w:p w:rsidR="009534E2" w:rsidRDefault="003369EB">
      <w:pPr>
        <w:spacing w:after="200"/>
        <w:jc w:val="center"/>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PART II</w:t>
      </w:r>
      <w:bookmarkStart w:name="PARTII_37024" w:id="748"/>
      <w:bookmarkEnd w:id="748"/>
    </w:p>
    <w:p w:rsidR="009534E2" w:rsidRDefault="003369EB">
      <w:pPr>
        <w:keepNext/>
        <w:keepLines/>
        <w:tabs>
          <w:tab w:val="left" w:pos="1168"/>
        </w:tabs>
        <w:spacing w:after="200"/>
        <w:ind w:left="1080" w:hanging="108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13.</w:t>
      </w:r>
      <w:r>
        <w:rPr>
          <w:rFonts w:eastAsia="Times New Roman" w:asciiTheme="majorHAnsi" w:hAnsiTheme="majorHAnsi" w:cstheme="majorHAnsi"/>
          <w:sz w:val="24"/>
          <w:szCs w:val="24"/>
        </w:rPr>
        <w:tab/>
      </w:r>
      <w:r>
        <w:rPr>
          <w:rFonts w:eastAsia="Times New Roman" w:asciiTheme="majorHAnsi" w:hAnsiTheme="majorHAnsi" w:cstheme="majorHAnsi"/>
          <w:b/>
          <w:bCs/>
          <w:lang w:eastAsia="ru-RU"/>
        </w:rPr>
        <w:t>Defaults, Dividend Arrearages and Delinquencies</w:t>
      </w:r>
      <w:bookmarkStart w:name="ITEM13DefaultsDividendArrearagesandDelin" w:id="749"/>
      <w:bookmarkEnd w:id="749"/>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val="ru-RU" w:eastAsia="ru-RU"/>
        </w:rPr>
        <w:t>None.</w:t>
      </w:r>
    </w:p>
    <w:p w:rsidR="009534E2" w:rsidRDefault="003369EB">
      <w:pPr>
        <w:tabs>
          <w:tab w:val="left" w:pos="1168"/>
        </w:tabs>
        <w:spacing w:after="200"/>
        <w:ind w:left="1080" w:hanging="108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14.</w:t>
      </w:r>
      <w:r>
        <w:rPr>
          <w:rFonts w:eastAsia="Times New Roman" w:asciiTheme="majorHAnsi" w:hAnsiTheme="majorHAnsi" w:cstheme="majorHAnsi"/>
          <w:sz w:val="24"/>
          <w:szCs w:val="24"/>
        </w:rPr>
        <w:tab/>
      </w:r>
      <w:r>
        <w:rPr>
          <w:rFonts w:eastAsia="Times New Roman" w:asciiTheme="majorHAnsi" w:hAnsiTheme="majorHAnsi" w:cstheme="majorHAnsi"/>
          <w:b/>
          <w:bCs/>
          <w:lang w:eastAsia="ru-RU"/>
        </w:rPr>
        <w:t>Material Modifications to the Rights of Security Holders and Use of Proceeds</w:t>
      </w:r>
      <w:bookmarkStart w:name="ITEM14MaterialModificationstotheRightsof" w:id="750"/>
      <w:bookmarkEnd w:id="750"/>
    </w:p>
    <w:p w:rsidR="009534E2" w:rsidRDefault="003369EB">
      <w:pPr>
        <w:ind w:firstLine="461"/>
        <w:rPr>
          <w:rFonts w:eastAsia="Times New Roman" w:asciiTheme="majorHAnsi" w:hAnsiTheme="majorHAnsi" w:cstheme="majorHAnsi"/>
        </w:rPr>
      </w:pPr>
      <w:r>
        <w:rPr>
          <w:rFonts w:eastAsia="Times New Roman" w:asciiTheme="majorHAnsi" w:hAnsiTheme="majorHAnsi" w:cstheme="majorHAnsi"/>
          <w:lang w:val="ru-RU" w:eastAsia="ru-RU"/>
        </w:rPr>
        <w:t>None.</w:t>
      </w:r>
    </w:p>
    <w:p w:rsidR="009534E2" w:rsidRDefault="009534E2">
      <w:pPr>
        <w:rPr>
          <w:rFonts w:eastAsia="Times New Roman" w:asciiTheme="majorHAnsi" w:hAnsiTheme="majorHAnsi" w:cstheme="majorHAnsi"/>
        </w:rPr>
      </w:pPr>
    </w:p>
    <w:p w:rsidR="009534E2" w:rsidRDefault="003369EB">
      <w:pPr>
        <w:keepNext/>
        <w:keepLines/>
        <w:tabs>
          <w:tab w:val="left" w:pos="1168"/>
        </w:tabs>
        <w:spacing w:after="200"/>
        <w:ind w:left="1080" w:hanging="1080"/>
        <w:rPr>
          <w:rFonts w:eastAsia="Times New Roman" w:asciiTheme="majorHAnsi" w:hAnsiTheme="majorHAnsi" w:cstheme="majorHAnsi"/>
          <w:sz w:val="24"/>
        </w:rPr>
      </w:pPr>
      <w:r>
        <w:rPr>
          <w:rFonts w:eastAsia="Times New Roman" w:asciiTheme="majorHAnsi" w:hAnsiTheme="majorHAnsi" w:cstheme="majorHAnsi"/>
          <w:b/>
          <w:lang w:val="ru-RU" w:eastAsia="ru-RU"/>
        </w:rPr>
        <w:t>ITEM 15.</w:t>
      </w:r>
      <w:r>
        <w:rPr>
          <w:rFonts w:eastAsia="Times New Roman" w:asciiTheme="majorHAnsi" w:hAnsiTheme="majorHAnsi" w:cstheme="majorHAnsi"/>
          <w:sz w:val="24"/>
        </w:rPr>
        <w:tab/>
      </w:r>
      <w:r>
        <w:rPr>
          <w:rFonts w:eastAsia="Times New Roman" w:asciiTheme="majorHAnsi" w:hAnsiTheme="majorHAnsi" w:cstheme="majorHAnsi"/>
          <w:b/>
          <w:lang w:val="ru-RU" w:eastAsia="ru-RU"/>
        </w:rPr>
        <w:t>Controls and Procedures</w:t>
      </w:r>
      <w:bookmarkStart w:name="ITEM15ControlsandProcedures_616151" w:id="751"/>
      <w:bookmarkEnd w:id="751"/>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Evaluation of Disclosure Controls and Procedures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The company’s management, with the participation of the company’s chief executive officer and chief financial officer, evaluated the effectiveness of the company’s disclosure controls and procedures as of December 31, 2022. The term “disclosure controls and procedures,” as defined in Rules 13a-15(e) and 15d-15(e) under the Exchange Act, means controls and other procedures of a company that are designed to ensure that information required to be disclosed by a company in the reports that it files or submits under the Exchange Act is recorded, processed, summarized and reported, within the time periods specified in the SEC’s rules and forms. Disclosure controls and procedures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as appropriate to allow timely decisions regarding required disclosure. Management recognizes that any controls and procedures, no matter how well designed and operated, can provide only reasonable assurance of achieving their objectives and management necessarily applies its judgment in evaluating the cost-benefit relationship of possible controls and procedures. Based on the evaluation of the company’s disclosure controls and procedures as of December 31, 2022, the company’s chief executive officer and chief financial officer concluded that, as of such date, the company’s disclosure controls and procedures were effective to allow timely decisions regarding required disclosure.</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Management’s Report on Internal Control over Financial Reporting</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lang w:eastAsia="ru-RU"/>
        </w:rPr>
        <w:t>Our management is responsible for establishing and maintaining adequate “internal control over financial reporting,” as defined in Rules 13a-15(f) and 15d-15(f) under the Exchange Act. This rule defines internal control over financial reporting as a process designed by, or under the supervision of, a company’s chief executive officer and chief financial officer and effected by our board of directors, management and other personnel, to provide reasonable assurance regarding the reliability of financial reporting and the preparation of financial statements for external purposes in accordance with generally accepted accounting principles and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Because of inherent limitations, internal control over financial reporting may not prevent or detect misstatements. Projections of any evaluation of effectiveness to future periods is subject to the risk that controls may become inadequate because of changes in conditions, or that the degree of compliance with policies and procedures may deteriorate.</w:t>
      </w:r>
    </w:p>
    <w:p w:rsidR="009534E2" w:rsidRDefault="003369EB">
      <w:pPr>
        <w:spacing w:after="200"/>
        <w:ind w:firstLine="460"/>
        <w:rPr>
          <w:rFonts w:eastAsia="Times New Roman" w:asciiTheme="majorHAnsi" w:hAnsiTheme="majorHAnsi" w:cstheme="majorHAnsi"/>
          <w:lang w:eastAsia="ru-RU"/>
        </w:rPr>
      </w:pPr>
      <w:r>
        <w:rPr>
          <w:rFonts w:asciiTheme="majorHAnsi" w:hAnsiTheme="majorHAnsi" w:cstheme="majorHAnsi"/>
        </w:rPr>
        <w:t>Management excluded RealWeb group from its assessment of internal controls over financial reporting as of December 31, 2022, because the Group obtained a control over RealWeb group on December, 15, 2022. RealWeb group is included in the 2022 consolidated financial statements and excluding the value of goodwill represented 6.8% of total assets as of December 31, 2022 and 1.</w:t>
      </w:r>
      <w:r w:rsidR="00F00840">
        <w:rPr>
          <w:rFonts w:asciiTheme="majorHAnsi" w:hAnsiTheme="majorHAnsi" w:cstheme="majorHAnsi"/>
        </w:rPr>
        <w:t>8</w:t>
      </w:r>
      <w:r>
        <w:rPr>
          <w:rFonts w:asciiTheme="majorHAnsi" w:hAnsiTheme="majorHAnsi" w:cstheme="majorHAnsi"/>
        </w:rPr>
        <w:t>% revenue for the year then ended.</w:t>
      </w:r>
      <w:r>
        <w:rPr>
          <w:rFonts w:asciiTheme="majorHAnsi" w:hAnsiTheme="majorHAnsi" w:cstheme="majorHAnsi"/>
          <w:rtl/>
        </w:rPr>
        <w:t xml:space="preserve"> </w:t>
      </w:r>
      <w:r>
        <w:rPr>
          <w:rFonts w:asciiTheme="majorHAnsi" w:hAnsiTheme="majorHAnsi" w:cstheme="majorHAnsi"/>
        </w:rPr>
        <w:t>Under guidelines established by the Securities and Exchange Commission, companies are allowed to exclude acquisitions from their assessment of internal control over financial reporting during the first year of an acquisition.</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Management assessed the design and operating effectiveness of our internal control over financial reporting as of December 31, 2022. This assessment was performed under the direction and supervision of our chief executive officer and chief financial officer, and used the criteria established in Internal Control—Integrated Framework (2013) issued by the Committee of Sponsoring Organizations of the Treadway Commission. Based on that evaluation, management concluded that as of December 31, 2022, our internal control over financial reporting was effective.</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The effectiveness of our internal control over financial reporting as of December 31, 2022 has been audited by JSC “Kept”, our independent registered public accounting firm. Their report may be found below:</w:t>
      </w:r>
    </w:p>
    <w:p w:rsidR="009534E2" w:rsidRDefault="003369EB">
      <w:pPr>
        <w:keepNext/>
        <w:keepLines/>
        <w:spacing w:after="200"/>
        <w:ind w:firstLine="460"/>
        <w:rPr>
          <w:rFonts w:eastAsia="Times New Roman" w:asciiTheme="majorHAnsi" w:hAnsiTheme="majorHAnsi" w:cstheme="majorHAnsi"/>
          <w:sz w:val="24"/>
          <w:szCs w:val="24"/>
        </w:rPr>
      </w:pPr>
      <w:r>
        <w:rPr>
          <w:rFonts w:eastAsia="Times New Roman" w:asciiTheme="majorHAnsi" w:hAnsiTheme="majorHAnsi" w:cstheme="majorHAnsi"/>
          <w:b/>
          <w:bCs/>
          <w:lang w:eastAsia="ru-RU"/>
        </w:rPr>
        <w:t>Report of Independent Registered Public Accounting Firm</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To the Shareholders and the Board of Directors of QIWI plc</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Opinion on Internal Control Over Financial Reporting</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lang w:eastAsia="ru-RU"/>
        </w:rPr>
        <w:t>We have audited QIWI plc and subsidiaries (the Group) internal control over financial reporting as of December 31, 2022, based on criteria established in Internal Control – Integrated Framework (2013) issued by the Committee of Sponsoring Organizations of the Treadway Commission. In our opinion, the Group maintained, in all material respects, effective internal control over financial reporting as of December 31, 2022 based on criteria established in Internal Control – Integrated Framework (2013) issued by the Committee of Sponsoring Organizations of the Treadway Commission.</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We also have audited, in accordance with the standards of the Public Company Accounting Oversight Board (United States) (PCAOB), the consolidated statement of financial position of the Group as of December 31, 2022 and the related consolidated statements of  comprehensive income, changes in equity, and cash flows for the year then ended and the related notes (collectively, the consolidated financial statements), and our report dated March 31, 2023 expressed an unqualified opinion on those consolidated financial statements.</w:t>
      </w:r>
    </w:p>
    <w:p w:rsidR="009534E2" w:rsidRDefault="003369EB">
      <w:pPr>
        <w:spacing w:after="200"/>
        <w:ind w:firstLine="460"/>
        <w:rPr>
          <w:rFonts w:eastAsia="Times New Roman" w:asciiTheme="majorHAnsi" w:hAnsiTheme="majorHAnsi" w:cstheme="majorHAnsi"/>
        </w:rPr>
      </w:pPr>
      <w:r>
        <w:rPr>
          <w:rFonts w:eastAsia="Times New Roman" w:asciiTheme="majorHAnsi" w:hAnsiTheme="majorHAnsi" w:cstheme="majorHAnsi"/>
        </w:rPr>
        <w:t>The Group acquired RealWeb group during 2022, and management excluded from its assessment of the effectiveness of the Group’s internal control over financial reporting as of December 31, 2022, RealWeb group’s internal control over financial reporting associated with, excluding goodwill, 6.8% of total assets and 1.8% of total revenue included in the consolidated financial statements of the Group as of and for the year ended December 31, 2022. Our audit of internal control over financial reporting of the Group also excluded an evaluation of the internal control over financial reporting of RealWeb group.</w:t>
      </w:r>
    </w:p>
    <w:p w:rsidR="009534E2" w:rsidRDefault="003369EB">
      <w:pPr>
        <w:keepNext/>
        <w:keepLines/>
        <w:spacing w:after="200"/>
        <w:ind w:firstLine="460"/>
        <w:rPr>
          <w:rFonts w:eastAsia="Times New Roman" w:asciiTheme="majorHAnsi" w:hAnsiTheme="majorHAnsi" w:cstheme="majorHAnsi"/>
          <w:i/>
          <w:lang w:eastAsia="ru-RU"/>
        </w:rPr>
      </w:pPr>
      <w:r>
        <w:rPr>
          <w:rFonts w:eastAsia="Times New Roman" w:asciiTheme="majorHAnsi" w:hAnsiTheme="majorHAnsi" w:cstheme="majorHAnsi"/>
          <w:i/>
          <w:lang w:eastAsia="ru-RU"/>
        </w:rPr>
        <w:t>Basis for Opinion</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The Group’s management is responsible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an opinion on the Group’s internal control over financial reporting based on our audit. We are a public accounting firm registered with the PCAOB and are required to be independent with respect to the Group in accordance with the U.S. federal securities laws and the applicable rules and regulations of the Securities and Exchange Commission and the PCAOB.</w:t>
      </w:r>
    </w:p>
    <w:p w:rsidR="009534E2" w:rsidP="00F00840"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We conducted our audit in accordance with the standards of the PCAOB. Those standards require that we plan and perform the audit to obtain reasonable assurance about whether effective internal control over financial reporting was maintained in all material respects.</w:t>
      </w:r>
      <w:r w:rsidR="00F00840">
        <w:rPr>
          <w:rFonts w:eastAsia="Times New Roman" w:asciiTheme="majorHAnsi" w:hAnsiTheme="majorHAnsi" w:cstheme="majorHAnsi"/>
          <w:lang w:eastAsia="ru-RU"/>
        </w:rPr>
        <w:t xml:space="preserve"> </w:t>
      </w:r>
      <w:r>
        <w:rPr>
          <w:rFonts w:eastAsia="Times New Roman" w:asciiTheme="majorHAnsi" w:hAnsiTheme="majorHAnsi" w:cstheme="majorHAnsi"/>
          <w:lang w:eastAsia="ru-RU"/>
        </w:rPr>
        <w:t>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 also included performing such other procedures as we considered necessary in the circumstances. We believe that our audit provides a reasonable basis for our opinion.</w:t>
      </w:r>
    </w:p>
    <w:p w:rsidR="009534E2" w:rsidRDefault="003369EB">
      <w:pPr>
        <w:keepLines/>
        <w:spacing w:after="200"/>
        <w:ind w:firstLine="461"/>
        <w:rPr>
          <w:rFonts w:eastAsia="Times New Roman" w:asciiTheme="majorHAnsi" w:hAnsiTheme="majorHAnsi" w:cstheme="majorHAnsi"/>
          <w:i/>
          <w:iCs/>
        </w:rPr>
      </w:pPr>
      <w:r>
        <w:rPr>
          <w:rFonts w:eastAsia="Times New Roman" w:asciiTheme="majorHAnsi" w:hAnsiTheme="majorHAnsi" w:cstheme="majorHAnsi"/>
          <w:i/>
          <w:iCs/>
        </w:rPr>
        <w:t>Definition and Limitations of Internal Control Over Financial Reporting</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w:t>
      </w:r>
    </w:p>
    <w:p w:rsidR="009534E2" w:rsidRDefault="003369EB">
      <w:pPr>
        <w:spacing w:after="200"/>
        <w:ind w:firstLine="461"/>
        <w:rPr>
          <w:rFonts w:eastAsia="Times New Roman" w:asciiTheme="majorHAnsi" w:hAnsiTheme="majorHAnsi" w:cstheme="majorHAnsi"/>
        </w:rPr>
      </w:pPr>
      <w:r>
        <w:rPr>
          <w:rFonts w:eastAsia="Times New Roman" w:asciiTheme="majorHAnsi" w:hAnsiTheme="majorHAnsi" w:cstheme="majorHAnsi"/>
        </w:rP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rsidR="009534E2" w:rsidRDefault="003369EB">
      <w:pPr>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/s/ JSC ”Kept”</w:t>
      </w:r>
    </w:p>
    <w:p w:rsidR="009534E2" w:rsidRDefault="003369EB">
      <w:pPr>
        <w:ind w:firstLine="461"/>
        <w:rPr>
          <w:rFonts w:eastAsia="Times New Roman" w:asciiTheme="majorHAnsi" w:hAnsiTheme="majorHAnsi" w:cstheme="majorHAnsi"/>
          <w:sz w:val="24"/>
          <w:szCs w:val="24"/>
        </w:rPr>
      </w:pPr>
      <w:bookmarkStart w:name="_91934684_ffb5_4ef8_9b95_9a8f95878191" w:id="752"/>
      <w:bookmarkStart w:name="_82083e4f_896a_488c_9f45_3d736d717d72" w:id="753"/>
      <w:r>
        <w:rPr>
          <w:rFonts w:eastAsia="Times New Roman" w:asciiTheme="majorHAnsi" w:hAnsiTheme="majorHAnsi" w:cstheme="majorHAnsi"/>
          <w:lang w:eastAsia="ru-RU"/>
        </w:rPr>
        <w:t>Moscow, Russia</w:t>
      </w:r>
      <w:bookmarkEnd w:id="752"/>
      <w:bookmarkEnd w:id="753"/>
    </w:p>
    <w:p w:rsidR="009534E2" w:rsidRDefault="003369EB">
      <w:pPr>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March 31, 2023</w:t>
      </w:r>
    </w:p>
    <w:p w:rsidR="009534E2" w:rsidRDefault="009534E2">
      <w:pPr>
        <w:rPr>
          <w:rFonts w:eastAsia="Times New Roman" w:asciiTheme="majorHAnsi" w:hAnsiTheme="majorHAnsi" w:cstheme="majorHAnsi"/>
        </w:rPr>
      </w:pPr>
    </w:p>
    <w:p w:rsidR="009534E2" w:rsidRDefault="003369EB">
      <w:pPr>
        <w:tabs>
          <w:tab w:val="left" w:pos="1168"/>
        </w:tabs>
        <w:spacing w:after="200"/>
        <w:ind w:left="1165" w:hanging="1165"/>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16.</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[RESERVED]</w:t>
      </w:r>
    </w:p>
    <w:bookmarkStart w:name="ITEM16RESERVED_674567" w:displacedByCustomXml="next" w:id="754"/>
    <w:bookmarkEnd w:displacedByCustomXml="next" w:id="754"/>
    <w:p w:rsidR="009534E2" w:rsidRDefault="003369EB">
      <w:pPr>
        <w:keepNext/>
        <w:keepLines/>
        <w:tabs>
          <w:tab w:val="left" w:pos="1168"/>
        </w:tabs>
        <w:spacing w:after="200"/>
        <w:ind w:left="1165" w:hanging="1165"/>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16A.</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Audit Committee Financial Expert</w:t>
      </w:r>
      <w:bookmarkStart w:name="ITEM16AAuditCommitteeFinancialExpert_182" w:id="755"/>
      <w:bookmarkEnd w:id="755"/>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Our board of directors has determined that Mr. Alexey Ivanov is an “audit committee financial expert” as defined in Item 16A of Form 20-F under the Exchange Act. Our board of directors has also determined that Mr. Ivanov satisfies the “independence” requirements set forth in Rule 10A-3 under the Exchange Act.</w:t>
      </w:r>
    </w:p>
    <w:p w:rsidR="009534E2" w:rsidRDefault="003369EB">
      <w:pPr>
        <w:keepNext/>
        <w:keepLines/>
        <w:tabs>
          <w:tab w:val="left" w:pos="1168"/>
        </w:tabs>
        <w:spacing w:after="200"/>
        <w:ind w:left="1080" w:hanging="108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16B.</w:t>
      </w:r>
      <w:r>
        <w:rPr>
          <w:rFonts w:eastAsia="Times New Roman" w:asciiTheme="majorHAnsi" w:hAnsiTheme="majorHAnsi" w:cstheme="majorHAnsi"/>
          <w:sz w:val="24"/>
          <w:szCs w:val="24"/>
        </w:rPr>
        <w:tab/>
      </w:r>
      <w:r>
        <w:rPr>
          <w:rFonts w:eastAsia="Times New Roman" w:asciiTheme="majorHAnsi" w:hAnsiTheme="majorHAnsi" w:cstheme="majorHAnsi"/>
          <w:b/>
          <w:bCs/>
          <w:lang w:eastAsia="ru-RU"/>
        </w:rPr>
        <w:t>Code of Ethics</w:t>
      </w:r>
      <w:bookmarkStart w:name="ITEM16BCodeofEthics_390299" w:id="756"/>
      <w:bookmarkEnd w:id="756"/>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We have adopted a Code of Ethics and Business Conduct that applies to all of our directors, officers and employees. The Code of Ethics and Business Conduct is intended to promote honest and ethical conduct, full and accurate reporting, and compliance with laws as well as other matters. A copy of the Code of Ethics and Business Conduct is available on our website: https://investor.qiwi.com/governance/documents/#accordion-governance-documents.</w:t>
      </w:r>
    </w:p>
    <w:p w:rsidR="009534E2" w:rsidRDefault="003369EB">
      <w:pPr>
        <w:keepNext/>
        <w:keepLines/>
        <w:tabs>
          <w:tab w:val="left" w:pos="1168"/>
        </w:tabs>
        <w:spacing w:after="200"/>
        <w:ind w:left="1080" w:hanging="108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16C.</w:t>
      </w:r>
      <w:r>
        <w:rPr>
          <w:rFonts w:eastAsia="Times New Roman" w:asciiTheme="majorHAnsi" w:hAnsiTheme="majorHAnsi" w:cstheme="majorHAnsi"/>
          <w:sz w:val="24"/>
          <w:szCs w:val="24"/>
        </w:rPr>
        <w:tab/>
      </w:r>
      <w:r>
        <w:rPr>
          <w:rFonts w:eastAsia="Times New Roman" w:asciiTheme="majorHAnsi" w:hAnsiTheme="majorHAnsi" w:cstheme="majorHAnsi"/>
          <w:b/>
          <w:bCs/>
          <w:lang w:eastAsia="ru-RU"/>
        </w:rPr>
        <w:t>Principal Accountant Fees and Services</w:t>
      </w:r>
      <w:bookmarkStart w:name="ITEM16CPrincipalAccountantFeesandService" w:id="757"/>
      <w:bookmarkEnd w:id="757"/>
    </w:p>
    <w:p w:rsidR="009534E2" w:rsidRDefault="003369EB">
      <w:pPr>
        <w:keepNext/>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The following table sets forth the aggregate fees by categories specified below in connection with certain professional services rendered by our principal external auditors TSATR - Audit Services LLC for 2021 and JSC “Kept” for 2022.</w:t>
      </w:r>
    </w:p>
    <w:tbl>
      <w:tblPr>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878"/>
        <w:gridCol w:w="244"/>
        <w:gridCol w:w="1137"/>
        <w:gridCol w:w="244"/>
        <w:gridCol w:w="1137"/>
      </w:tblGrid>
      <w:tr w:rsidR="009534E2">
        <w:trPr>
          <w:trHeight w:val="20" w:hRule="exact"/>
          <w:jc w:val="center"/>
        </w:trPr>
        <w:tc>
          <w:tcPr>
            <w:tcW w:w="3402"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d1ade67e_6557_44ab_b314_75360124add3" w:id="758"/>
            <w:bookmarkStart w:name="_06e35aa9_4de8_4463_b07d_74d49b35b946" w:colFirst="0" w:colLast="0" w:id="759"/>
            <w:bookmarkStart w:name="_311b7190_ff9d_4f4a_a3c4_70d9598aa9b6" w:colFirst="1" w:colLast="1" w:id="760"/>
            <w:bookmarkStart w:name="_0b4acbbc_2c80_4e30_ba0d_8fb21f223dc5" w:colFirst="2" w:colLast="2" w:id="761"/>
            <w:bookmarkStart w:name="_685bcf56_69cb_44a8_afde_3bd0e25307ee" w:colFirst="3" w:colLast="3" w:id="762"/>
            <w:bookmarkStart w:name="_79e57d53_d0a6_4991_9fcf_61b835044ed4" w:colFirst="4" w:colLast="4" w:id="763"/>
            <w:bookmarkStart w:name="_eb8d19d8_d427_44e0_8289_f116943369f4" w:id="764"/>
            <w:bookmarkEnd w:id="758"/>
          </w:p>
        </w:tc>
        <w:tc>
          <w:tcPr>
            <w:tcW w:w="14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65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4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65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340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588c864b_a00e_4844_bed1_0f5615ce4f7c" w:id="765"/>
            <w:bookmarkEnd w:id="759"/>
            <w:bookmarkEnd w:id="760"/>
            <w:bookmarkEnd w:id="761"/>
            <w:bookmarkEnd w:id="762"/>
            <w:bookmarkEnd w:id="763"/>
          </w:p>
        </w:tc>
        <w:tc>
          <w:tcPr>
            <w:tcW w:w="141"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1457"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For the year ended December 31,</w:t>
            </w:r>
          </w:p>
        </w:tc>
      </w:tr>
      <w:tr w:rsidR="009534E2">
        <w:trPr>
          <w:jc w:val="center"/>
        </w:trPr>
        <w:tc>
          <w:tcPr>
            <w:tcW w:w="340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cc3f3e00_5880_4369_9805_8a0d2b8258c3" w:id="766"/>
            <w:bookmarkEnd w:id="765"/>
          </w:p>
        </w:tc>
        <w:tc>
          <w:tcPr>
            <w:tcW w:w="141"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58"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41"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58"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40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65356fe9_9531_4207_94e6_19f3a73e39fc" w:id="767"/>
            <w:bookmarkEnd w:id="766"/>
          </w:p>
        </w:tc>
        <w:tc>
          <w:tcPr>
            <w:tcW w:w="141"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1457" w:type="pct"/>
            <w:gridSpan w:val="3"/>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(in RUB millions)</w:t>
            </w:r>
          </w:p>
        </w:tc>
      </w:tr>
      <w:tr w:rsidR="009534E2">
        <w:trPr>
          <w:jc w:val="center"/>
        </w:trPr>
        <w:tc>
          <w:tcPr>
            <w:tcW w:w="340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2e9b91c4_fbba_4609_bdcb_e55bbf46078f" w:id="768"/>
            <w:bookmarkEnd w:id="767"/>
            <w:r>
              <w:rPr>
                <w:rFonts w:eastAsia="Times New Roman" w:asciiTheme="majorHAnsi" w:hAnsiTheme="majorHAnsi" w:cstheme="majorHAnsi"/>
                <w:color w:val="000000"/>
              </w:rPr>
              <w:t>Audit Fees</w:t>
            </w:r>
          </w:p>
        </w:tc>
        <w:tc>
          <w:tcPr>
            <w:tcW w:w="14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5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47</w:t>
            </w:r>
          </w:p>
        </w:tc>
        <w:tc>
          <w:tcPr>
            <w:tcW w:w="14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5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61</w:t>
            </w:r>
          </w:p>
        </w:tc>
      </w:tr>
      <w:tr w:rsidR="009534E2">
        <w:trPr>
          <w:jc w:val="center"/>
        </w:trPr>
        <w:tc>
          <w:tcPr>
            <w:tcW w:w="3402"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0b570c6a_710d_4676_b877_7fa8662e6456" w:id="769"/>
            <w:bookmarkEnd w:id="768"/>
            <w:r>
              <w:rPr>
                <w:rFonts w:eastAsia="Times New Roman" w:asciiTheme="majorHAnsi" w:hAnsiTheme="majorHAnsi" w:cstheme="majorHAnsi"/>
                <w:color w:val="000000"/>
              </w:rPr>
              <w:t>Audit-Related Fees</w:t>
            </w:r>
          </w:p>
        </w:tc>
        <w:tc>
          <w:tcPr>
            <w:tcW w:w="14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5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w:t>
            </w:r>
          </w:p>
        </w:tc>
        <w:tc>
          <w:tcPr>
            <w:tcW w:w="14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5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0</w:t>
            </w:r>
          </w:p>
        </w:tc>
      </w:tr>
      <w:tr w:rsidR="009534E2">
        <w:trPr>
          <w:jc w:val="center"/>
        </w:trPr>
        <w:tc>
          <w:tcPr>
            <w:tcW w:w="340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7ea2583f_f117_455d_8d55_c20f923f2e95" w:id="770"/>
            <w:bookmarkEnd w:id="769"/>
            <w:r>
              <w:rPr>
                <w:rFonts w:eastAsia="Times New Roman" w:asciiTheme="majorHAnsi" w:hAnsiTheme="majorHAnsi" w:cstheme="majorHAnsi"/>
                <w:color w:val="000000"/>
              </w:rPr>
              <w:t>Tax Fees</w:t>
            </w:r>
          </w:p>
        </w:tc>
        <w:tc>
          <w:tcPr>
            <w:tcW w:w="14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5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w:t>
            </w:r>
          </w:p>
        </w:tc>
        <w:tc>
          <w:tcPr>
            <w:tcW w:w="14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5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0</w:t>
            </w:r>
          </w:p>
        </w:tc>
      </w:tr>
      <w:tr w:rsidR="009534E2">
        <w:trPr>
          <w:jc w:val="center"/>
        </w:trPr>
        <w:tc>
          <w:tcPr>
            <w:tcW w:w="3402"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510143c0_f909_4327_ade2_413b52c74fba" w:id="771"/>
            <w:bookmarkEnd w:id="770"/>
            <w:r>
              <w:rPr>
                <w:rFonts w:eastAsia="Times New Roman" w:asciiTheme="majorHAnsi" w:hAnsiTheme="majorHAnsi" w:cstheme="majorHAnsi"/>
                <w:color w:val="000000"/>
              </w:rPr>
              <w:t>All Other Fees</w:t>
            </w:r>
          </w:p>
        </w:tc>
        <w:tc>
          <w:tcPr>
            <w:tcW w:w="14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5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w:t>
            </w:r>
          </w:p>
        </w:tc>
        <w:tc>
          <w:tcPr>
            <w:tcW w:w="14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5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24</w:t>
            </w:r>
          </w:p>
        </w:tc>
      </w:tr>
      <w:tr w:rsidR="009534E2">
        <w:trPr>
          <w:jc w:val="center"/>
        </w:trPr>
        <w:tc>
          <w:tcPr>
            <w:tcW w:w="340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b22753e9_b37f_4cf9_aeef_fa416dbfffec" w:id="772"/>
            <w:bookmarkEnd w:id="771"/>
            <w:r>
              <w:rPr>
                <w:rFonts w:eastAsia="Times New Roman" w:asciiTheme="majorHAnsi" w:hAnsiTheme="majorHAnsi" w:cstheme="majorHAnsi"/>
                <w:b/>
                <w:color w:val="000000"/>
              </w:rPr>
              <w:t>Total</w:t>
            </w:r>
          </w:p>
        </w:tc>
        <w:tc>
          <w:tcPr>
            <w:tcW w:w="14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65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54</w:t>
            </w:r>
          </w:p>
        </w:tc>
        <w:tc>
          <w:tcPr>
            <w:tcW w:w="14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65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85</w:t>
            </w:r>
          </w:p>
        </w:tc>
      </w:tr>
      <w:bookmarkEnd w:id="764"/>
      <w:bookmarkEnd w:id="772"/>
    </w:tbl>
    <w:p w:rsidR="009534E2" w:rsidRDefault="009534E2">
      <w:pPr>
        <w:rPr>
          <w:rFonts w:asciiTheme="majorHAnsi" w:hAnsiTheme="majorHAnsi" w:cstheme="majorHAnsi"/>
        </w:rPr>
      </w:pP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Audit Fees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Audit fees for 2021 and 2022 are the aggregate fees billed for the audit of our consolidated financial statements and other audit or interim review services provided in connection with statutory and regulatory filings or engagements.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Audit-Related Fees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Audit-related fees for 2021 are related to financials translation and GAAP subscription.</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Tax Fees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Tax fees in 2021 and 2022 were related to tax compliance and tax planning services.</w:t>
      </w:r>
    </w:p>
    <w:p w:rsidR="009534E2" w:rsidRDefault="003369EB">
      <w:pPr>
        <w:keepNext/>
        <w:keepLines/>
        <w:spacing w:after="200"/>
        <w:rPr>
          <w:rFonts w:eastAsia="Times New Roman" w:asciiTheme="majorHAnsi" w:hAnsiTheme="majorHAnsi" w:cstheme="majorHAnsi"/>
          <w:sz w:val="24"/>
          <w:szCs w:val="24"/>
        </w:rPr>
      </w:pPr>
      <w:r>
        <w:rPr>
          <w:rFonts w:eastAsia="Times New Roman" w:asciiTheme="majorHAnsi" w:hAnsiTheme="majorHAnsi" w:cstheme="majorHAnsi"/>
          <w:b/>
          <w:bCs/>
          <w:lang w:eastAsia="ru-RU"/>
        </w:rPr>
        <w:t>All Other Fees</w:t>
      </w:r>
    </w:p>
    <w:p w:rsidR="009534E2" w:rsidRDefault="003369EB">
      <w:pPr>
        <w:spacing w:after="20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All other fees in 2021 and 2022 relate to services in connection with corporate compliance matters, staff training and development costs.</w:t>
      </w:r>
    </w:p>
    <w:p w:rsidR="009534E2" w:rsidRDefault="003369EB">
      <w:pPr>
        <w:keepNext/>
        <w:keepLines/>
        <w:spacing w:after="180"/>
        <w:ind w:left="1080" w:hanging="1080"/>
        <w:rPr>
          <w:rFonts w:eastAsia="Times New Roman" w:asciiTheme="majorHAnsi" w:hAnsiTheme="majorHAnsi" w:cstheme="majorHAnsi"/>
          <w:sz w:val="24"/>
          <w:szCs w:val="24"/>
        </w:rPr>
      </w:pPr>
      <w:r>
        <w:rPr>
          <w:rFonts w:eastAsia="Times New Roman" w:asciiTheme="majorHAnsi" w:hAnsiTheme="majorHAnsi" w:cstheme="majorHAnsi"/>
          <w:b/>
          <w:bCs/>
          <w:lang w:eastAsia="ru-RU"/>
        </w:rPr>
        <w:t>Pre-Approval Policies and Procedures</w:t>
      </w:r>
    </w:p>
    <w:p w:rsidR="009534E2" w:rsidRDefault="003369EB">
      <w:pPr>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All audit and non-audit services provided by our independent auditors must be pre-approved by our audit committee.</w:t>
      </w:r>
    </w:p>
    <w:p w:rsidR="009534E2" w:rsidRDefault="009534E2">
      <w:pPr>
        <w:rPr>
          <w:rFonts w:eastAsia="Times New Roman" w:asciiTheme="majorHAnsi" w:hAnsiTheme="majorHAnsi" w:cstheme="majorHAnsi"/>
        </w:rPr>
      </w:pPr>
    </w:p>
    <w:p w:rsidR="009534E2" w:rsidRDefault="003369EB">
      <w:pPr>
        <w:keepNext/>
        <w:keepLines/>
        <w:tabs>
          <w:tab w:val="left" w:pos="1168"/>
        </w:tabs>
        <w:spacing w:after="180"/>
        <w:ind w:left="1080" w:hanging="108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16D.</w:t>
      </w:r>
      <w:r>
        <w:rPr>
          <w:rFonts w:eastAsia="Times New Roman" w:asciiTheme="majorHAnsi" w:hAnsiTheme="majorHAnsi" w:cstheme="majorHAnsi"/>
          <w:sz w:val="24"/>
          <w:szCs w:val="24"/>
        </w:rPr>
        <w:tab/>
      </w:r>
      <w:r>
        <w:rPr>
          <w:rFonts w:eastAsia="Times New Roman" w:asciiTheme="majorHAnsi" w:hAnsiTheme="majorHAnsi" w:cstheme="majorHAnsi"/>
          <w:b/>
          <w:bCs/>
          <w:lang w:eastAsia="ru-RU"/>
        </w:rPr>
        <w:t>Exemptions from the Listing Standards for Audit Committees</w:t>
      </w:r>
      <w:bookmarkStart w:name="ITEM16DExemptionsfromtheListingStandards" w:id="773"/>
      <w:bookmarkEnd w:id="773"/>
    </w:p>
    <w:p w:rsidR="009534E2" w:rsidRDefault="003369EB">
      <w:pPr>
        <w:spacing w:after="200"/>
        <w:ind w:firstLine="460"/>
        <w:rPr>
          <w:rFonts w:eastAsia="Times New Roman" w:asciiTheme="majorHAnsi" w:hAnsiTheme="majorHAnsi" w:cstheme="majorHAnsi"/>
          <w:sz w:val="16"/>
          <w:szCs w:val="16"/>
          <w:lang w:eastAsia="ru-RU"/>
        </w:rPr>
      </w:pPr>
      <w:r>
        <w:rPr>
          <w:rFonts w:eastAsia="Times New Roman" w:asciiTheme="majorHAnsi" w:hAnsiTheme="majorHAnsi" w:cstheme="majorHAnsi"/>
          <w:lang w:eastAsia="ru-RU"/>
        </w:rPr>
        <w:t>None.</w:t>
      </w:r>
    </w:p>
    <w:p w:rsidR="009534E2" w:rsidRDefault="003369EB">
      <w:pPr>
        <w:keepNext/>
        <w:keepLines/>
        <w:tabs>
          <w:tab w:val="left" w:pos="1168"/>
        </w:tabs>
        <w:spacing w:after="180"/>
        <w:ind w:left="1080" w:hanging="1080"/>
        <w:rPr>
          <w:rFonts w:eastAsia="Times New Roman" w:asciiTheme="majorHAnsi" w:hAnsiTheme="majorHAnsi" w:cstheme="majorHAnsi"/>
          <w:sz w:val="22"/>
        </w:rPr>
      </w:pPr>
      <w:r>
        <w:rPr>
          <w:rFonts w:eastAsia="Times New Roman" w:asciiTheme="majorHAnsi" w:hAnsiTheme="majorHAnsi" w:cstheme="majorHAnsi"/>
          <w:b/>
          <w:bCs/>
          <w:lang w:eastAsia="ru-RU"/>
        </w:rPr>
        <w:t>ITEM 16E.</w:t>
      </w:r>
      <w:r>
        <w:rPr>
          <w:rFonts w:eastAsia="Times New Roman" w:asciiTheme="majorHAnsi" w:hAnsiTheme="majorHAnsi" w:cstheme="majorHAnsi"/>
          <w:sz w:val="24"/>
          <w:szCs w:val="24"/>
        </w:rPr>
        <w:tab/>
      </w:r>
      <w:r>
        <w:rPr>
          <w:rFonts w:eastAsia="Times New Roman" w:asciiTheme="majorHAnsi" w:hAnsiTheme="majorHAnsi" w:cstheme="majorHAnsi"/>
          <w:b/>
          <w:bCs/>
          <w:lang w:eastAsia="ru-RU"/>
        </w:rPr>
        <w:t>Purchases of Equity Securities by the Issuer and Affiliated Purchasers</w:t>
      </w:r>
      <w:bookmarkStart w:name="ITEM16EPurchasesofEquitySecuritiesbytheI" w:id="774"/>
      <w:bookmarkEnd w:id="774"/>
    </w:p>
    <w:p w:rsidR="009534E2" w:rsidRDefault="003369EB">
      <w:pPr>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None.</w:t>
      </w:r>
    </w:p>
    <w:p w:rsidR="009534E2" w:rsidRDefault="009534E2">
      <w:pPr>
        <w:rPr>
          <w:rFonts w:eastAsia="Times New Roman" w:asciiTheme="majorHAnsi" w:hAnsiTheme="majorHAnsi" w:cstheme="majorHAnsi"/>
        </w:rPr>
      </w:pPr>
    </w:p>
    <w:p w:rsidR="009534E2" w:rsidRDefault="003369EB">
      <w:pPr>
        <w:keepNext/>
        <w:keepLines/>
        <w:tabs>
          <w:tab w:val="left" w:pos="1168"/>
        </w:tabs>
        <w:spacing w:after="180"/>
        <w:ind w:left="1080" w:hanging="1080"/>
        <w:rPr>
          <w:rFonts w:eastAsia="Times New Roman" w:asciiTheme="majorHAnsi" w:hAnsiTheme="majorHAnsi" w:cstheme="majorHAnsi"/>
          <w:sz w:val="22"/>
        </w:rPr>
      </w:pPr>
      <w:r>
        <w:rPr>
          <w:rFonts w:eastAsia="Times New Roman" w:asciiTheme="majorHAnsi" w:hAnsiTheme="majorHAnsi" w:cstheme="majorHAnsi"/>
          <w:b/>
          <w:bCs/>
          <w:lang w:eastAsia="ru-RU"/>
        </w:rPr>
        <w:t>ITEM 16F.</w:t>
      </w:r>
      <w:r>
        <w:rPr>
          <w:rFonts w:eastAsia="Times New Roman" w:asciiTheme="majorHAnsi" w:hAnsiTheme="majorHAnsi" w:cstheme="majorHAnsi"/>
          <w:sz w:val="24"/>
          <w:szCs w:val="24"/>
        </w:rPr>
        <w:tab/>
      </w:r>
      <w:r>
        <w:rPr>
          <w:rFonts w:eastAsia="Times New Roman" w:asciiTheme="majorHAnsi" w:hAnsiTheme="majorHAnsi" w:cstheme="majorHAnsi"/>
          <w:b/>
          <w:bCs/>
          <w:lang w:eastAsia="ru-RU"/>
        </w:rPr>
        <w:t>Change in Registrant’s Certifying Accountant</w:t>
      </w:r>
      <w:bookmarkStart w:name="ITEM16FChangeinRegistrantsCertifyingAcco" w:id="775"/>
      <w:bookmarkEnd w:id="775"/>
    </w:p>
    <w:p w:rsidR="009534E2" w:rsidRDefault="003369EB">
      <w:pPr>
        <w:spacing w:after="18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In 2021, management and the audit committee of the board of directors (the “Audit Committee”) of QIWI PLC (“QIWI” or the “company”) have completed a competitive process to review the appointment of the company’s independent registered public accounting firm for the year ending December 31, 2022. After careful consideration and evaluation process, on November 19, 2021, our Board of Directors and Audit Committee announced a recommendation to approve the dismissal of TSATR – Audit Services LLC (previously known as Ernst &amp; Young LLC) as independent registered public accounting firm of the company and appoint JSC “Kept” (“Kept”, previously known as </w:t>
      </w:r>
      <w:r w:rsidR="00F00840">
        <w:rPr>
          <w:rFonts w:eastAsia="Times New Roman" w:asciiTheme="majorHAnsi" w:hAnsiTheme="majorHAnsi" w:cstheme="majorHAnsi"/>
          <w:lang w:eastAsia="ru-RU"/>
        </w:rPr>
        <w:t>JSC “</w:t>
      </w:r>
      <w:r>
        <w:rPr>
          <w:rFonts w:eastAsia="Times New Roman" w:asciiTheme="majorHAnsi" w:hAnsiTheme="majorHAnsi" w:cstheme="majorHAnsi"/>
          <w:lang w:eastAsia="ru-RU"/>
        </w:rPr>
        <w:t>KPMG</w:t>
      </w:r>
      <w:r w:rsidR="00F00840">
        <w:rPr>
          <w:rFonts w:eastAsia="Times New Roman" w:asciiTheme="majorHAnsi" w:hAnsiTheme="majorHAnsi" w:cstheme="majorHAnsi"/>
          <w:lang w:eastAsia="ru-RU"/>
        </w:rPr>
        <w:t>”</w:t>
      </w:r>
      <w:r>
        <w:rPr>
          <w:rFonts w:eastAsia="Times New Roman" w:asciiTheme="majorHAnsi" w:hAnsiTheme="majorHAnsi" w:cstheme="majorHAnsi"/>
          <w:lang w:eastAsia="ru-RU"/>
        </w:rPr>
        <w:t>). As a result of this process and following careful deliberation, on September 21, 2022, the company’s shareholders, pursuant to the recommendation of our Board of Directors  and Audit Committee, appointed Kept as external auditor for the financial year ending December 31, 2022.</w:t>
      </w:r>
    </w:p>
    <w:p w:rsidR="009534E2" w:rsidRDefault="003369EB">
      <w:pPr>
        <w:spacing w:after="18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TSATR – Audit Services LLC was dismissed on May 19, 2022. TSATR – Audit Services LLC audit reports issued in accordance with the PCAOB on the company's consolidated financial statements as of and for the years ended December 31, 2021 and 2020 did not contain an adverse opinion or a disclaimer of opinion and were not qualified or modified as to uncertainty, audit scope or accounting principles. </w:t>
      </w:r>
    </w:p>
    <w:p w:rsidR="009534E2" w:rsidRDefault="003369EB">
      <w:pPr>
        <w:spacing w:after="180"/>
        <w:ind w:firstLine="460"/>
        <w:rPr>
          <w:rFonts w:eastAsia="Times New Roman" w:asciiTheme="majorHAnsi" w:hAnsiTheme="majorHAnsi" w:cstheme="majorHAnsi"/>
        </w:rPr>
      </w:pPr>
      <w:r>
        <w:rPr>
          <w:rFonts w:eastAsia="Times New Roman" w:asciiTheme="majorHAnsi" w:hAnsiTheme="majorHAnsi" w:cstheme="majorHAnsi"/>
          <w:lang w:eastAsia="ru-RU"/>
        </w:rPr>
        <w:t>During the two most recent fiscal years of the company and any subsequent interim period preceding the dismissal of TSATR – Audit Services LLC: (i) TSATR – Audit Services LLC has not issued any reports on the financial statements of the company or on the effectiveness of internal control over financial reporting that contained an adverse opinion or a disclaimer of opinion, nor were the reports of TSATR – Audit Services LLC qualified or modified as to uncertainty, audit scope, or accounting principles; (ii) there has not been any disagreement over any matter of accounting principles or practices, financial statement disclosure, or auditing scope or procedures, which disagreements, if not resolved to TSATR – Audit Services LLC’s satisfaction, would have caused it to make reference to the subject matter of the disagreements in their report, or any “reportable event” as described in Item 16F(a)(1)(v) of Form 20-F.</w:t>
      </w:r>
    </w:p>
    <w:p w:rsidR="009534E2" w:rsidRDefault="003369EB">
      <w:pPr>
        <w:spacing w:after="180"/>
        <w:ind w:firstLine="460"/>
        <w:rPr>
          <w:rFonts w:eastAsia="Times New Roman" w:asciiTheme="majorHAnsi" w:hAnsiTheme="majorHAnsi" w:cstheme="majorHAnsi"/>
        </w:rPr>
      </w:pPr>
      <w:r>
        <w:rPr>
          <w:rFonts w:eastAsia="Times New Roman" w:asciiTheme="majorHAnsi" w:hAnsiTheme="majorHAnsi" w:cstheme="majorHAnsi"/>
          <w:lang w:eastAsia="ru-RU"/>
        </w:rPr>
        <w:t>During the two most recent fiscal years of the company and any subsequent interim periods, neither we nor anyone on our behalf consulted with JSC “Kept” (formerly JSC “KPMG”), the successor accountant, regarding either (i) the application of accounting principles to a specified transaction, either completed or proposed; or the type of audit opinion that might be rendered on our financial statements, or (ii) any matter that was either the subject of a disagreement with TSATR – Audit Services LLC or a reportable event pursuant to Item 304(a).</w:t>
      </w:r>
    </w:p>
    <w:p w:rsidR="009534E2" w:rsidRDefault="003369EB">
      <w:pPr>
        <w:ind w:firstLine="461"/>
        <w:rPr>
          <w:rFonts w:eastAsia="Times New Roman" w:asciiTheme="majorHAnsi" w:hAnsiTheme="majorHAnsi" w:cstheme="majorHAnsi"/>
          <w:sz w:val="24"/>
          <w:szCs w:val="24"/>
        </w:rPr>
      </w:pPr>
      <w:r>
        <w:rPr>
          <w:rFonts w:eastAsia="Times New Roman" w:asciiTheme="majorHAnsi" w:hAnsiTheme="majorHAnsi" w:cstheme="majorHAnsi"/>
          <w:lang w:eastAsia="ru-RU"/>
        </w:rPr>
        <w:t>The company has provided TSATR – Audit Services LLC with a copy of this Item 16F disclosure on Form 20-F prior to its filing with the Securities and Exchange Commission (the “SEC”) and has requested that they furnish the company with a letter addressed to the SEC stating whether they agree with such disclosure. A copy of TSATR – Audit Services LLC’s letter, dated March 31, 2023, is filed herewith as Exhibit 16.1.</w:t>
      </w:r>
    </w:p>
    <w:p w:rsidR="009534E2" w:rsidRDefault="009534E2">
      <w:pPr>
        <w:rPr>
          <w:rFonts w:eastAsia="Times New Roman" w:asciiTheme="majorHAnsi" w:hAnsiTheme="majorHAnsi" w:cstheme="majorHAnsi"/>
          <w:sz w:val="16"/>
        </w:rPr>
      </w:pPr>
    </w:p>
    <w:p w:rsidR="009534E2" w:rsidRDefault="003369EB">
      <w:pPr>
        <w:keepNext/>
        <w:keepLines/>
        <w:tabs>
          <w:tab w:val="left" w:pos="1168"/>
        </w:tabs>
        <w:spacing w:after="180"/>
        <w:ind w:left="1080" w:hanging="108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16G.</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Corporate Governance</w:t>
      </w:r>
      <w:bookmarkStart w:name="ITEM16GCorporateGovernance_119895" w:id="776"/>
      <w:bookmarkEnd w:id="776"/>
    </w:p>
    <w:p w:rsidR="009534E2" w:rsidRDefault="003369EB">
      <w:pPr>
        <w:spacing w:after="180"/>
        <w:ind w:firstLine="460"/>
        <w:rPr>
          <w:rFonts w:eastAsia="Times New Roman" w:asciiTheme="majorHAnsi" w:hAnsiTheme="majorHAnsi" w:cstheme="majorHAnsi"/>
          <w:lang w:eastAsia="ru-RU"/>
        </w:rPr>
      </w:pPr>
      <w:r>
        <w:rPr>
          <w:rFonts w:eastAsia="Times New Roman" w:asciiTheme="majorHAnsi" w:hAnsiTheme="majorHAnsi" w:cstheme="majorHAnsi"/>
          <w:lang w:eastAsia="ru-RU"/>
        </w:rPr>
        <w:t>Our corporate affairs are governed by our memorandum and articles of association and the provisions of applicable Cyprus law, including the Companies Law and common law. The Companies Law differs from laws applicable to US corporations and their shareholders.</w:t>
      </w:r>
    </w:p>
    <w:p w:rsidR="009534E2" w:rsidRDefault="003369EB">
      <w:pPr>
        <w:keepNext/>
        <w:keepLines/>
        <w:spacing w:after="180"/>
        <w:rPr>
          <w:rFonts w:eastAsia="Times New Roman" w:asciiTheme="majorHAnsi" w:hAnsiTheme="majorHAnsi" w:cstheme="majorHAnsi"/>
          <w:sz w:val="24"/>
          <w:szCs w:val="24"/>
        </w:rPr>
      </w:pPr>
      <w:r>
        <w:rPr>
          <w:rFonts w:eastAsia="Times New Roman" w:asciiTheme="majorHAnsi" w:hAnsiTheme="majorHAnsi" w:cstheme="majorHAnsi"/>
          <w:b/>
          <w:bCs/>
          <w:lang w:eastAsia="ru-RU"/>
        </w:rPr>
        <w:t>Exemptions From Nasdaq Corporate Governance Requirements</w:t>
      </w:r>
    </w:p>
    <w:p w:rsidR="009534E2" w:rsidRDefault="003369EB">
      <w:pPr>
        <w:keepNext/>
        <w:spacing w:after="180"/>
        <w:ind w:firstLine="459"/>
        <w:rPr>
          <w:rFonts w:eastAsia="Times New Roman" w:asciiTheme="majorHAnsi" w:hAnsiTheme="majorHAnsi" w:cstheme="majorHAnsi"/>
          <w:sz w:val="24"/>
          <w:szCs w:val="24"/>
        </w:rPr>
      </w:pPr>
      <w:r>
        <w:rPr>
          <w:rFonts w:eastAsia="Times New Roman" w:asciiTheme="majorHAnsi" w:hAnsiTheme="majorHAnsi" w:cstheme="majorHAnsi"/>
          <w:lang w:eastAsia="ru-RU"/>
        </w:rPr>
        <w:t>The Nasdaq Marketplace Rules, or the Nasdaq Rules, provide that foreign private issuers may follow home country practice in lieu of the corporate governance requirements of the Nasdaq Stock Market LLC, subject to certain exceptions and requirements and except to the extent that such exemptions would be contrary to US federal securities laws and regulations. The significant differences between our corporate governance practices and those followed by US companies under the Nasdaq Listing Rules are summarized as follows:</w:t>
      </w:r>
    </w:p>
    <w:p w:rsidR="009534E2" w:rsidRDefault="003369EB">
      <w:pPr>
        <w:pStyle w:val="ListParagraph"/>
        <w:numPr>
          <w:ilvl w:val="0"/>
          <w:numId w:val="44"/>
        </w:numPr>
        <w:spacing w:after="200"/>
        <w:ind w:left="821"/>
        <w:rPr>
          <w:rFonts w:eastAsia="Times New Roman" w:asciiTheme="majorHAnsi" w:hAnsiTheme="majorHAnsi" w:cstheme="majorHAnsi"/>
          <w:sz w:val="24"/>
          <w:szCs w:val="24"/>
        </w:rPr>
      </w:pPr>
      <w:r>
        <w:rPr>
          <w:rFonts w:eastAsia="Times New Roman" w:asciiTheme="majorHAnsi" w:hAnsiTheme="majorHAnsi" w:cstheme="majorHAnsi"/>
          <w:lang w:eastAsia="ru-RU"/>
        </w:rPr>
        <w:t>We follow home country practice that permits our board of directors to consist of less than a majority of independent directors, in lieu of complying with Rule 5605(b)(1) of the Nasdaq Rules that requires that the board of directors consist of a majority of independent directors. Currently, three members of our board of directors out of the total seven members are independent with the meaning of the Nasdaq Listing Rules.</w:t>
      </w:r>
    </w:p>
    <w:p w:rsidR="009534E2" w:rsidRDefault="003369EB">
      <w:pPr>
        <w:pStyle w:val="ListParagraph"/>
        <w:numPr>
          <w:ilvl w:val="0"/>
          <w:numId w:val="44"/>
        </w:numPr>
        <w:spacing w:after="200"/>
        <w:ind w:left="821"/>
        <w:rPr>
          <w:rFonts w:eastAsia="Times New Roman" w:asciiTheme="majorHAnsi" w:hAnsiTheme="majorHAnsi" w:cstheme="majorHAnsi"/>
          <w:sz w:val="24"/>
          <w:szCs w:val="24"/>
        </w:rPr>
      </w:pPr>
      <w:r>
        <w:rPr>
          <w:rFonts w:eastAsia="Times New Roman" w:asciiTheme="majorHAnsi" w:hAnsiTheme="majorHAnsi" w:cstheme="majorHAnsi"/>
          <w:lang w:eastAsia="ru-RU"/>
        </w:rPr>
        <w:t>We follow home country practice that permits our board of directors not to implement a nominations committee or for directors to be nominated by a majority of our independent directors, in lieu of complying with Rule 5605(e) of the Nasdaq Rules that requires the implementation of a nominations committee or the nomination of directors by a majority of the independent directors. Subject to the rights of shareholders under Cyprus law to nominate directors to our board, the methodology by which directors are nominated to our board is as set forth in “Board of Directors Appointment of Directors.”</w:t>
      </w:r>
    </w:p>
    <w:p w:rsidR="009534E2" w:rsidRDefault="003369EB">
      <w:pPr>
        <w:pStyle w:val="ListParagraph"/>
        <w:numPr>
          <w:ilvl w:val="0"/>
          <w:numId w:val="44"/>
        </w:numPr>
        <w:spacing w:after="200"/>
        <w:ind w:left="821"/>
        <w:rPr>
          <w:rFonts w:eastAsia="Times New Roman" w:asciiTheme="majorHAnsi" w:hAnsiTheme="majorHAnsi" w:cstheme="majorHAnsi"/>
          <w:sz w:val="24"/>
          <w:szCs w:val="24"/>
        </w:rPr>
      </w:pPr>
      <w:r>
        <w:rPr>
          <w:rFonts w:eastAsia="Times New Roman" w:asciiTheme="majorHAnsi" w:hAnsiTheme="majorHAnsi" w:cstheme="majorHAnsi"/>
          <w:lang w:eastAsia="ru-RU"/>
        </w:rPr>
        <w:t xml:space="preserve">We follow home country practice that does not require us to hold regular executive sessions where only independent directors are present, in lieu of complying with Rule 5605(b)(2) of the Nasdaq Rules that requires that regular executive sessions are held where only independent directors are present. </w:t>
      </w:r>
      <w:r>
        <w:rPr>
          <w:rFonts w:eastAsia="Times New Roman" w:asciiTheme="majorHAnsi" w:hAnsiTheme="majorHAnsi" w:cstheme="majorHAnsi"/>
          <w:lang w:val="ru-RU" w:eastAsia="ru-RU"/>
        </w:rPr>
        <w:t>We do not hold regular executive sessions.</w:t>
      </w:r>
    </w:p>
    <w:p w:rsidR="009534E2" w:rsidRDefault="003369EB">
      <w:pPr>
        <w:pStyle w:val="ListParagraph"/>
        <w:numPr>
          <w:ilvl w:val="0"/>
          <w:numId w:val="44"/>
        </w:numPr>
        <w:spacing w:after="200"/>
        <w:ind w:left="821"/>
        <w:rPr>
          <w:rFonts w:eastAsia="Times New Roman" w:asciiTheme="majorHAnsi" w:hAnsiTheme="majorHAnsi" w:cstheme="majorHAnsi"/>
          <w:sz w:val="24"/>
          <w:szCs w:val="24"/>
        </w:rPr>
      </w:pPr>
      <w:r>
        <w:rPr>
          <w:rFonts w:eastAsia="Times New Roman" w:asciiTheme="majorHAnsi" w:hAnsiTheme="majorHAnsi" w:cstheme="majorHAnsi"/>
          <w:lang w:eastAsia="ru-RU"/>
        </w:rPr>
        <w:t>We follow home country practice that permits our compensation committee to not consist entirely of independent directors, in lieu of complying with Rule 5605(d) (2) of the Nasdaq Rules that requires that the board of directors have a compensation committee consisting of entirely independent directors. In addition, although our compensation committee charter provides that the compensation committee may, in its sole discretion, retain a compensation consultant, our compensation committee charter does not include all enumerated matters concerning retention of compensation consultants as set forth in Rule 5605(d)(3) of the Nasdaq Rules.</w:t>
      </w:r>
    </w:p>
    <w:p w:rsidR="009534E2" w:rsidRDefault="003369EB">
      <w:pPr>
        <w:pStyle w:val="ListParagraph"/>
        <w:numPr>
          <w:ilvl w:val="0"/>
          <w:numId w:val="44"/>
        </w:numPr>
        <w:spacing w:after="200"/>
        <w:ind w:left="821"/>
        <w:rPr>
          <w:rFonts w:eastAsia="Times New Roman" w:asciiTheme="majorHAnsi" w:hAnsiTheme="majorHAnsi" w:cstheme="majorHAnsi"/>
          <w:sz w:val="24"/>
          <w:szCs w:val="24"/>
        </w:rPr>
      </w:pPr>
      <w:r>
        <w:rPr>
          <w:rFonts w:eastAsia="Times New Roman" w:asciiTheme="majorHAnsi" w:hAnsiTheme="majorHAnsi" w:cstheme="majorHAnsi"/>
          <w:lang w:eastAsia="ru-RU"/>
        </w:rPr>
        <w:t>We follow home country practice that permits the board of directors, without shareholder approval, to establish or materially amend any equity compensation arrangements subject to shareholder approval in relation to the total number of shares and classes of shares to be reserved for issuance under such programme in lieu of complying with Rule 5635(b) of the Nasdaq Rules that requires that our shareholders approve the establishment or any material amendments to any equity compensation arrangements.</w:t>
      </w:r>
    </w:p>
    <w:p w:rsidR="009534E2" w:rsidRDefault="003369EB">
      <w:pPr>
        <w:pStyle w:val="ListParagraph"/>
        <w:numPr>
          <w:ilvl w:val="0"/>
          <w:numId w:val="44"/>
        </w:numPr>
        <w:spacing w:after="200"/>
        <w:ind w:left="821"/>
        <w:rPr>
          <w:rFonts w:eastAsia="Times New Roman" w:asciiTheme="majorHAnsi" w:hAnsiTheme="majorHAnsi" w:cstheme="majorHAnsi"/>
          <w:sz w:val="24"/>
          <w:szCs w:val="24"/>
        </w:rPr>
      </w:pPr>
      <w:r>
        <w:rPr>
          <w:rFonts w:eastAsia="Times New Roman" w:asciiTheme="majorHAnsi" w:hAnsiTheme="majorHAnsi" w:cstheme="majorHAnsi"/>
          <w:lang w:eastAsia="ru-RU"/>
        </w:rPr>
        <w:t>Our board of directors has not made any determination with respect to the company’s intention to follow Rule 5635(a), (b), and (d) of the Nasdaq Rules, relating to matters requiring shareholder approval. Cypriot law and our articles of association permit us, with approval of our board of directors and without shareholder approval, to take the following actions:</w:t>
      </w:r>
    </w:p>
    <w:p w:rsidR="009534E2" w:rsidRDefault="003369EB">
      <w:pPr>
        <w:pStyle w:val="ListParagraph"/>
        <w:numPr>
          <w:ilvl w:val="0"/>
          <w:numId w:val="52"/>
        </w:numPr>
        <w:tabs>
          <w:tab w:val="left" w:pos="1546"/>
        </w:tabs>
        <w:spacing w:after="200"/>
        <w:ind w:left="1152"/>
        <w:rPr>
          <w:rFonts w:eastAsia="Times New Roman" w:asciiTheme="majorHAnsi" w:hAnsiTheme="majorHAnsi" w:cstheme="majorHAnsi"/>
          <w:sz w:val="24"/>
          <w:szCs w:val="24"/>
        </w:rPr>
      </w:pPr>
      <w:r>
        <w:rPr>
          <w:rFonts w:eastAsia="Times New Roman" w:asciiTheme="majorHAnsi" w:hAnsiTheme="majorHAnsi" w:cstheme="majorHAnsi"/>
          <w:lang w:eastAsia="ru-RU"/>
        </w:rPr>
        <w:t>Acquire the stock or assets of another company, where such acquisition results in the issuance of 20% or more of our outstanding share capital or voting power, in contrast to Rule 5635(a) of the Nasdaq Rules, which would require shareholder approval in order to enter into such an acquisition.</w:t>
      </w:r>
    </w:p>
    <w:p w:rsidR="009534E2" w:rsidRDefault="003369EB">
      <w:pPr>
        <w:pStyle w:val="ListParagraph"/>
        <w:numPr>
          <w:ilvl w:val="0"/>
          <w:numId w:val="52"/>
        </w:numPr>
        <w:tabs>
          <w:tab w:val="left" w:pos="1546"/>
        </w:tabs>
        <w:spacing w:after="200"/>
        <w:ind w:left="1152"/>
        <w:rPr>
          <w:rFonts w:eastAsia="Times New Roman" w:asciiTheme="majorHAnsi" w:hAnsiTheme="majorHAnsi" w:cstheme="majorHAnsi"/>
          <w:sz w:val="24"/>
          <w:szCs w:val="24"/>
        </w:rPr>
      </w:pPr>
      <w:r>
        <w:rPr>
          <w:rFonts w:eastAsia="Times New Roman" w:asciiTheme="majorHAnsi" w:hAnsiTheme="majorHAnsi" w:cstheme="majorHAnsi"/>
          <w:lang w:eastAsia="ru-RU"/>
        </w:rPr>
        <w:t>Enter into any transaction that may result in a person, or group of persons acting together, holding more than 20% of our outstanding share capital or voting power. Such transaction may be considered a change of control under Rule 5635(b) of the Nasdaq Rules, requiring shareholder approval. Notwithstanding the above, Cypriot law would not permit us to enter into any reorganization, merger or consolidation without shareholder approval.</w:t>
      </w:r>
    </w:p>
    <w:p w:rsidR="009534E2" w:rsidRDefault="003369EB">
      <w:pPr>
        <w:pStyle w:val="ListParagraph"/>
        <w:numPr>
          <w:ilvl w:val="0"/>
          <w:numId w:val="52"/>
        </w:numPr>
        <w:tabs>
          <w:tab w:val="left" w:pos="1546"/>
        </w:tabs>
        <w:spacing w:after="200"/>
        <w:ind w:left="1152"/>
        <w:rPr>
          <w:rFonts w:eastAsia="Times New Roman" w:asciiTheme="majorHAnsi" w:hAnsiTheme="majorHAnsi" w:cstheme="majorHAnsi"/>
          <w:lang w:eastAsia="ru-RU"/>
        </w:rPr>
      </w:pPr>
      <w:r>
        <w:rPr>
          <w:rFonts w:eastAsia="Times New Roman" w:asciiTheme="majorHAnsi" w:hAnsiTheme="majorHAnsi" w:cstheme="majorHAnsi"/>
          <w:lang w:eastAsia="ru-RU"/>
        </w:rPr>
        <w:t>Enter into any transaction other than a public offering involving the sale, issuance or potential issuance by the company of shares (or securities convertible into or exercisable for shares) for consideration other than cash equal to 20% or more of the outstanding share capital of the company or 20% or more of the voting power outstanding before the issuance for less than the greater of book or market value of the stock, in contrast to Rule 5635(d), which would require shareholder approval for such issuance of shares (or securities convertible into or exercisable for shares).</w:t>
      </w:r>
    </w:p>
    <w:p w:rsidR="009534E2" w:rsidRDefault="003369EB">
      <w:pPr>
        <w:spacing w:after="200"/>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Please see also “—</w:t>
      </w:r>
      <w:r>
        <w:rPr>
          <w:rFonts w:eastAsia="Times New Roman" w:asciiTheme="majorHAnsi" w:hAnsiTheme="majorHAnsi" w:cstheme="majorHAnsi"/>
          <w:i/>
          <w:iCs/>
          <w:lang w:eastAsia="ru-RU"/>
        </w:rPr>
        <w:t>Rights Attaching to Shares—Issue of Shares and Pre-emptive Rights</w:t>
      </w:r>
      <w:r>
        <w:rPr>
          <w:rFonts w:eastAsia="Times New Roman" w:asciiTheme="majorHAnsi" w:hAnsiTheme="majorHAnsi" w:cstheme="majorHAnsi"/>
          <w:lang w:eastAsia="ru-RU"/>
        </w:rPr>
        <w:t>” for restrictions on the issuance of shares.</w:t>
      </w:r>
    </w:p>
    <w:p w:rsidR="009534E2" w:rsidRDefault="003369EB">
      <w:pPr>
        <w:ind w:firstLine="461"/>
        <w:rPr>
          <w:rFonts w:eastAsia="Times New Roman" w:asciiTheme="majorHAnsi" w:hAnsiTheme="majorHAnsi" w:cstheme="majorHAnsi"/>
          <w:lang w:eastAsia="ru-RU"/>
        </w:rPr>
      </w:pPr>
      <w:r>
        <w:rPr>
          <w:rFonts w:eastAsia="Times New Roman" w:asciiTheme="majorHAnsi" w:hAnsiTheme="majorHAnsi" w:cstheme="majorHAnsi"/>
          <w:lang w:eastAsia="ru-RU"/>
        </w:rPr>
        <w:t>As discussed under Item 6C of this annual report on Form 20-F, the company was temporarily non-compliant with Rule 5605(c)(2) of the Nasdaq Rules, which requires a company to have an audit committee comprised of at least three independent directors. Following the election and appointment of Mr. Alexey Ivanov, Mr. Alexey Blagirev, and Mr. Alexey Solovyev to the office of Independent Directors of the company and its Audit Committee, the number of independent directors in the Audit Committee suffices to the described requirement. The Listing Qualifications Department of The Nasdaq Stock Market provided the company with the notification letter confirming that the company is in compliance with the Rule 5605(c)(2) of the Nasdaq Rules on September 26, 2022.</w:t>
      </w:r>
    </w:p>
    <w:p w:rsidR="009534E2" w:rsidRDefault="009534E2">
      <w:pPr>
        <w:rPr>
          <w:rFonts w:eastAsia="Times New Roman" w:asciiTheme="majorHAnsi" w:hAnsiTheme="majorHAnsi" w:cstheme="majorHAnsi"/>
        </w:rPr>
      </w:pPr>
    </w:p>
    <w:p w:rsidR="009534E2" w:rsidRDefault="003369EB">
      <w:pPr>
        <w:keepNext/>
        <w:keepLines/>
        <w:tabs>
          <w:tab w:val="left" w:pos="1168"/>
        </w:tabs>
        <w:ind w:left="1080" w:hanging="108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16H.</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Mine Safety Disclosure</w:t>
      </w:r>
      <w:bookmarkStart w:name="ITEM16HMineSafetyDisclosure_595813" w:id="777"/>
      <w:bookmarkEnd w:id="777"/>
    </w:p>
    <w:p w:rsidR="009534E2" w:rsidRDefault="009534E2">
      <w:pPr>
        <w:keepNext/>
        <w:rPr>
          <w:rFonts w:eastAsia="Times New Roman" w:asciiTheme="majorHAnsi" w:hAnsiTheme="majorHAnsi" w:cstheme="majorHAnsi"/>
        </w:rPr>
      </w:pPr>
    </w:p>
    <w:p w:rsidR="009534E2" w:rsidRDefault="003369EB">
      <w:pPr>
        <w:ind w:firstLine="461"/>
        <w:rPr>
          <w:rFonts w:eastAsia="Times New Roman" w:asciiTheme="majorHAnsi" w:hAnsiTheme="majorHAnsi" w:cstheme="majorHAnsi"/>
        </w:rPr>
      </w:pPr>
      <w:r>
        <w:rPr>
          <w:rFonts w:eastAsia="Times New Roman" w:asciiTheme="majorHAnsi" w:hAnsiTheme="majorHAnsi" w:cstheme="majorHAnsi"/>
          <w:lang w:val="ru-RU" w:eastAsia="ru-RU"/>
        </w:rPr>
        <w:t>Not applicable.</w:t>
      </w:r>
    </w:p>
    <w:p w:rsidR="009534E2" w:rsidRDefault="009534E2">
      <w:pPr>
        <w:rPr>
          <w:rFonts w:eastAsia="Times New Roman" w:asciiTheme="majorHAnsi" w:hAnsiTheme="majorHAnsi" w:cstheme="majorHAnsi"/>
        </w:rPr>
      </w:pPr>
    </w:p>
    <w:p w:rsidR="009534E2" w:rsidRDefault="003369EB">
      <w:pPr>
        <w:keepNext/>
        <w:keepLines/>
        <w:tabs>
          <w:tab w:val="left" w:pos="1080"/>
        </w:tabs>
        <w:ind w:left="864" w:hanging="864"/>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16</w:t>
      </w:r>
      <w:r>
        <w:rPr>
          <w:rFonts w:eastAsia="Times New Roman" w:asciiTheme="majorHAnsi" w:hAnsiTheme="majorHAnsi" w:cstheme="majorHAnsi"/>
          <w:b/>
          <w:bCs/>
          <w:lang w:val="en-GB" w:eastAsia="ru-RU"/>
        </w:rPr>
        <w:t>I</w:t>
      </w:r>
      <w:r>
        <w:rPr>
          <w:rFonts w:eastAsia="Times New Roman" w:asciiTheme="majorHAnsi" w:hAnsiTheme="majorHAnsi" w:cstheme="majorHAnsi"/>
          <w:b/>
          <w:bCs/>
          <w:lang w:val="ru-RU" w:eastAsia="ru-RU"/>
        </w:rPr>
        <w:t>.</w:t>
      </w:r>
      <w:r>
        <w:rPr>
          <w:rFonts w:eastAsia="Times New Roman" w:asciiTheme="majorHAnsi" w:hAnsiTheme="majorHAnsi" w:cstheme="majorHAnsi"/>
          <w:sz w:val="24"/>
          <w:szCs w:val="24"/>
        </w:rPr>
        <w:tab/>
      </w:r>
      <w:r>
        <w:rPr>
          <w:rFonts w:eastAsia="Times New Roman" w:asciiTheme="majorHAnsi" w:hAnsiTheme="majorHAnsi" w:cstheme="majorHAnsi"/>
          <w:b/>
          <w:bCs/>
          <w:lang w:eastAsia="ru-RU"/>
        </w:rPr>
        <w:t>Disclosure Regarding Foreign Jurisdictions that Prevent Inspections</w:t>
      </w:r>
      <w:bookmarkStart w:name="ITEM16IDisclosureRegardingForeignJurisdi" w:id="778"/>
      <w:bookmarkEnd w:id="778"/>
    </w:p>
    <w:p w:rsidR="009534E2" w:rsidRDefault="009534E2">
      <w:pPr>
        <w:keepNext/>
        <w:rPr>
          <w:rFonts w:eastAsia="Times New Roman" w:asciiTheme="majorHAnsi" w:hAnsiTheme="majorHAnsi" w:cstheme="majorHAnsi"/>
        </w:rPr>
      </w:pPr>
    </w:p>
    <w:p w:rsidR="009534E2" w:rsidRDefault="003369EB">
      <w:pPr>
        <w:ind w:firstLine="460"/>
        <w:rPr>
          <w:rFonts w:eastAsia="Times New Roman" w:asciiTheme="majorHAnsi" w:hAnsiTheme="majorHAnsi" w:cstheme="majorHAnsi"/>
          <w:sz w:val="24"/>
          <w:szCs w:val="24"/>
          <w:lang w:val="en-GB"/>
        </w:rPr>
      </w:pPr>
      <w:r>
        <w:rPr>
          <w:rFonts w:eastAsia="Times New Roman" w:asciiTheme="majorHAnsi" w:hAnsiTheme="majorHAnsi" w:cstheme="majorHAnsi"/>
          <w:lang w:val="ru-RU" w:eastAsia="ru-RU"/>
        </w:rPr>
        <w:t>Not applicable.</w:t>
      </w:r>
    </w:p>
    <w:p w:rsidR="009534E2" w:rsidRDefault="009534E2">
      <w:pPr>
        <w:rPr>
          <w:rFonts w:eastAsia="Times New Roman" w:asciiTheme="majorHAnsi" w:hAnsiTheme="majorHAnsi" w:cstheme="majorHAnsi"/>
        </w:rPr>
      </w:pPr>
    </w:p>
    <w:p w:rsidR="009534E2" w:rsidRDefault="003369EB">
      <w:pPr>
        <w:keepNext/>
        <w:keepLines/>
        <w:jc w:val="center"/>
        <w:rPr>
          <w:rFonts w:eastAsia="Times New Roman" w:asciiTheme="majorHAnsi" w:hAnsiTheme="majorHAnsi" w:cstheme="majorHAnsi"/>
          <w:b/>
          <w:bCs/>
          <w:lang w:val="ru-RU" w:eastAsia="ru-RU"/>
        </w:rPr>
      </w:pPr>
      <w:r>
        <w:rPr>
          <w:rFonts w:eastAsia="Times New Roman" w:asciiTheme="majorHAnsi" w:hAnsiTheme="majorHAnsi" w:cstheme="majorHAnsi"/>
          <w:b/>
          <w:bCs/>
          <w:lang w:val="ru-RU" w:eastAsia="ru-RU"/>
        </w:rPr>
        <w:t>PART III</w:t>
      </w:r>
      <w:bookmarkStart w:name="PARTIII_271444" w:id="779"/>
      <w:bookmarkEnd w:id="779"/>
    </w:p>
    <w:p w:rsidR="009534E2" w:rsidRDefault="009534E2">
      <w:pPr>
        <w:keepNext/>
        <w:keepLines/>
        <w:jc w:val="center"/>
        <w:rPr>
          <w:rFonts w:eastAsia="Times New Roman" w:asciiTheme="majorHAnsi" w:hAnsiTheme="majorHAnsi" w:cstheme="majorHAnsi"/>
          <w:szCs w:val="24"/>
        </w:rPr>
      </w:pPr>
    </w:p>
    <w:p w:rsidR="009534E2" w:rsidRDefault="003369EB">
      <w:pPr>
        <w:keepNext/>
        <w:keepLines/>
        <w:tabs>
          <w:tab w:val="left" w:pos="1168"/>
        </w:tabs>
        <w:ind w:left="1080" w:hanging="108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17.</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Financial Statements</w:t>
      </w:r>
      <w:bookmarkStart w:name="ITEM17FinancialStatements_659221" w:id="780"/>
      <w:bookmarkEnd w:id="780"/>
    </w:p>
    <w:p w:rsidR="009534E2" w:rsidRDefault="009534E2">
      <w:pPr>
        <w:keepNext/>
        <w:rPr>
          <w:rFonts w:eastAsia="Times New Roman" w:asciiTheme="majorHAnsi" w:hAnsiTheme="majorHAnsi" w:cstheme="majorHAnsi"/>
        </w:rPr>
      </w:pPr>
    </w:p>
    <w:p w:rsidR="009534E2" w:rsidRDefault="003369EB">
      <w:pPr>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We have responded to Item 18 in lieu of responding to this item.</w:t>
      </w:r>
    </w:p>
    <w:p w:rsidR="009534E2" w:rsidRDefault="009534E2">
      <w:pPr>
        <w:rPr>
          <w:rFonts w:eastAsia="Times New Roman" w:asciiTheme="majorHAnsi" w:hAnsiTheme="majorHAnsi" w:cstheme="majorHAnsi"/>
        </w:rPr>
      </w:pPr>
    </w:p>
    <w:p w:rsidR="009534E2" w:rsidRDefault="003369EB">
      <w:pPr>
        <w:keepNext/>
        <w:keepLines/>
        <w:tabs>
          <w:tab w:val="left" w:pos="1168"/>
        </w:tabs>
        <w:ind w:left="1080" w:hanging="108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18.</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Financial Statements</w:t>
      </w:r>
      <w:bookmarkStart w:name="ITEM18FinancialStatements_174569" w:id="781"/>
      <w:bookmarkEnd w:id="781"/>
    </w:p>
    <w:p w:rsidR="009534E2" w:rsidRDefault="009534E2">
      <w:pPr>
        <w:keepNext/>
        <w:rPr>
          <w:rFonts w:eastAsia="Times New Roman" w:asciiTheme="majorHAnsi" w:hAnsiTheme="majorHAnsi" w:cstheme="majorHAnsi"/>
          <w:sz w:val="22"/>
        </w:rPr>
      </w:pPr>
    </w:p>
    <w:p w:rsidR="009534E2" w:rsidRDefault="003369EB">
      <w:pPr>
        <w:ind w:firstLine="460"/>
        <w:rPr>
          <w:rFonts w:eastAsia="Times New Roman" w:asciiTheme="majorHAnsi" w:hAnsiTheme="majorHAnsi" w:cstheme="majorHAnsi"/>
          <w:sz w:val="24"/>
          <w:szCs w:val="24"/>
        </w:rPr>
      </w:pPr>
      <w:r>
        <w:rPr>
          <w:rFonts w:eastAsia="Times New Roman" w:asciiTheme="majorHAnsi" w:hAnsiTheme="majorHAnsi" w:cstheme="majorHAnsi"/>
          <w:lang w:eastAsia="ru-RU"/>
        </w:rPr>
        <w:t>Please refer to the financial statements beginning on page F-1.</w:t>
      </w:r>
    </w:p>
    <w:p w:rsidR="009534E2" w:rsidRDefault="009534E2">
      <w:pPr>
        <w:rPr>
          <w:rFonts w:eastAsia="Times New Roman" w:asciiTheme="majorHAnsi" w:hAnsiTheme="majorHAnsi" w:cstheme="majorHAnsi"/>
        </w:rPr>
      </w:pPr>
    </w:p>
    <w:bookmarkStart w:name="_78e95edf_705f_47ec_a375_d70a58ca16bc" w:displacedByCustomXml="prev" w:id="782"/>
    <w:bookmarkEnd w:displacedByCustomXml="prev" w:id="782"/>
    <w:p w:rsidR="009534E2" w:rsidRDefault="003369EB">
      <w:pPr>
        <w:keepNext/>
        <w:keepLines/>
        <w:tabs>
          <w:tab w:val="left" w:pos="1168"/>
        </w:tabs>
        <w:spacing w:after="160"/>
        <w:ind w:left="1080" w:hanging="1080"/>
        <w:rPr>
          <w:rFonts w:eastAsia="Times New Roman" w:asciiTheme="majorHAnsi" w:hAnsiTheme="majorHAnsi" w:cstheme="majorHAnsi"/>
          <w:sz w:val="24"/>
          <w:szCs w:val="24"/>
        </w:rPr>
      </w:pPr>
      <w:r>
        <w:rPr>
          <w:rFonts w:eastAsia="Times New Roman" w:asciiTheme="majorHAnsi" w:hAnsiTheme="majorHAnsi" w:cstheme="majorHAnsi"/>
          <w:b/>
          <w:bCs/>
          <w:lang w:val="ru-RU" w:eastAsia="ru-RU"/>
        </w:rPr>
        <w:t>ITEM 19.</w:t>
      </w:r>
      <w:r>
        <w:rPr>
          <w:rFonts w:eastAsia="Times New Roman" w:asciiTheme="majorHAnsi" w:hAnsiTheme="majorHAnsi" w:cstheme="majorHAnsi"/>
          <w:sz w:val="24"/>
          <w:szCs w:val="24"/>
        </w:rPr>
        <w:tab/>
      </w:r>
      <w:r>
        <w:rPr>
          <w:rFonts w:eastAsia="Times New Roman" w:asciiTheme="majorHAnsi" w:hAnsiTheme="majorHAnsi" w:cstheme="majorHAnsi"/>
          <w:b/>
          <w:bCs/>
          <w:lang w:val="ru-RU" w:eastAsia="ru-RU"/>
        </w:rPr>
        <w:t>Exhibits</w:t>
      </w:r>
      <w:bookmarkStart w:name="ITEM19Exhibits_974563" w:id="783"/>
      <w:bookmarkEnd w:id="783"/>
    </w:p>
    <w:p w:rsidR="009534E2" w:rsidRDefault="003369EB">
      <w:pPr>
        <w:keepNext/>
        <w:keepLines/>
        <w:spacing w:after="120"/>
        <w:jc w:val="center"/>
        <w:rPr>
          <w:rFonts w:eastAsia="Times New Roman" w:asciiTheme="majorHAnsi" w:hAnsiTheme="majorHAnsi" w:cstheme="majorHAnsi"/>
          <w:sz w:val="24"/>
        </w:rPr>
      </w:pPr>
      <w:r>
        <w:rPr>
          <w:rFonts w:eastAsia="Times New Roman" w:asciiTheme="majorHAnsi" w:hAnsiTheme="majorHAnsi" w:cstheme="majorHAnsi"/>
          <w:b/>
          <w:lang w:val="ru-RU" w:eastAsia="ru-RU"/>
        </w:rPr>
        <w:t>Index to Exhibits</w:t>
      </w:r>
    </w:p>
    <w:tbl>
      <w:tblPr>
        <w:tblW w:w="5000" w:type="pct"/>
        <w:jc w:val="center"/>
        <w:tblCellMar>
          <w:left w:w="0" w:type="dxa"/>
          <w:right w:w="0" w:type="dxa"/>
        </w:tblCellMar>
        <w:tblLook w:val="04A0" w:firstRow="1" w:lastRow="0" w:firstColumn="1" w:lastColumn="0" w:noHBand="0" w:noVBand="1"/>
      </w:tblPr>
      <w:tblGrid>
        <w:gridCol w:w="864"/>
        <w:gridCol w:w="216"/>
        <w:gridCol w:w="9720"/>
      </w:tblGrid>
      <w:tr w:rsidR="009534E2">
        <w:trPr>
          <w:cantSplit/>
          <w:jc w:val="center"/>
        </w:trPr>
        <w:tc>
          <w:tcPr>
            <w:tcW w:w="400" w:type="pct"/>
            <w:tcBorders>
              <w:bottom w:val="single" w:color="auto" w:sz="4" w:space="0"/>
            </w:tcBorders>
            <w:vAlign w:val="bottom"/>
            <w:hideMark/>
          </w:tcPr>
          <w:p w:rsidR="009534E2" w:rsidRDefault="003369EB">
            <w:pPr>
              <w:keepNext/>
              <w:keepLines/>
              <w:jc w:val="center"/>
              <w:rPr>
                <w:rFonts w:eastAsia="Times New Roman" w:asciiTheme="majorHAnsi" w:hAnsiTheme="majorHAnsi" w:cstheme="majorHAnsi"/>
                <w:sz w:val="19"/>
                <w:szCs w:val="19"/>
              </w:rPr>
            </w:pPr>
            <w:bookmarkStart w:name="_12b51fbf_570a_4f5a_b656_6a3fe38fdeb6" w:id="784"/>
            <w:bookmarkStart w:name="_5f54dacc_b249_47fc_ae40_798c7c04ceba" w:id="785"/>
            <w:r>
              <w:rPr>
                <w:rFonts w:eastAsia="Times New Roman" w:asciiTheme="majorHAnsi" w:hAnsiTheme="majorHAnsi" w:cstheme="majorHAnsi"/>
                <w:b/>
                <w:sz w:val="19"/>
                <w:szCs w:val="19"/>
                <w:lang w:val="ru-RU" w:eastAsia="ru-RU"/>
              </w:rPr>
              <w:t>Exhibit</w:t>
            </w:r>
          </w:p>
          <w:p w:rsidR="009534E2" w:rsidRDefault="003369EB">
            <w:pPr>
              <w:keepNext/>
              <w:keepLines/>
              <w:jc w:val="center"/>
              <w:rPr>
                <w:rFonts w:eastAsia="Times New Roman" w:asciiTheme="majorHAnsi" w:hAnsiTheme="majorHAnsi" w:cstheme="majorHAnsi"/>
                <w:sz w:val="19"/>
                <w:szCs w:val="19"/>
              </w:rPr>
            </w:pPr>
            <w:r>
              <w:rPr>
                <w:rFonts w:eastAsia="Times New Roman" w:asciiTheme="majorHAnsi" w:hAnsiTheme="majorHAnsi" w:cstheme="majorHAnsi"/>
                <w:b/>
                <w:sz w:val="19"/>
                <w:szCs w:val="19"/>
                <w:lang w:val="ru-RU" w:eastAsia="ru-RU"/>
              </w:rPr>
              <w:t>Number</w:t>
            </w:r>
          </w:p>
        </w:tc>
        <w:tc>
          <w:tcPr>
            <w:tcW w:w="100" w:type="pct"/>
            <w:vAlign w:val="bottom"/>
            <w:hideMark/>
          </w:tcPr>
          <w:p w:rsidR="009534E2" w:rsidRDefault="003369EB">
            <w:pPr>
              <w:keepNext/>
              <w:keepLines/>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  </w:t>
            </w:r>
            <w:r>
              <w:rPr>
                <w:rFonts w:eastAsia="Times New Roman" w:asciiTheme="majorHAnsi" w:hAnsiTheme="majorHAnsi" w:cstheme="majorHAnsi"/>
                <w:sz w:val="19"/>
                <w:szCs w:val="19"/>
                <w:lang w:eastAsia="ru-RU"/>
              </w:rPr>
              <w:t>  </w:t>
            </w:r>
          </w:p>
        </w:tc>
        <w:tc>
          <w:tcPr>
            <w:tcW w:w="4500" w:type="pct"/>
            <w:tcBorders>
              <w:bottom w:val="single" w:color="auto" w:sz="4" w:space="0"/>
            </w:tcBorders>
            <w:vAlign w:val="bottom"/>
            <w:hideMark/>
          </w:tcPr>
          <w:p w:rsidR="009534E2" w:rsidRDefault="003369EB">
            <w:pPr>
              <w:keepNext/>
              <w:keepLines/>
              <w:jc w:val="center"/>
              <w:rPr>
                <w:rFonts w:eastAsia="Times New Roman" w:asciiTheme="majorHAnsi" w:hAnsiTheme="majorHAnsi" w:cstheme="majorHAnsi"/>
                <w:sz w:val="19"/>
                <w:szCs w:val="19"/>
              </w:rPr>
            </w:pPr>
            <w:r>
              <w:rPr>
                <w:rFonts w:eastAsia="Times New Roman" w:asciiTheme="majorHAnsi" w:hAnsiTheme="majorHAnsi" w:cstheme="majorHAnsi"/>
                <w:b/>
                <w:sz w:val="19"/>
                <w:szCs w:val="19"/>
                <w:lang w:val="ru-RU" w:eastAsia="ru-RU"/>
              </w:rPr>
              <w:t>Description of Document</w:t>
            </w:r>
          </w:p>
        </w:tc>
      </w:tr>
      <w:tr w:rsidR="009534E2">
        <w:trPr>
          <w:cantSplit/>
          <w:jc w:val="center"/>
        </w:trPr>
        <w:tc>
          <w:tcPr>
            <w:tcW w:w="400" w:type="pct"/>
          </w:tcPr>
          <w:p w:rsidR="009534E2" w:rsidRDefault="009534E2">
            <w:pPr>
              <w:keepNext/>
              <w:keepLines/>
              <w:rPr>
                <w:rFonts w:eastAsia="Times New Roman" w:asciiTheme="majorHAnsi" w:hAnsiTheme="majorHAnsi" w:cstheme="majorHAnsi"/>
                <w:sz w:val="19"/>
                <w:szCs w:val="19"/>
                <w:lang w:val="ru-RU" w:eastAsia="ru-RU"/>
              </w:rPr>
            </w:pPr>
          </w:p>
        </w:tc>
        <w:tc>
          <w:tcPr>
            <w:tcW w:w="100" w:type="pct"/>
            <w:vAlign w:val="bottom"/>
          </w:tcPr>
          <w:p w:rsidR="009534E2" w:rsidRDefault="009534E2">
            <w:pPr>
              <w:keepNext/>
              <w:keepLines/>
              <w:rPr>
                <w:rFonts w:eastAsia="Times New Roman" w:asciiTheme="majorHAnsi" w:hAnsiTheme="majorHAnsi" w:cstheme="majorHAnsi"/>
                <w:sz w:val="19"/>
                <w:szCs w:val="19"/>
                <w:lang w:val="ru-RU" w:eastAsia="ru-RU"/>
              </w:rPr>
            </w:pPr>
          </w:p>
        </w:tc>
        <w:tc>
          <w:tcPr>
            <w:tcW w:w="4500" w:type="pct"/>
          </w:tcPr>
          <w:p w:rsidR="009534E2" w:rsidRDefault="009534E2">
            <w:pPr>
              <w:keepNext/>
              <w:keepLines/>
              <w:rPr>
                <w:rFonts w:asciiTheme="majorHAnsi" w:hAnsiTheme="majorHAnsi" w:cstheme="majorHAnsi"/>
                <w:sz w:val="19"/>
                <w:szCs w:val="19"/>
              </w:rPr>
            </w:pPr>
          </w:p>
        </w:tc>
      </w:tr>
      <w:tr w:rsidR="009534E2">
        <w:trPr>
          <w:cantSplit/>
          <w:jc w:val="center"/>
        </w:trPr>
        <w:tc>
          <w:tcPr>
            <w:tcW w:w="400" w:type="pct"/>
            <w:hideMark/>
          </w:tcPr>
          <w:p w:rsidR="009534E2" w:rsidRDefault="003369EB">
            <w:pPr>
              <w:keepNext/>
              <w:keepLines/>
              <w:ind w:left="144" w:hanging="144"/>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1.1</w:t>
            </w:r>
          </w:p>
        </w:tc>
        <w:tc>
          <w:tcPr>
            <w:tcW w:w="100" w:type="pct"/>
            <w:vAlign w:val="bottom"/>
            <w:hideMark/>
          </w:tcPr>
          <w:p w:rsidR="009534E2" w:rsidRDefault="003369EB">
            <w:pPr>
              <w:keepNext/>
              <w:keepLines/>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  </w:t>
            </w:r>
          </w:p>
        </w:tc>
        <w:tc>
          <w:tcPr>
            <w:tcW w:w="4500" w:type="pct"/>
            <w:hideMark/>
          </w:tcPr>
          <w:p w:rsidR="009534E2" w:rsidRDefault="00EC0AE1">
            <w:pPr>
              <w:keepNext/>
              <w:keepLines/>
              <w:rPr>
                <w:rFonts w:eastAsia="Times New Roman" w:asciiTheme="majorHAnsi" w:hAnsiTheme="majorHAnsi" w:cstheme="majorHAnsi"/>
                <w:sz w:val="19"/>
                <w:szCs w:val="19"/>
              </w:rPr>
            </w:pPr>
            <w:hyperlink w:tooltip="Exhibit_Hyperlink:qiwi_Ex1_1" w:history="1" w:anchor="Exhibit:qiwi_Ex1_1" r:id="rId11">
              <w:r w:rsidR="003369EB">
                <w:rPr>
                  <w:rStyle w:val="Hyperlink"/>
                  <w:rFonts w:eastAsia="Times New Roman" w:asciiTheme="majorHAnsi" w:hAnsiTheme="majorHAnsi" w:cstheme="majorHAnsi"/>
                  <w:sz w:val="19"/>
                  <w:szCs w:val="19"/>
                  <w:lang w:eastAsia="ru-RU"/>
                </w:rPr>
                <w:t>Articles of Association of QIWI plc</w:t>
              </w:r>
            </w:hyperlink>
          </w:p>
        </w:tc>
      </w:tr>
      <w:tr w:rsidR="009534E2">
        <w:trPr>
          <w:cantSplit/>
          <w:jc w:val="center"/>
        </w:trPr>
        <w:tc>
          <w:tcPr>
            <w:tcW w:w="400" w:type="pct"/>
          </w:tcPr>
          <w:p w:rsidR="009534E2" w:rsidRDefault="009534E2">
            <w:pPr>
              <w:keepNext/>
              <w:keepLines/>
              <w:rPr>
                <w:rFonts w:eastAsia="Times New Roman" w:asciiTheme="majorHAnsi" w:hAnsiTheme="majorHAnsi" w:cstheme="majorHAnsi"/>
                <w:sz w:val="19"/>
                <w:szCs w:val="19"/>
                <w:lang w:eastAsia="ru-RU"/>
              </w:rPr>
            </w:pPr>
          </w:p>
        </w:tc>
        <w:tc>
          <w:tcPr>
            <w:tcW w:w="100" w:type="pct"/>
            <w:vAlign w:val="bottom"/>
          </w:tcPr>
          <w:p w:rsidR="009534E2" w:rsidRDefault="009534E2">
            <w:pPr>
              <w:keepNext/>
              <w:keepLines/>
              <w:rPr>
                <w:rFonts w:eastAsia="Times New Roman" w:asciiTheme="majorHAnsi" w:hAnsiTheme="majorHAnsi" w:cstheme="majorHAnsi"/>
                <w:sz w:val="19"/>
                <w:szCs w:val="19"/>
                <w:lang w:val="ru-RU" w:eastAsia="ru-RU"/>
              </w:rPr>
            </w:pPr>
          </w:p>
        </w:tc>
        <w:tc>
          <w:tcPr>
            <w:tcW w:w="4500" w:type="pct"/>
          </w:tcPr>
          <w:p w:rsidR="009534E2" w:rsidRDefault="009534E2">
            <w:pPr>
              <w:keepNext/>
              <w:keepLines/>
              <w:rPr>
                <w:rFonts w:asciiTheme="majorHAnsi" w:hAnsiTheme="majorHAnsi" w:cstheme="majorHAnsi"/>
                <w:sz w:val="19"/>
                <w:szCs w:val="19"/>
              </w:rPr>
            </w:pPr>
          </w:p>
        </w:tc>
      </w:tr>
      <w:tr w:rsidR="009534E2">
        <w:trPr>
          <w:cantSplit/>
          <w:jc w:val="center"/>
        </w:trPr>
        <w:tc>
          <w:tcPr>
            <w:tcW w:w="400" w:type="pct"/>
            <w:hideMark/>
          </w:tcPr>
          <w:p w:rsidR="009534E2" w:rsidRDefault="003369EB">
            <w:pPr>
              <w:keepNext/>
              <w:keepLines/>
              <w:ind w:left="144" w:hanging="144"/>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2.1</w:t>
            </w:r>
          </w:p>
        </w:tc>
        <w:tc>
          <w:tcPr>
            <w:tcW w:w="100" w:type="pct"/>
            <w:vAlign w:val="bottom"/>
            <w:hideMark/>
          </w:tcPr>
          <w:p w:rsidR="009534E2" w:rsidRDefault="003369EB">
            <w:pPr>
              <w:keepNext/>
              <w:keepLines/>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  </w:t>
            </w:r>
          </w:p>
        </w:tc>
        <w:tc>
          <w:tcPr>
            <w:tcW w:w="4500" w:type="pct"/>
            <w:hideMark/>
          </w:tcPr>
          <w:p w:rsidR="009534E2" w:rsidRDefault="00EC0AE1">
            <w:pPr>
              <w:keepNext/>
              <w:keepLines/>
              <w:rPr>
                <w:rFonts w:eastAsia="Times New Roman" w:asciiTheme="majorHAnsi" w:hAnsiTheme="majorHAnsi" w:cstheme="majorHAnsi"/>
                <w:sz w:val="19"/>
                <w:szCs w:val="19"/>
              </w:rPr>
            </w:pPr>
            <w:hyperlink w:tooltip="External_Link:https://www.sec.gov/Archives/edgar/data/1561566/000119312513161884/d426593dex43.htm" w:history="1" w:anchor="Exhibit:https://www.sec.gov/Archives/edgar/data/1561566/000119312513161884/d426593dex43.htm" r:id="rId12">
              <w:r w:rsidR="003369EB">
                <w:rPr>
                  <w:rStyle w:val="Hyperlink"/>
                  <w:rFonts w:eastAsia="Times New Roman" w:asciiTheme="majorHAnsi" w:hAnsiTheme="majorHAnsi" w:cstheme="majorHAnsi"/>
                  <w:sz w:val="19"/>
                  <w:szCs w:val="19"/>
                  <w:lang w:eastAsia="ru-RU"/>
                </w:rPr>
                <w:t>Form of Registrant’s American Depositary Receipt (included in Exhibit 2.3)</w:t>
              </w:r>
            </w:hyperlink>
          </w:p>
        </w:tc>
      </w:tr>
      <w:tr w:rsidR="009534E2">
        <w:trPr>
          <w:cantSplit/>
          <w:jc w:val="center"/>
        </w:trPr>
        <w:tc>
          <w:tcPr>
            <w:tcW w:w="400" w:type="pct"/>
          </w:tcPr>
          <w:p w:rsidR="009534E2" w:rsidRDefault="009534E2">
            <w:pPr>
              <w:keepNext/>
              <w:keepLines/>
              <w:rPr>
                <w:rFonts w:eastAsia="Times New Roman" w:asciiTheme="majorHAnsi" w:hAnsiTheme="majorHAnsi" w:cstheme="majorHAnsi"/>
                <w:sz w:val="19"/>
                <w:szCs w:val="19"/>
                <w:lang w:eastAsia="ru-RU"/>
              </w:rPr>
            </w:pPr>
          </w:p>
        </w:tc>
        <w:tc>
          <w:tcPr>
            <w:tcW w:w="100" w:type="pct"/>
            <w:vAlign w:val="bottom"/>
          </w:tcPr>
          <w:p w:rsidR="009534E2" w:rsidRDefault="009534E2">
            <w:pPr>
              <w:keepNext/>
              <w:keepLines/>
              <w:rPr>
                <w:rFonts w:eastAsia="Times New Roman" w:asciiTheme="majorHAnsi" w:hAnsiTheme="majorHAnsi" w:cstheme="majorHAnsi"/>
                <w:sz w:val="19"/>
                <w:szCs w:val="19"/>
                <w:lang w:val="ru-RU" w:eastAsia="ru-RU"/>
              </w:rPr>
            </w:pPr>
          </w:p>
        </w:tc>
        <w:tc>
          <w:tcPr>
            <w:tcW w:w="4500" w:type="pct"/>
          </w:tcPr>
          <w:p w:rsidR="009534E2" w:rsidRDefault="009534E2">
            <w:pPr>
              <w:keepNext/>
              <w:keepLines/>
              <w:rPr>
                <w:rFonts w:asciiTheme="majorHAnsi" w:hAnsiTheme="majorHAnsi" w:cstheme="majorHAnsi"/>
                <w:sz w:val="19"/>
                <w:szCs w:val="19"/>
              </w:rPr>
            </w:pPr>
          </w:p>
        </w:tc>
      </w:tr>
      <w:tr w:rsidR="009534E2">
        <w:trPr>
          <w:cantSplit/>
          <w:jc w:val="center"/>
        </w:trPr>
        <w:tc>
          <w:tcPr>
            <w:tcW w:w="400" w:type="pct"/>
            <w:hideMark/>
          </w:tcPr>
          <w:p w:rsidR="009534E2" w:rsidRDefault="003369EB">
            <w:pPr>
              <w:keepNext/>
              <w:keepLines/>
              <w:ind w:left="144" w:hanging="144"/>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2.2</w:t>
            </w:r>
          </w:p>
        </w:tc>
        <w:tc>
          <w:tcPr>
            <w:tcW w:w="100" w:type="pct"/>
            <w:vAlign w:val="bottom"/>
            <w:hideMark/>
          </w:tcPr>
          <w:p w:rsidR="009534E2" w:rsidRDefault="003369EB">
            <w:pPr>
              <w:keepNext/>
              <w:keepLines/>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  </w:t>
            </w:r>
          </w:p>
        </w:tc>
        <w:tc>
          <w:tcPr>
            <w:tcW w:w="4500" w:type="pct"/>
            <w:hideMark/>
          </w:tcPr>
          <w:p w:rsidR="009534E2" w:rsidRDefault="00EC0AE1">
            <w:pPr>
              <w:keepNext/>
              <w:keepLines/>
              <w:rPr>
                <w:rFonts w:eastAsia="Times New Roman" w:asciiTheme="majorHAnsi" w:hAnsiTheme="majorHAnsi" w:cstheme="majorHAnsi"/>
                <w:sz w:val="19"/>
                <w:szCs w:val="19"/>
              </w:rPr>
            </w:pPr>
            <w:hyperlink w:tooltip="External_Link:https://www.sec.gov/Archives/edgar/data/1561566/000119312513161884/d426593dex42.htm" w:history="1" w:anchor="Exhibit:https://www.sec.gov/Archives/edgar/data/1561566/000119312513161884/d426593dex42.htm" r:id="rId13">
              <w:r w:rsidR="003369EB">
                <w:rPr>
                  <w:rStyle w:val="Hyperlink"/>
                  <w:rFonts w:eastAsia="Times New Roman" w:asciiTheme="majorHAnsi" w:hAnsiTheme="majorHAnsi" w:cstheme="majorHAnsi"/>
                  <w:sz w:val="19"/>
                  <w:szCs w:val="19"/>
                  <w:lang w:eastAsia="ru-RU"/>
                </w:rPr>
                <w:t>Specimen Certificate for Class B Shares of the Registrant (incorporated by reference to Exhibit 4.2 to QIWI plc’s Registration Statement on Form F-1/A, File No. 333-187579, filed on April 19, 2013)</w:t>
              </w:r>
            </w:hyperlink>
          </w:p>
        </w:tc>
      </w:tr>
      <w:tr w:rsidR="009534E2">
        <w:trPr>
          <w:cantSplit/>
          <w:jc w:val="center"/>
        </w:trPr>
        <w:tc>
          <w:tcPr>
            <w:tcW w:w="400" w:type="pct"/>
          </w:tcPr>
          <w:p w:rsidR="009534E2" w:rsidRDefault="009534E2">
            <w:pPr>
              <w:keepNext/>
              <w:keepLines/>
              <w:rPr>
                <w:rFonts w:eastAsia="Times New Roman" w:asciiTheme="majorHAnsi" w:hAnsiTheme="majorHAnsi" w:cstheme="majorHAnsi"/>
                <w:sz w:val="19"/>
                <w:szCs w:val="19"/>
                <w:lang w:eastAsia="ru-RU"/>
              </w:rPr>
            </w:pPr>
          </w:p>
        </w:tc>
        <w:tc>
          <w:tcPr>
            <w:tcW w:w="100" w:type="pct"/>
            <w:vAlign w:val="bottom"/>
          </w:tcPr>
          <w:p w:rsidR="009534E2" w:rsidRDefault="009534E2">
            <w:pPr>
              <w:keepNext/>
              <w:keepLines/>
              <w:rPr>
                <w:rFonts w:eastAsia="Times New Roman" w:asciiTheme="majorHAnsi" w:hAnsiTheme="majorHAnsi" w:cstheme="majorHAnsi"/>
                <w:sz w:val="19"/>
                <w:szCs w:val="19"/>
                <w:lang w:val="ru-RU" w:eastAsia="ru-RU"/>
              </w:rPr>
            </w:pPr>
          </w:p>
        </w:tc>
        <w:tc>
          <w:tcPr>
            <w:tcW w:w="4500" w:type="pct"/>
          </w:tcPr>
          <w:p w:rsidR="009534E2" w:rsidRDefault="009534E2">
            <w:pPr>
              <w:keepNext/>
              <w:keepLines/>
              <w:rPr>
                <w:rFonts w:asciiTheme="majorHAnsi" w:hAnsiTheme="majorHAnsi" w:cstheme="majorHAnsi"/>
                <w:sz w:val="19"/>
                <w:szCs w:val="19"/>
              </w:rPr>
            </w:pPr>
          </w:p>
        </w:tc>
      </w:tr>
      <w:tr w:rsidR="009534E2">
        <w:trPr>
          <w:cantSplit/>
          <w:jc w:val="center"/>
        </w:trPr>
        <w:tc>
          <w:tcPr>
            <w:tcW w:w="400" w:type="pct"/>
            <w:hideMark/>
          </w:tcPr>
          <w:p w:rsidR="009534E2" w:rsidRDefault="003369EB">
            <w:pPr>
              <w:keepNext/>
              <w:keepLines/>
              <w:ind w:left="144" w:hanging="144"/>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2.3</w:t>
            </w:r>
          </w:p>
        </w:tc>
        <w:tc>
          <w:tcPr>
            <w:tcW w:w="100" w:type="pct"/>
            <w:vAlign w:val="bottom"/>
            <w:hideMark/>
          </w:tcPr>
          <w:p w:rsidR="009534E2" w:rsidRDefault="003369EB">
            <w:pPr>
              <w:keepNext/>
              <w:keepLines/>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  </w:t>
            </w:r>
          </w:p>
        </w:tc>
        <w:tc>
          <w:tcPr>
            <w:tcW w:w="4500" w:type="pct"/>
          </w:tcPr>
          <w:p w:rsidR="009534E2" w:rsidRDefault="00EC0AE1">
            <w:pPr>
              <w:keepNext/>
              <w:keepLines/>
              <w:rPr>
                <w:rFonts w:eastAsia="Times New Roman" w:asciiTheme="majorHAnsi" w:hAnsiTheme="majorHAnsi" w:cstheme="majorHAnsi"/>
                <w:sz w:val="19"/>
                <w:szCs w:val="19"/>
              </w:rPr>
            </w:pPr>
            <w:hyperlink w:tooltip="External_Link:https://www.sec.gov/Archives/edgar/data/1561566/000119312513161884/d426593dex43.htm" w:history="1" w:anchor="Exhibit:https://www.sec.gov/Archives/edgar/data/1561566/000119312513161884/d426593dex43.htm" r:id="rId14">
              <w:r w:rsidR="003369EB">
                <w:rPr>
                  <w:rStyle w:val="Hyperlink"/>
                  <w:rFonts w:eastAsia="Times New Roman" w:asciiTheme="majorHAnsi" w:hAnsiTheme="majorHAnsi" w:cstheme="majorHAnsi"/>
                  <w:sz w:val="19"/>
                  <w:szCs w:val="19"/>
                  <w:lang w:eastAsia="ru-RU"/>
                </w:rPr>
                <w:t>Form of Deposit Agreement among the Registrant, the Depositary and Owners and Beneficial Owners of the American Depositary Shares issued thereunder (incorporated by reference to Exhibit 4.3 to QIWI plc’s Registration Statement on Form F-1/A, File No. 333-187579, filed on April 19, 2013)</w:t>
              </w:r>
            </w:hyperlink>
          </w:p>
        </w:tc>
      </w:tr>
      <w:tr w:rsidR="009534E2">
        <w:trPr>
          <w:cantSplit/>
          <w:jc w:val="center"/>
        </w:trPr>
        <w:tc>
          <w:tcPr>
            <w:tcW w:w="400" w:type="pct"/>
          </w:tcPr>
          <w:p w:rsidR="009534E2" w:rsidRDefault="009534E2">
            <w:pPr>
              <w:keepNext/>
              <w:keepLines/>
              <w:rPr>
                <w:rFonts w:eastAsia="Times New Roman" w:asciiTheme="majorHAnsi" w:hAnsiTheme="majorHAnsi" w:cstheme="majorHAnsi"/>
                <w:sz w:val="19"/>
                <w:szCs w:val="19"/>
                <w:lang w:eastAsia="ru-RU"/>
              </w:rPr>
            </w:pPr>
          </w:p>
        </w:tc>
        <w:tc>
          <w:tcPr>
            <w:tcW w:w="100" w:type="pct"/>
            <w:vAlign w:val="bottom"/>
          </w:tcPr>
          <w:p w:rsidR="009534E2" w:rsidRDefault="009534E2">
            <w:pPr>
              <w:keepNext/>
              <w:keepLines/>
              <w:rPr>
                <w:rFonts w:eastAsia="Times New Roman" w:asciiTheme="majorHAnsi" w:hAnsiTheme="majorHAnsi" w:cstheme="majorHAnsi"/>
                <w:sz w:val="19"/>
                <w:szCs w:val="19"/>
              </w:rPr>
            </w:pPr>
          </w:p>
        </w:tc>
        <w:tc>
          <w:tcPr>
            <w:tcW w:w="4500" w:type="pct"/>
          </w:tcPr>
          <w:p w:rsidR="009534E2" w:rsidRDefault="009534E2">
            <w:pPr>
              <w:keepNext/>
              <w:keepLines/>
              <w:rPr>
                <w:rFonts w:asciiTheme="majorHAnsi" w:hAnsiTheme="majorHAnsi" w:cstheme="majorHAnsi"/>
                <w:sz w:val="19"/>
                <w:szCs w:val="19"/>
              </w:rPr>
            </w:pPr>
          </w:p>
        </w:tc>
      </w:tr>
      <w:tr w:rsidR="009534E2">
        <w:trPr>
          <w:cantSplit/>
          <w:jc w:val="center"/>
        </w:trPr>
        <w:tc>
          <w:tcPr>
            <w:tcW w:w="400" w:type="pct"/>
            <w:hideMark/>
          </w:tcPr>
          <w:p w:rsidR="009534E2" w:rsidRDefault="003369EB">
            <w:pPr>
              <w:keepNext/>
              <w:keepLines/>
              <w:ind w:left="144" w:hanging="144"/>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2.4</w:t>
            </w:r>
          </w:p>
        </w:tc>
        <w:tc>
          <w:tcPr>
            <w:tcW w:w="100" w:type="pct"/>
            <w:vAlign w:val="bottom"/>
          </w:tcPr>
          <w:p w:rsidR="009534E2" w:rsidRDefault="009534E2">
            <w:pPr>
              <w:keepNext/>
              <w:keepLines/>
              <w:rPr>
                <w:rFonts w:eastAsia="Times New Roman" w:asciiTheme="majorHAnsi" w:hAnsiTheme="majorHAnsi" w:cstheme="majorHAnsi"/>
                <w:sz w:val="19"/>
                <w:szCs w:val="19"/>
              </w:rPr>
            </w:pPr>
          </w:p>
        </w:tc>
        <w:tc>
          <w:tcPr>
            <w:tcW w:w="4500" w:type="pct"/>
            <w:hideMark/>
          </w:tcPr>
          <w:p w:rsidR="009534E2" w:rsidRDefault="00EC0AE1">
            <w:pPr>
              <w:keepNext/>
              <w:keepLines/>
              <w:rPr>
                <w:rFonts w:eastAsia="Times New Roman" w:asciiTheme="majorHAnsi" w:hAnsiTheme="majorHAnsi" w:cstheme="majorHAnsi"/>
                <w:sz w:val="19"/>
                <w:szCs w:val="19"/>
              </w:rPr>
            </w:pPr>
            <w:hyperlink w:tooltip="Exhibit_Hyperlink:qiwi_Ex2_4" w:history="1" w:anchor="Exhibit:qiwi_Ex2_4" r:id="rId15">
              <w:r w:rsidR="003369EB">
                <w:rPr>
                  <w:rStyle w:val="Hyperlink"/>
                  <w:rFonts w:eastAsia="Times New Roman" w:asciiTheme="majorHAnsi" w:hAnsiTheme="majorHAnsi" w:cstheme="majorHAnsi"/>
                  <w:sz w:val="19"/>
                  <w:szCs w:val="19"/>
                  <w:lang w:eastAsia="ru-RU"/>
                </w:rPr>
                <w:t>Description of Securities</w:t>
              </w:r>
            </w:hyperlink>
          </w:p>
        </w:tc>
      </w:tr>
      <w:tr w:rsidR="009534E2">
        <w:trPr>
          <w:cantSplit/>
          <w:jc w:val="center"/>
        </w:trPr>
        <w:tc>
          <w:tcPr>
            <w:tcW w:w="400" w:type="pct"/>
          </w:tcPr>
          <w:p w:rsidR="009534E2" w:rsidRDefault="009534E2">
            <w:pPr>
              <w:keepNext/>
              <w:keepLines/>
              <w:rPr>
                <w:rFonts w:eastAsia="Times New Roman" w:asciiTheme="majorHAnsi" w:hAnsiTheme="majorHAnsi" w:cstheme="majorHAnsi"/>
                <w:sz w:val="19"/>
                <w:szCs w:val="19"/>
                <w:lang w:eastAsia="ru-RU"/>
              </w:rPr>
            </w:pPr>
          </w:p>
        </w:tc>
        <w:tc>
          <w:tcPr>
            <w:tcW w:w="100" w:type="pct"/>
            <w:vAlign w:val="bottom"/>
          </w:tcPr>
          <w:p w:rsidR="009534E2" w:rsidRDefault="009534E2">
            <w:pPr>
              <w:keepNext/>
              <w:keepLines/>
              <w:rPr>
                <w:rFonts w:eastAsia="Times New Roman" w:asciiTheme="majorHAnsi" w:hAnsiTheme="majorHAnsi" w:cstheme="majorHAnsi"/>
                <w:sz w:val="19"/>
                <w:szCs w:val="19"/>
                <w:lang w:val="ru-RU" w:eastAsia="ru-RU"/>
              </w:rPr>
            </w:pPr>
          </w:p>
        </w:tc>
        <w:tc>
          <w:tcPr>
            <w:tcW w:w="4500" w:type="pct"/>
          </w:tcPr>
          <w:p w:rsidR="009534E2" w:rsidRDefault="009534E2">
            <w:pPr>
              <w:keepNext/>
              <w:keepLines/>
              <w:rPr>
                <w:rFonts w:asciiTheme="majorHAnsi" w:hAnsiTheme="majorHAnsi" w:cstheme="majorHAnsi"/>
                <w:sz w:val="19"/>
                <w:szCs w:val="19"/>
              </w:rPr>
            </w:pPr>
          </w:p>
        </w:tc>
      </w:tr>
      <w:tr w:rsidR="009534E2">
        <w:trPr>
          <w:cantSplit/>
          <w:jc w:val="center"/>
        </w:trPr>
        <w:tc>
          <w:tcPr>
            <w:tcW w:w="400" w:type="pct"/>
            <w:hideMark/>
          </w:tcPr>
          <w:p w:rsidR="009534E2" w:rsidRDefault="003369EB">
            <w:pPr>
              <w:keepNext/>
              <w:keepLines/>
              <w:ind w:left="144" w:hanging="144"/>
              <w:rPr>
                <w:rFonts w:eastAsia="Times New Roman" w:asciiTheme="majorHAnsi" w:hAnsiTheme="majorHAnsi" w:cstheme="majorHAnsi"/>
                <w:sz w:val="19"/>
                <w:szCs w:val="19"/>
              </w:rPr>
            </w:pPr>
            <w:r>
              <w:rPr>
                <w:rFonts w:eastAsia="Times New Roman" w:asciiTheme="majorHAnsi" w:hAnsiTheme="majorHAnsi" w:cstheme="majorHAnsi"/>
                <w:sz w:val="19"/>
                <w:szCs w:val="19"/>
                <w:lang w:eastAsia="ru-RU"/>
              </w:rPr>
              <w:t>4</w:t>
            </w:r>
            <w:r>
              <w:rPr>
                <w:rFonts w:eastAsia="Times New Roman" w:asciiTheme="majorHAnsi" w:hAnsiTheme="majorHAnsi" w:cstheme="majorHAnsi"/>
                <w:sz w:val="19"/>
                <w:szCs w:val="19"/>
                <w:lang w:val="ru-RU" w:eastAsia="ru-RU"/>
              </w:rPr>
              <w:t>.</w:t>
            </w:r>
            <w:r>
              <w:rPr>
                <w:rFonts w:eastAsia="Times New Roman" w:asciiTheme="majorHAnsi" w:hAnsiTheme="majorHAnsi" w:cstheme="majorHAnsi"/>
                <w:sz w:val="19"/>
                <w:szCs w:val="19"/>
                <w:lang w:eastAsia="ru-RU"/>
              </w:rPr>
              <w:t>1</w:t>
            </w:r>
          </w:p>
        </w:tc>
        <w:tc>
          <w:tcPr>
            <w:tcW w:w="100" w:type="pct"/>
            <w:vAlign w:val="bottom"/>
            <w:hideMark/>
          </w:tcPr>
          <w:p w:rsidR="009534E2" w:rsidRDefault="003369EB">
            <w:pPr>
              <w:keepNext/>
              <w:keepLines/>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  </w:t>
            </w:r>
          </w:p>
        </w:tc>
        <w:tc>
          <w:tcPr>
            <w:tcW w:w="4500" w:type="pct"/>
            <w:hideMark/>
          </w:tcPr>
          <w:p w:rsidR="009534E2" w:rsidRDefault="00EC0AE1">
            <w:pPr>
              <w:keepNext/>
              <w:keepLines/>
              <w:rPr>
                <w:rFonts w:eastAsia="Times New Roman" w:asciiTheme="majorHAnsi" w:hAnsiTheme="majorHAnsi" w:cstheme="majorHAnsi"/>
                <w:sz w:val="19"/>
                <w:szCs w:val="19"/>
              </w:rPr>
            </w:pPr>
            <w:hyperlink w:tooltip="External_Link:https://www.sec.gov/Archives/edgar/data/1561566/000119312513369366/d595020dex45.htm" w:history="1" w:anchor="Exhibit:https://www.sec.gov/Archives/edgar/data/1561566/000119312513369366/d595020dex45.htm" r:id="rId16">
              <w:r w:rsidR="003369EB">
                <w:rPr>
                  <w:rStyle w:val="Hyperlink"/>
                  <w:rFonts w:eastAsia="Times New Roman" w:asciiTheme="majorHAnsi" w:hAnsiTheme="majorHAnsi" w:cstheme="majorHAnsi"/>
                  <w:sz w:val="19"/>
                  <w:szCs w:val="19"/>
                  <w:lang w:eastAsia="ru-RU"/>
                </w:rPr>
                <w:t>Form of Amended and Restated Registration Rights Agreement among Saldivar Investments Limited, Sergey A. Solonin, Palmway Holdings Limited, Antana International Corporation, Andrey N. Romanenko, Dargle International Limited, Igor N. Mikhailov, Bralvo Limited, E1 Limited, Mail.ru Group Limited and Mitsui &amp; Co., Ltd., and QIWI plc. (incorporated by reference to Exhibit 4.5 to QIWI plc’s Registration Statement on Form F-1, File No. 333-191221, filed on September 30, 2013)</w:t>
              </w:r>
            </w:hyperlink>
          </w:p>
        </w:tc>
      </w:tr>
      <w:tr w:rsidR="009534E2">
        <w:trPr>
          <w:cantSplit/>
          <w:jc w:val="center"/>
        </w:trPr>
        <w:tc>
          <w:tcPr>
            <w:tcW w:w="400" w:type="pct"/>
          </w:tcPr>
          <w:p w:rsidR="009534E2" w:rsidRDefault="009534E2">
            <w:pPr>
              <w:keepNext/>
              <w:rPr>
                <w:rFonts w:eastAsia="Times New Roman" w:asciiTheme="majorHAnsi" w:hAnsiTheme="majorHAnsi" w:cstheme="majorHAnsi"/>
                <w:sz w:val="19"/>
                <w:szCs w:val="19"/>
                <w:lang w:eastAsia="ru-RU"/>
              </w:rPr>
            </w:pPr>
          </w:p>
        </w:tc>
        <w:tc>
          <w:tcPr>
            <w:tcW w:w="100" w:type="pct"/>
            <w:vAlign w:val="bottom"/>
          </w:tcPr>
          <w:p w:rsidR="009534E2" w:rsidRDefault="009534E2">
            <w:pPr>
              <w:keepNext/>
              <w:rPr>
                <w:rFonts w:eastAsia="Times New Roman" w:asciiTheme="majorHAnsi" w:hAnsiTheme="majorHAnsi" w:cstheme="majorHAnsi"/>
                <w:sz w:val="19"/>
                <w:szCs w:val="19"/>
              </w:rPr>
            </w:pPr>
          </w:p>
        </w:tc>
        <w:tc>
          <w:tcPr>
            <w:tcW w:w="4500" w:type="pct"/>
          </w:tcPr>
          <w:p w:rsidR="009534E2" w:rsidRDefault="009534E2">
            <w:pPr>
              <w:keepNext/>
              <w:rPr>
                <w:rFonts w:asciiTheme="majorHAnsi" w:hAnsiTheme="majorHAnsi" w:cstheme="majorHAnsi"/>
                <w:sz w:val="19"/>
                <w:szCs w:val="19"/>
              </w:rPr>
            </w:pPr>
          </w:p>
        </w:tc>
      </w:tr>
      <w:tr w:rsidR="009534E2">
        <w:trPr>
          <w:cantSplit/>
          <w:jc w:val="center"/>
        </w:trPr>
        <w:tc>
          <w:tcPr>
            <w:tcW w:w="400" w:type="pct"/>
            <w:hideMark/>
          </w:tcPr>
          <w:p w:rsidR="009534E2" w:rsidRDefault="003369EB">
            <w:pPr>
              <w:keepNext/>
              <w:ind w:left="144" w:hanging="144"/>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4.3</w:t>
            </w:r>
          </w:p>
        </w:tc>
        <w:tc>
          <w:tcPr>
            <w:tcW w:w="100" w:type="pct"/>
            <w:vAlign w:val="bottom"/>
          </w:tcPr>
          <w:p w:rsidR="009534E2" w:rsidRDefault="009534E2">
            <w:pPr>
              <w:keepNext/>
              <w:rPr>
                <w:rFonts w:eastAsia="Times New Roman" w:asciiTheme="majorHAnsi" w:hAnsiTheme="majorHAnsi" w:cstheme="majorHAnsi"/>
                <w:sz w:val="19"/>
                <w:szCs w:val="19"/>
              </w:rPr>
            </w:pPr>
          </w:p>
        </w:tc>
        <w:tc>
          <w:tcPr>
            <w:tcW w:w="4500" w:type="pct"/>
            <w:hideMark/>
          </w:tcPr>
          <w:p w:rsidR="009534E2" w:rsidRDefault="00EC0AE1">
            <w:pPr>
              <w:keepNext/>
              <w:rPr>
                <w:rFonts w:eastAsia="Times New Roman" w:asciiTheme="majorHAnsi" w:hAnsiTheme="majorHAnsi" w:cstheme="majorHAnsi"/>
                <w:sz w:val="19"/>
                <w:szCs w:val="19"/>
              </w:rPr>
            </w:pPr>
            <w:hyperlink w:tooltip="External_Link:https://www.sec.gov/Archives/edgar/data/1561566/000110465922053557/qiwi-20211231xex4d3.htm" w:history="1" w:anchor="Exhibit:https://www.sec.gov/Archives/edgar/data/1561566/000110465922053557/qiwi-20211231xex4d3.htm" r:id="rId17">
              <w:r w:rsidR="003369EB">
                <w:rPr>
                  <w:rStyle w:val="Hyperlink"/>
                  <w:rFonts w:eastAsia="Times New Roman" w:asciiTheme="majorHAnsi" w:hAnsiTheme="majorHAnsi" w:cstheme="majorHAnsi"/>
                  <w:sz w:val="19"/>
                  <w:szCs w:val="19"/>
                  <w:lang w:eastAsia="ru-RU"/>
                </w:rPr>
                <w:t>The agreement for the transfer of the ownership of the shares related to the project Tochka (incorporated by reference to Exhibit 4.3 to QIWI plc’s Registration Statement on Form 20-F, File No. 001-35893, filed on April 29, 2022)</w:t>
              </w:r>
            </w:hyperlink>
          </w:p>
        </w:tc>
      </w:tr>
      <w:tr w:rsidR="009534E2">
        <w:trPr>
          <w:cantSplit/>
          <w:jc w:val="center"/>
        </w:trPr>
        <w:tc>
          <w:tcPr>
            <w:tcW w:w="400" w:type="pct"/>
          </w:tcPr>
          <w:p w:rsidR="009534E2" w:rsidRDefault="009534E2">
            <w:pPr>
              <w:keepNext/>
              <w:rPr>
                <w:rFonts w:eastAsia="Times New Roman" w:asciiTheme="majorHAnsi" w:hAnsiTheme="majorHAnsi" w:cstheme="majorHAnsi"/>
                <w:sz w:val="19"/>
                <w:szCs w:val="19"/>
                <w:lang w:val="ru-RU" w:eastAsia="ru-RU"/>
              </w:rPr>
            </w:pPr>
          </w:p>
        </w:tc>
        <w:tc>
          <w:tcPr>
            <w:tcW w:w="100" w:type="pct"/>
            <w:vAlign w:val="bottom"/>
          </w:tcPr>
          <w:p w:rsidR="009534E2" w:rsidRDefault="009534E2">
            <w:pPr>
              <w:keepNext/>
              <w:rPr>
                <w:rFonts w:eastAsia="Times New Roman" w:asciiTheme="majorHAnsi" w:hAnsiTheme="majorHAnsi" w:cstheme="majorHAnsi"/>
                <w:sz w:val="19"/>
                <w:szCs w:val="19"/>
                <w:lang w:val="ru-RU" w:eastAsia="ru-RU"/>
              </w:rPr>
            </w:pPr>
          </w:p>
        </w:tc>
        <w:tc>
          <w:tcPr>
            <w:tcW w:w="4500" w:type="pct"/>
          </w:tcPr>
          <w:p w:rsidR="009534E2" w:rsidRDefault="009534E2">
            <w:pPr>
              <w:keepNext/>
              <w:rPr>
                <w:rFonts w:asciiTheme="majorHAnsi" w:hAnsiTheme="majorHAnsi" w:cstheme="majorHAnsi"/>
                <w:sz w:val="19"/>
                <w:szCs w:val="19"/>
              </w:rPr>
            </w:pPr>
          </w:p>
        </w:tc>
      </w:tr>
      <w:tr w:rsidR="009534E2">
        <w:trPr>
          <w:cantSplit/>
          <w:jc w:val="center"/>
        </w:trPr>
        <w:tc>
          <w:tcPr>
            <w:tcW w:w="400" w:type="pct"/>
            <w:hideMark/>
          </w:tcPr>
          <w:p w:rsidR="009534E2" w:rsidRDefault="003369EB">
            <w:pPr>
              <w:keepNext/>
              <w:ind w:left="144" w:hanging="144"/>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8.1</w:t>
            </w:r>
          </w:p>
        </w:tc>
        <w:tc>
          <w:tcPr>
            <w:tcW w:w="100" w:type="pct"/>
            <w:vAlign w:val="bottom"/>
            <w:hideMark/>
          </w:tcPr>
          <w:p w:rsidR="009534E2" w:rsidRDefault="003369EB">
            <w:pPr>
              <w:keepNext/>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  </w:t>
            </w:r>
          </w:p>
        </w:tc>
        <w:tc>
          <w:tcPr>
            <w:tcW w:w="4500" w:type="pct"/>
            <w:hideMark/>
          </w:tcPr>
          <w:p w:rsidR="009534E2" w:rsidRDefault="00EC0AE1">
            <w:pPr>
              <w:keepNext/>
              <w:rPr>
                <w:rFonts w:eastAsia="Times New Roman" w:asciiTheme="majorHAnsi" w:hAnsiTheme="majorHAnsi" w:cstheme="majorHAnsi"/>
                <w:sz w:val="19"/>
                <w:szCs w:val="19"/>
              </w:rPr>
            </w:pPr>
            <w:hyperlink w:tooltip="Exhibit_Hyperlink:qiwi_Ex8_1" w:history="1" w:anchor="Exhibit:qiwi_Ex8_1" r:id="rId18">
              <w:r w:rsidR="003369EB">
                <w:rPr>
                  <w:rStyle w:val="Hyperlink"/>
                  <w:rFonts w:eastAsia="Times New Roman" w:asciiTheme="majorHAnsi" w:hAnsiTheme="majorHAnsi" w:cstheme="majorHAnsi"/>
                  <w:sz w:val="19"/>
                  <w:szCs w:val="19"/>
                  <w:lang w:val="ru-RU" w:eastAsia="ru-RU"/>
                </w:rPr>
                <w:t>Subsidiaries of the Registrant</w:t>
              </w:r>
            </w:hyperlink>
          </w:p>
        </w:tc>
      </w:tr>
      <w:tr w:rsidR="009534E2">
        <w:trPr>
          <w:cantSplit/>
          <w:jc w:val="center"/>
        </w:trPr>
        <w:tc>
          <w:tcPr>
            <w:tcW w:w="400" w:type="pct"/>
          </w:tcPr>
          <w:p w:rsidR="009534E2" w:rsidRDefault="009534E2">
            <w:pPr>
              <w:keepNext/>
              <w:rPr>
                <w:rFonts w:eastAsia="Times New Roman" w:asciiTheme="majorHAnsi" w:hAnsiTheme="majorHAnsi" w:cstheme="majorHAnsi"/>
                <w:sz w:val="19"/>
                <w:szCs w:val="19"/>
                <w:lang w:val="ru-RU" w:eastAsia="ru-RU"/>
              </w:rPr>
            </w:pPr>
          </w:p>
        </w:tc>
        <w:tc>
          <w:tcPr>
            <w:tcW w:w="100" w:type="pct"/>
            <w:vAlign w:val="bottom"/>
          </w:tcPr>
          <w:p w:rsidR="009534E2" w:rsidRDefault="009534E2">
            <w:pPr>
              <w:keepNext/>
              <w:rPr>
                <w:rFonts w:eastAsia="Times New Roman" w:asciiTheme="majorHAnsi" w:hAnsiTheme="majorHAnsi" w:cstheme="majorHAnsi"/>
                <w:sz w:val="19"/>
                <w:szCs w:val="19"/>
                <w:lang w:val="ru-RU" w:eastAsia="ru-RU"/>
              </w:rPr>
            </w:pPr>
          </w:p>
        </w:tc>
        <w:tc>
          <w:tcPr>
            <w:tcW w:w="4500" w:type="pct"/>
          </w:tcPr>
          <w:p w:rsidR="009534E2" w:rsidRDefault="009534E2">
            <w:pPr>
              <w:keepNext/>
              <w:rPr>
                <w:rFonts w:asciiTheme="majorHAnsi" w:hAnsiTheme="majorHAnsi" w:cstheme="majorHAnsi"/>
                <w:sz w:val="19"/>
                <w:szCs w:val="19"/>
              </w:rPr>
            </w:pPr>
          </w:p>
        </w:tc>
      </w:tr>
      <w:tr w:rsidR="009534E2">
        <w:trPr>
          <w:cantSplit/>
          <w:jc w:val="center"/>
        </w:trPr>
        <w:tc>
          <w:tcPr>
            <w:tcW w:w="400" w:type="pct"/>
            <w:hideMark/>
          </w:tcPr>
          <w:p w:rsidR="009534E2" w:rsidRDefault="003369EB">
            <w:pPr>
              <w:keepNext/>
              <w:ind w:left="144" w:hanging="144"/>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12.1</w:t>
            </w:r>
          </w:p>
        </w:tc>
        <w:tc>
          <w:tcPr>
            <w:tcW w:w="100" w:type="pct"/>
            <w:vAlign w:val="bottom"/>
            <w:hideMark/>
          </w:tcPr>
          <w:p w:rsidR="009534E2" w:rsidRDefault="003369EB">
            <w:pPr>
              <w:keepNext/>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  </w:t>
            </w:r>
          </w:p>
        </w:tc>
        <w:tc>
          <w:tcPr>
            <w:tcW w:w="4500" w:type="pct"/>
            <w:hideMark/>
          </w:tcPr>
          <w:p w:rsidR="009534E2" w:rsidRDefault="00EC0AE1">
            <w:pPr>
              <w:keepNext/>
              <w:rPr>
                <w:rFonts w:eastAsia="Times New Roman" w:asciiTheme="majorHAnsi" w:hAnsiTheme="majorHAnsi" w:cstheme="majorHAnsi"/>
                <w:sz w:val="19"/>
                <w:szCs w:val="19"/>
              </w:rPr>
            </w:pPr>
            <w:hyperlink w:tooltip="Exhibit_Hyperlink:qiwi_Ex12_1" w:history="1" w:anchor="Exhibit:qiwi_Ex12_1" r:id="rId19">
              <w:r w:rsidR="003369EB">
                <w:rPr>
                  <w:rStyle w:val="Hyperlink"/>
                  <w:rFonts w:eastAsia="Times New Roman" w:asciiTheme="majorHAnsi" w:hAnsiTheme="majorHAnsi" w:cstheme="majorHAnsi"/>
                  <w:sz w:val="19"/>
                  <w:szCs w:val="19"/>
                  <w:lang w:eastAsia="ru-RU"/>
                </w:rPr>
                <w:t>Certification of Andrey Protopopov, Chief Executive Officer of QIWI plc, pursuant to Section 302 of the Sarbanes-Oxley Act of 2002.</w:t>
              </w:r>
            </w:hyperlink>
            <w:r w:rsidR="003369EB">
              <w:rPr>
                <w:rFonts w:eastAsia="Times New Roman" w:asciiTheme="majorHAnsi" w:hAnsiTheme="majorHAnsi" w:cstheme="majorHAnsi"/>
                <w:sz w:val="19"/>
                <w:szCs w:val="19"/>
                <w:lang w:eastAsia="ru-RU"/>
              </w:rPr>
              <w:t xml:space="preserve"> </w:t>
            </w:r>
          </w:p>
        </w:tc>
      </w:tr>
      <w:tr w:rsidR="009534E2">
        <w:trPr>
          <w:cantSplit/>
          <w:jc w:val="center"/>
        </w:trPr>
        <w:tc>
          <w:tcPr>
            <w:tcW w:w="400" w:type="pct"/>
          </w:tcPr>
          <w:p w:rsidR="009534E2" w:rsidRDefault="009534E2">
            <w:pPr>
              <w:keepNext/>
              <w:rPr>
                <w:rFonts w:eastAsia="Times New Roman" w:asciiTheme="majorHAnsi" w:hAnsiTheme="majorHAnsi" w:cstheme="majorHAnsi"/>
                <w:sz w:val="19"/>
                <w:szCs w:val="19"/>
                <w:lang w:val="ru-RU" w:eastAsia="ru-RU"/>
              </w:rPr>
            </w:pPr>
          </w:p>
        </w:tc>
        <w:tc>
          <w:tcPr>
            <w:tcW w:w="100" w:type="pct"/>
            <w:vAlign w:val="bottom"/>
          </w:tcPr>
          <w:p w:rsidR="009534E2" w:rsidRDefault="009534E2">
            <w:pPr>
              <w:keepNext/>
              <w:rPr>
                <w:rFonts w:eastAsia="Times New Roman" w:asciiTheme="majorHAnsi" w:hAnsiTheme="majorHAnsi" w:cstheme="majorHAnsi"/>
                <w:sz w:val="19"/>
                <w:szCs w:val="19"/>
                <w:lang w:val="ru-RU" w:eastAsia="ru-RU"/>
              </w:rPr>
            </w:pPr>
          </w:p>
        </w:tc>
        <w:tc>
          <w:tcPr>
            <w:tcW w:w="4500" w:type="pct"/>
          </w:tcPr>
          <w:p w:rsidR="009534E2" w:rsidRDefault="009534E2">
            <w:pPr>
              <w:keepNext/>
              <w:rPr>
                <w:rFonts w:asciiTheme="majorHAnsi" w:hAnsiTheme="majorHAnsi" w:cstheme="majorHAnsi"/>
                <w:sz w:val="19"/>
                <w:szCs w:val="19"/>
              </w:rPr>
            </w:pPr>
          </w:p>
        </w:tc>
      </w:tr>
      <w:tr w:rsidR="009534E2">
        <w:trPr>
          <w:cantSplit/>
          <w:jc w:val="center"/>
        </w:trPr>
        <w:tc>
          <w:tcPr>
            <w:tcW w:w="400" w:type="pct"/>
            <w:hideMark/>
          </w:tcPr>
          <w:p w:rsidR="009534E2" w:rsidRDefault="003369EB">
            <w:pPr>
              <w:keepNext/>
              <w:ind w:left="144" w:hanging="144"/>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12.2</w:t>
            </w:r>
          </w:p>
        </w:tc>
        <w:tc>
          <w:tcPr>
            <w:tcW w:w="100" w:type="pct"/>
            <w:vAlign w:val="bottom"/>
            <w:hideMark/>
          </w:tcPr>
          <w:p w:rsidR="009534E2" w:rsidRDefault="003369EB">
            <w:pPr>
              <w:keepNext/>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  </w:t>
            </w:r>
          </w:p>
        </w:tc>
        <w:tc>
          <w:tcPr>
            <w:tcW w:w="4500" w:type="pct"/>
            <w:hideMark/>
          </w:tcPr>
          <w:p w:rsidR="009534E2" w:rsidRDefault="00EC0AE1">
            <w:pPr>
              <w:keepNext/>
              <w:rPr>
                <w:rFonts w:eastAsia="Times New Roman" w:asciiTheme="majorHAnsi" w:hAnsiTheme="majorHAnsi" w:cstheme="majorHAnsi"/>
                <w:sz w:val="19"/>
                <w:szCs w:val="19"/>
              </w:rPr>
            </w:pPr>
            <w:hyperlink w:tooltip="Exhibit_Hyperlink:qiwi_Ex12_2" w:history="1" w:anchor="Exhibit:qiwi_Ex12_2" r:id="rId20">
              <w:r w:rsidR="003369EB">
                <w:rPr>
                  <w:rStyle w:val="Hyperlink"/>
                  <w:rFonts w:eastAsia="Times New Roman" w:asciiTheme="majorHAnsi" w:hAnsiTheme="majorHAnsi" w:cstheme="majorHAnsi"/>
                  <w:sz w:val="19"/>
                  <w:szCs w:val="19"/>
                  <w:lang w:eastAsia="ru-RU"/>
                </w:rPr>
                <w:t>Certification of Alexey Mashchenkov, Chief Financial Officer of QIWI plc, pursuant to Section 302 of the Sarbanes-Oxley Act of 2002.</w:t>
              </w:r>
            </w:hyperlink>
          </w:p>
        </w:tc>
      </w:tr>
      <w:tr w:rsidR="009534E2">
        <w:trPr>
          <w:cantSplit/>
          <w:jc w:val="center"/>
        </w:trPr>
        <w:tc>
          <w:tcPr>
            <w:tcW w:w="400" w:type="pct"/>
          </w:tcPr>
          <w:p w:rsidR="009534E2" w:rsidRDefault="009534E2">
            <w:pPr>
              <w:keepNext/>
              <w:rPr>
                <w:rFonts w:eastAsia="Times New Roman" w:asciiTheme="majorHAnsi" w:hAnsiTheme="majorHAnsi" w:cstheme="majorHAnsi"/>
                <w:sz w:val="19"/>
                <w:szCs w:val="19"/>
                <w:lang w:val="ru-RU" w:eastAsia="ru-RU"/>
              </w:rPr>
            </w:pPr>
          </w:p>
        </w:tc>
        <w:tc>
          <w:tcPr>
            <w:tcW w:w="100" w:type="pct"/>
            <w:vAlign w:val="bottom"/>
          </w:tcPr>
          <w:p w:rsidR="009534E2" w:rsidRDefault="009534E2">
            <w:pPr>
              <w:keepNext/>
              <w:rPr>
                <w:rFonts w:eastAsia="Times New Roman" w:asciiTheme="majorHAnsi" w:hAnsiTheme="majorHAnsi" w:cstheme="majorHAnsi"/>
                <w:sz w:val="19"/>
                <w:szCs w:val="19"/>
                <w:lang w:val="ru-RU" w:eastAsia="ru-RU"/>
              </w:rPr>
            </w:pPr>
          </w:p>
        </w:tc>
        <w:tc>
          <w:tcPr>
            <w:tcW w:w="4500" w:type="pct"/>
          </w:tcPr>
          <w:p w:rsidR="009534E2" w:rsidRDefault="009534E2">
            <w:pPr>
              <w:keepNext/>
              <w:rPr>
                <w:rFonts w:asciiTheme="majorHAnsi" w:hAnsiTheme="majorHAnsi" w:cstheme="majorHAnsi"/>
                <w:sz w:val="19"/>
                <w:szCs w:val="19"/>
              </w:rPr>
            </w:pPr>
          </w:p>
        </w:tc>
      </w:tr>
      <w:tr w:rsidR="009534E2">
        <w:trPr>
          <w:cantSplit/>
          <w:jc w:val="center"/>
        </w:trPr>
        <w:tc>
          <w:tcPr>
            <w:tcW w:w="400" w:type="pct"/>
            <w:hideMark/>
          </w:tcPr>
          <w:p w:rsidR="009534E2" w:rsidRDefault="003369EB">
            <w:pPr>
              <w:keepNext/>
              <w:ind w:left="144" w:hanging="144"/>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13.1</w:t>
            </w:r>
          </w:p>
        </w:tc>
        <w:tc>
          <w:tcPr>
            <w:tcW w:w="100" w:type="pct"/>
            <w:vAlign w:val="bottom"/>
            <w:hideMark/>
          </w:tcPr>
          <w:p w:rsidR="009534E2" w:rsidRDefault="003369EB">
            <w:pPr>
              <w:keepNext/>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  </w:t>
            </w:r>
          </w:p>
        </w:tc>
        <w:tc>
          <w:tcPr>
            <w:tcW w:w="4500" w:type="pct"/>
            <w:hideMark/>
          </w:tcPr>
          <w:p w:rsidR="009534E2" w:rsidRDefault="00EC0AE1">
            <w:pPr>
              <w:keepNext/>
              <w:rPr>
                <w:rFonts w:eastAsia="Times New Roman" w:asciiTheme="majorHAnsi" w:hAnsiTheme="majorHAnsi" w:cstheme="majorHAnsi"/>
                <w:sz w:val="19"/>
                <w:szCs w:val="19"/>
              </w:rPr>
            </w:pPr>
            <w:hyperlink w:tooltip="Exhibit_Hyperlink:qiwi_Ex13_1" w:history="1" w:anchor="Exhibit:qiwi_Ex13_1" r:id="rId21">
              <w:r w:rsidR="003369EB">
                <w:rPr>
                  <w:rStyle w:val="Hyperlink"/>
                  <w:rFonts w:eastAsia="Times New Roman" w:asciiTheme="majorHAnsi" w:hAnsiTheme="majorHAnsi" w:cstheme="majorHAnsi"/>
                  <w:sz w:val="19"/>
                  <w:szCs w:val="19"/>
                  <w:lang w:eastAsia="ru-RU"/>
                </w:rPr>
                <w:t>Certification of Chief Executive Officer and Chief Financial Officer pursuant to 18 USC. Section 1350, as adopted pursuant to Section 906 of the Sarbanes-Oxley Act of 2002</w:t>
              </w:r>
            </w:hyperlink>
          </w:p>
        </w:tc>
      </w:tr>
      <w:tr w:rsidR="009534E2">
        <w:trPr>
          <w:cantSplit/>
          <w:jc w:val="center"/>
        </w:trPr>
        <w:tc>
          <w:tcPr>
            <w:tcW w:w="400" w:type="pct"/>
          </w:tcPr>
          <w:p w:rsidR="009534E2" w:rsidRDefault="009534E2">
            <w:pPr>
              <w:keepNext/>
              <w:rPr>
                <w:rFonts w:eastAsia="Times New Roman" w:asciiTheme="majorHAnsi" w:hAnsiTheme="majorHAnsi" w:cstheme="majorHAnsi"/>
                <w:sz w:val="19"/>
                <w:szCs w:val="19"/>
                <w:lang w:val="ru-RU" w:eastAsia="ru-RU"/>
              </w:rPr>
            </w:pPr>
          </w:p>
        </w:tc>
        <w:tc>
          <w:tcPr>
            <w:tcW w:w="100" w:type="pct"/>
            <w:vAlign w:val="bottom"/>
          </w:tcPr>
          <w:p w:rsidR="009534E2" w:rsidRDefault="009534E2">
            <w:pPr>
              <w:keepNext/>
              <w:rPr>
                <w:rFonts w:eastAsia="Times New Roman" w:asciiTheme="majorHAnsi" w:hAnsiTheme="majorHAnsi" w:cstheme="majorHAnsi"/>
                <w:sz w:val="19"/>
                <w:szCs w:val="19"/>
                <w:lang w:val="ru-RU" w:eastAsia="ru-RU"/>
              </w:rPr>
            </w:pPr>
          </w:p>
        </w:tc>
        <w:tc>
          <w:tcPr>
            <w:tcW w:w="4500" w:type="pct"/>
          </w:tcPr>
          <w:p w:rsidR="009534E2" w:rsidRDefault="009534E2">
            <w:pPr>
              <w:keepNext/>
              <w:rPr>
                <w:rFonts w:eastAsia="Times New Roman" w:asciiTheme="majorHAnsi" w:hAnsiTheme="majorHAnsi" w:cstheme="majorHAnsi"/>
                <w:sz w:val="19"/>
                <w:szCs w:val="19"/>
                <w:lang w:eastAsia="ru-RU"/>
              </w:rPr>
            </w:pPr>
          </w:p>
        </w:tc>
      </w:tr>
      <w:tr w:rsidR="009534E2">
        <w:trPr>
          <w:cantSplit/>
          <w:jc w:val="center"/>
        </w:trPr>
        <w:tc>
          <w:tcPr>
            <w:tcW w:w="400" w:type="pct"/>
            <w:hideMark/>
          </w:tcPr>
          <w:p w:rsidR="009534E2" w:rsidRDefault="003369EB">
            <w:pPr>
              <w:keepNext/>
              <w:ind w:left="144" w:hanging="144"/>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15.1</w:t>
            </w:r>
          </w:p>
        </w:tc>
        <w:tc>
          <w:tcPr>
            <w:tcW w:w="100" w:type="pct"/>
            <w:vAlign w:val="bottom"/>
            <w:hideMark/>
          </w:tcPr>
          <w:p w:rsidR="009534E2" w:rsidRDefault="003369EB">
            <w:pPr>
              <w:keepNext/>
              <w:rPr>
                <w:rFonts w:eastAsia="Times New Roman" w:asciiTheme="majorHAnsi" w:hAnsiTheme="majorHAnsi" w:cstheme="majorHAnsi"/>
                <w:sz w:val="19"/>
                <w:szCs w:val="19"/>
              </w:rPr>
            </w:pPr>
            <w:r>
              <w:rPr>
                <w:rFonts w:eastAsia="Times New Roman" w:asciiTheme="majorHAnsi" w:hAnsiTheme="majorHAnsi" w:cstheme="majorHAnsi"/>
                <w:sz w:val="19"/>
                <w:szCs w:val="19"/>
                <w:lang w:val="ru-RU" w:eastAsia="ru-RU"/>
              </w:rPr>
              <w:t>  </w:t>
            </w:r>
          </w:p>
        </w:tc>
        <w:tc>
          <w:tcPr>
            <w:tcW w:w="4500" w:type="pct"/>
            <w:hideMark/>
          </w:tcPr>
          <w:p w:rsidR="009534E2" w:rsidRDefault="00EC0AE1">
            <w:pPr>
              <w:keepNext/>
              <w:rPr>
                <w:rFonts w:eastAsia="Times New Roman" w:asciiTheme="majorHAnsi" w:hAnsiTheme="majorHAnsi" w:cstheme="majorHAnsi"/>
                <w:sz w:val="19"/>
                <w:szCs w:val="19"/>
              </w:rPr>
            </w:pPr>
            <w:hyperlink w:tooltip="Exhibit_Hyperlink:qiwi_Ex15_1" w:history="1" w:anchor="Exhibit:qiwi_Ex15_1" r:id="rId22">
              <w:r w:rsidR="003369EB">
                <w:rPr>
                  <w:rStyle w:val="Hyperlink"/>
                  <w:rFonts w:eastAsia="Times New Roman" w:asciiTheme="majorHAnsi" w:hAnsiTheme="majorHAnsi" w:cstheme="majorHAnsi"/>
                  <w:sz w:val="19"/>
                  <w:szCs w:val="19"/>
                  <w:lang w:eastAsia="ru-RU"/>
                </w:rPr>
                <w:t>Consent of JSC “Kept”</w:t>
              </w:r>
            </w:hyperlink>
          </w:p>
        </w:tc>
      </w:tr>
      <w:tr w:rsidR="009534E2">
        <w:trPr>
          <w:cantSplit/>
          <w:jc w:val="center"/>
        </w:trPr>
        <w:tc>
          <w:tcPr>
            <w:tcW w:w="400" w:type="pct"/>
          </w:tcPr>
          <w:p w:rsidR="009534E2" w:rsidRDefault="009534E2">
            <w:pPr>
              <w:keepNext/>
              <w:rPr>
                <w:rFonts w:eastAsia="Times New Roman" w:asciiTheme="majorHAnsi" w:hAnsiTheme="majorHAnsi" w:cstheme="majorHAnsi"/>
                <w:sz w:val="19"/>
                <w:szCs w:val="19"/>
                <w:lang w:val="ru-RU" w:eastAsia="ru-RU"/>
              </w:rPr>
            </w:pPr>
          </w:p>
        </w:tc>
        <w:tc>
          <w:tcPr>
            <w:tcW w:w="100" w:type="pct"/>
            <w:vAlign w:val="bottom"/>
          </w:tcPr>
          <w:p w:rsidR="009534E2" w:rsidRDefault="009534E2">
            <w:pPr>
              <w:keepNext/>
              <w:rPr>
                <w:rFonts w:eastAsia="Times New Roman" w:asciiTheme="majorHAnsi" w:hAnsiTheme="majorHAnsi" w:cstheme="majorHAnsi"/>
                <w:sz w:val="19"/>
                <w:szCs w:val="19"/>
              </w:rPr>
            </w:pPr>
          </w:p>
        </w:tc>
        <w:tc>
          <w:tcPr>
            <w:tcW w:w="4500" w:type="pct"/>
          </w:tcPr>
          <w:p w:rsidR="009534E2" w:rsidRDefault="009534E2">
            <w:pPr>
              <w:keepNext/>
              <w:rPr>
                <w:rFonts w:eastAsia="Times New Roman" w:asciiTheme="majorHAnsi" w:hAnsiTheme="majorHAnsi" w:cstheme="majorHAnsi"/>
                <w:sz w:val="19"/>
                <w:szCs w:val="19"/>
                <w:lang w:eastAsia="ru-RU"/>
              </w:rPr>
            </w:pPr>
          </w:p>
        </w:tc>
      </w:tr>
      <w:tr w:rsidR="009534E2">
        <w:trPr>
          <w:cantSplit/>
          <w:jc w:val="center"/>
        </w:trPr>
        <w:tc>
          <w:tcPr>
            <w:tcW w:w="400" w:type="pct"/>
          </w:tcPr>
          <w:p w:rsidR="009534E2" w:rsidRDefault="003369EB">
            <w:pPr>
              <w:keepNext/>
              <w:rPr>
                <w:rFonts w:eastAsia="Times New Roman" w:asciiTheme="majorHAnsi" w:hAnsiTheme="majorHAnsi" w:cstheme="majorHAnsi"/>
                <w:sz w:val="19"/>
                <w:szCs w:val="19"/>
                <w:lang w:eastAsia="ru-RU"/>
              </w:rPr>
            </w:pPr>
            <w:r>
              <w:rPr>
                <w:rFonts w:eastAsia="Times New Roman" w:asciiTheme="majorHAnsi" w:hAnsiTheme="majorHAnsi" w:cstheme="majorHAnsi"/>
                <w:sz w:val="19"/>
                <w:szCs w:val="19"/>
                <w:lang w:eastAsia="ru-RU"/>
              </w:rPr>
              <w:t>1</w:t>
            </w:r>
            <w:r>
              <w:rPr>
                <w:rFonts w:asciiTheme="majorHAnsi" w:hAnsiTheme="majorHAnsi" w:cstheme="majorHAnsi"/>
                <w:sz w:val="19"/>
                <w:szCs w:val="19"/>
              </w:rPr>
              <w:t>5.2</w:t>
            </w:r>
          </w:p>
        </w:tc>
        <w:tc>
          <w:tcPr>
            <w:tcW w:w="100" w:type="pct"/>
            <w:vAlign w:val="bottom"/>
          </w:tcPr>
          <w:p w:rsidR="009534E2" w:rsidRDefault="009534E2">
            <w:pPr>
              <w:keepNext/>
              <w:rPr>
                <w:rFonts w:eastAsia="Times New Roman" w:asciiTheme="majorHAnsi" w:hAnsiTheme="majorHAnsi" w:cstheme="majorHAnsi"/>
                <w:sz w:val="19"/>
                <w:szCs w:val="19"/>
              </w:rPr>
            </w:pPr>
          </w:p>
        </w:tc>
        <w:tc>
          <w:tcPr>
            <w:tcW w:w="4500" w:type="pct"/>
          </w:tcPr>
          <w:p w:rsidR="009534E2" w:rsidRDefault="00EC0AE1">
            <w:pPr>
              <w:keepNext/>
              <w:rPr>
                <w:rFonts w:eastAsia="Times New Roman" w:asciiTheme="majorHAnsi" w:hAnsiTheme="majorHAnsi" w:cstheme="majorHAnsi"/>
                <w:sz w:val="19"/>
                <w:szCs w:val="19"/>
                <w:lang w:eastAsia="ru-RU"/>
              </w:rPr>
            </w:pPr>
            <w:hyperlink w:tooltip="Exhibit_Hyperlink:qiwi_Ex15_2" w:history="1" w:anchor="Exhibit:qiwi_Ex15_2" r:id="rId23">
              <w:r w:rsidR="003369EB">
                <w:rPr>
                  <w:rStyle w:val="Hyperlink"/>
                  <w:rFonts w:eastAsia="Times New Roman" w:asciiTheme="majorHAnsi" w:hAnsiTheme="majorHAnsi" w:cstheme="majorHAnsi"/>
                  <w:sz w:val="19"/>
                  <w:szCs w:val="19"/>
                  <w:lang w:eastAsia="ru-RU"/>
                </w:rPr>
                <w:t>Consent of TSATR - Audit Services</w:t>
              </w:r>
            </w:hyperlink>
            <w:r w:rsidR="003369EB">
              <w:rPr>
                <w:rStyle w:val="Hyperlink"/>
                <w:rFonts w:eastAsia="Times New Roman" w:asciiTheme="majorHAnsi" w:hAnsiTheme="majorHAnsi" w:cstheme="majorHAnsi"/>
                <w:sz w:val="19"/>
                <w:szCs w:val="19"/>
                <w:lang w:eastAsia="ru-RU"/>
              </w:rPr>
              <w:t xml:space="preserve"> LLC</w:t>
            </w:r>
          </w:p>
        </w:tc>
      </w:tr>
      <w:tr w:rsidR="009534E2">
        <w:trPr>
          <w:cantSplit/>
          <w:jc w:val="center"/>
        </w:trPr>
        <w:tc>
          <w:tcPr>
            <w:tcW w:w="400" w:type="pct"/>
          </w:tcPr>
          <w:p w:rsidR="009534E2" w:rsidRDefault="009534E2">
            <w:pPr>
              <w:keepNext/>
              <w:rPr>
                <w:rFonts w:eastAsia="Times New Roman" w:asciiTheme="majorHAnsi" w:hAnsiTheme="majorHAnsi" w:cstheme="majorHAnsi"/>
                <w:sz w:val="19"/>
                <w:szCs w:val="19"/>
                <w:lang w:val="ru-RU" w:eastAsia="ru-RU"/>
              </w:rPr>
            </w:pPr>
          </w:p>
        </w:tc>
        <w:tc>
          <w:tcPr>
            <w:tcW w:w="100" w:type="pct"/>
            <w:vAlign w:val="bottom"/>
          </w:tcPr>
          <w:p w:rsidR="009534E2" w:rsidRDefault="009534E2">
            <w:pPr>
              <w:keepNext/>
              <w:rPr>
                <w:rFonts w:eastAsia="Times New Roman" w:asciiTheme="majorHAnsi" w:hAnsiTheme="majorHAnsi" w:cstheme="majorHAnsi"/>
                <w:sz w:val="19"/>
                <w:szCs w:val="19"/>
              </w:rPr>
            </w:pPr>
          </w:p>
        </w:tc>
        <w:tc>
          <w:tcPr>
            <w:tcW w:w="4500" w:type="pct"/>
          </w:tcPr>
          <w:p w:rsidR="009534E2" w:rsidRDefault="009534E2">
            <w:pPr>
              <w:keepNext/>
              <w:rPr>
                <w:rFonts w:eastAsia="Times New Roman" w:asciiTheme="majorHAnsi" w:hAnsiTheme="majorHAnsi" w:cstheme="majorHAnsi"/>
                <w:sz w:val="19"/>
                <w:szCs w:val="19"/>
                <w:lang w:eastAsia="ru-RU"/>
              </w:rPr>
            </w:pPr>
          </w:p>
        </w:tc>
      </w:tr>
      <w:tr w:rsidR="009534E2">
        <w:trPr>
          <w:cantSplit/>
          <w:jc w:val="center"/>
        </w:trPr>
        <w:tc>
          <w:tcPr>
            <w:tcW w:w="400" w:type="pct"/>
            <w:hideMark/>
          </w:tcPr>
          <w:p w:rsidR="009534E2" w:rsidRDefault="003369EB">
            <w:pPr>
              <w:keepNext/>
              <w:ind w:left="144" w:hanging="144"/>
              <w:rPr>
                <w:rFonts w:eastAsia="Times New Roman" w:asciiTheme="majorHAnsi" w:hAnsiTheme="majorHAnsi" w:cstheme="majorHAnsi"/>
                <w:sz w:val="19"/>
                <w:szCs w:val="19"/>
              </w:rPr>
            </w:pPr>
            <w:r>
              <w:rPr>
                <w:rFonts w:eastAsia="Times New Roman" w:asciiTheme="majorHAnsi" w:hAnsiTheme="majorHAnsi" w:cstheme="majorHAnsi"/>
                <w:sz w:val="19"/>
                <w:szCs w:val="19"/>
                <w:lang w:eastAsia="ru-RU"/>
              </w:rPr>
              <w:t>1</w:t>
            </w:r>
            <w:r>
              <w:rPr>
                <w:rFonts w:asciiTheme="majorHAnsi" w:hAnsiTheme="majorHAnsi" w:cstheme="majorHAnsi"/>
                <w:sz w:val="19"/>
                <w:szCs w:val="19"/>
              </w:rPr>
              <w:t>6.1</w:t>
            </w:r>
          </w:p>
        </w:tc>
        <w:tc>
          <w:tcPr>
            <w:tcW w:w="100" w:type="pct"/>
            <w:vAlign w:val="bottom"/>
          </w:tcPr>
          <w:p w:rsidR="009534E2" w:rsidRDefault="009534E2">
            <w:pPr>
              <w:keepNext/>
              <w:rPr>
                <w:rFonts w:eastAsia="Times New Roman" w:asciiTheme="majorHAnsi" w:hAnsiTheme="majorHAnsi" w:cstheme="majorHAnsi"/>
                <w:sz w:val="19"/>
                <w:szCs w:val="19"/>
              </w:rPr>
            </w:pPr>
          </w:p>
        </w:tc>
        <w:tc>
          <w:tcPr>
            <w:tcW w:w="4500" w:type="pct"/>
            <w:hideMark/>
          </w:tcPr>
          <w:p w:rsidR="009534E2" w:rsidRDefault="00EC0AE1">
            <w:pPr>
              <w:keepNext/>
              <w:rPr>
                <w:rFonts w:eastAsia="Times New Roman" w:asciiTheme="majorHAnsi" w:hAnsiTheme="majorHAnsi" w:cstheme="majorHAnsi"/>
                <w:sz w:val="19"/>
                <w:szCs w:val="19"/>
              </w:rPr>
            </w:pPr>
            <w:hyperlink w:tooltip="Exhibit_Hyperlink:qiwi_Ex16_1" w:history="1" w:anchor="Exhibit:qiwi_Ex16_1" r:id="rId24">
              <w:r w:rsidR="003369EB">
                <w:rPr>
                  <w:rStyle w:val="Hyperlink"/>
                  <w:rFonts w:eastAsia="Times New Roman" w:asciiTheme="majorHAnsi" w:hAnsiTheme="majorHAnsi" w:cstheme="majorHAnsi"/>
                  <w:sz w:val="19"/>
                  <w:szCs w:val="19"/>
                  <w:lang w:eastAsia="ru-RU"/>
                </w:rPr>
                <w:t>Letter dated March 31, 2023 from TSATR – Audit Services</w:t>
              </w:r>
            </w:hyperlink>
            <w:r w:rsidR="003369EB">
              <w:rPr>
                <w:rStyle w:val="Hyperlink"/>
                <w:rFonts w:eastAsia="Times New Roman" w:asciiTheme="majorHAnsi" w:hAnsiTheme="majorHAnsi" w:cstheme="majorHAnsi"/>
                <w:sz w:val="19"/>
                <w:szCs w:val="19"/>
                <w:lang w:eastAsia="ru-RU"/>
              </w:rPr>
              <w:t xml:space="preserve"> LLC</w:t>
            </w:r>
          </w:p>
        </w:tc>
      </w:tr>
      <w:tr w:rsidR="009534E2">
        <w:trPr>
          <w:cantSplit/>
          <w:jc w:val="center"/>
        </w:trPr>
        <w:tc>
          <w:tcPr>
            <w:tcW w:w="400" w:type="pct"/>
            <w:noWrap/>
          </w:tcPr>
          <w:p w:rsidR="009534E2" w:rsidRDefault="009534E2">
            <w:pPr>
              <w:keepNext/>
              <w:rPr>
                <w:rFonts w:eastAsia="Times New Roman" w:asciiTheme="majorHAnsi" w:hAnsiTheme="majorHAnsi" w:cstheme="majorHAnsi"/>
                <w:color w:val="000000"/>
                <w:sz w:val="19"/>
                <w:szCs w:val="19"/>
                <w:lang w:eastAsia="ru-RU"/>
              </w:rPr>
            </w:pPr>
          </w:p>
        </w:tc>
        <w:tc>
          <w:tcPr>
            <w:tcW w:w="100" w:type="pct"/>
            <w:vAlign w:val="bottom"/>
          </w:tcPr>
          <w:p w:rsidR="009534E2" w:rsidRDefault="009534E2">
            <w:pPr>
              <w:keepNext/>
              <w:rPr>
                <w:rFonts w:eastAsia="Times New Roman" w:asciiTheme="majorHAnsi" w:hAnsiTheme="majorHAnsi" w:cstheme="majorHAnsi"/>
                <w:color w:val="000000"/>
                <w:sz w:val="19"/>
                <w:szCs w:val="19"/>
                <w:lang w:eastAsia="ru-RU"/>
              </w:rPr>
            </w:pPr>
          </w:p>
        </w:tc>
        <w:tc>
          <w:tcPr>
            <w:tcW w:w="4500" w:type="pct"/>
          </w:tcPr>
          <w:p w:rsidR="009534E2" w:rsidRDefault="009534E2">
            <w:pPr>
              <w:keepNext/>
              <w:rPr>
                <w:rFonts w:eastAsia="Times New Roman" w:asciiTheme="majorHAnsi" w:hAnsiTheme="majorHAnsi" w:cstheme="majorHAnsi"/>
                <w:color w:val="000000"/>
                <w:sz w:val="19"/>
                <w:szCs w:val="19"/>
                <w:lang w:eastAsia="ru-RU"/>
              </w:rPr>
            </w:pPr>
          </w:p>
        </w:tc>
      </w:tr>
      <w:tr w:rsidR="009534E2">
        <w:trPr>
          <w:cantSplit/>
          <w:jc w:val="center"/>
        </w:trPr>
        <w:tc>
          <w:tcPr>
            <w:tcW w:w="400" w:type="pct"/>
            <w:noWrap/>
            <w:hideMark/>
          </w:tcPr>
          <w:p w:rsidR="009534E2" w:rsidRDefault="003369EB">
            <w:pPr>
              <w:keepNext/>
              <w:ind w:left="144" w:hanging="144"/>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101.INS</w:t>
            </w:r>
          </w:p>
        </w:tc>
        <w:tc>
          <w:tcPr>
            <w:tcW w:w="100" w:type="pct"/>
            <w:vAlign w:val="bottom"/>
            <w:hideMark/>
          </w:tcPr>
          <w:p w:rsidR="009534E2" w:rsidRDefault="003369EB">
            <w:pPr>
              <w:keepNext/>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  </w:t>
            </w:r>
          </w:p>
        </w:tc>
        <w:tc>
          <w:tcPr>
            <w:tcW w:w="4500" w:type="pct"/>
            <w:hideMark/>
          </w:tcPr>
          <w:p w:rsidR="009534E2" w:rsidRDefault="003369EB">
            <w:pPr>
              <w:keepNext/>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XBRL Instance Document</w:t>
            </w:r>
          </w:p>
        </w:tc>
      </w:tr>
      <w:tr w:rsidR="009534E2">
        <w:trPr>
          <w:cantSplit/>
          <w:jc w:val="center"/>
        </w:trPr>
        <w:tc>
          <w:tcPr>
            <w:tcW w:w="400" w:type="pct"/>
            <w:noWrap/>
          </w:tcPr>
          <w:p w:rsidR="009534E2" w:rsidRDefault="009534E2">
            <w:pPr>
              <w:keepNext/>
              <w:ind w:left="144" w:hanging="144"/>
              <w:rPr>
                <w:rFonts w:eastAsia="Times New Roman" w:asciiTheme="majorHAnsi" w:hAnsiTheme="majorHAnsi" w:cstheme="majorHAnsi"/>
                <w:color w:val="000000"/>
                <w:sz w:val="19"/>
                <w:szCs w:val="19"/>
                <w:lang w:eastAsia="ru-RU"/>
              </w:rPr>
            </w:pPr>
          </w:p>
        </w:tc>
        <w:tc>
          <w:tcPr>
            <w:tcW w:w="100" w:type="pct"/>
            <w:vAlign w:val="bottom"/>
          </w:tcPr>
          <w:p w:rsidR="009534E2" w:rsidRDefault="009534E2">
            <w:pPr>
              <w:keepNext/>
              <w:rPr>
                <w:rFonts w:eastAsia="Times New Roman" w:asciiTheme="majorHAnsi" w:hAnsiTheme="majorHAnsi" w:cstheme="majorHAnsi"/>
                <w:color w:val="000000"/>
                <w:sz w:val="19"/>
                <w:szCs w:val="19"/>
                <w:lang w:eastAsia="ru-RU"/>
              </w:rPr>
            </w:pPr>
          </w:p>
        </w:tc>
        <w:tc>
          <w:tcPr>
            <w:tcW w:w="4500" w:type="pct"/>
          </w:tcPr>
          <w:p w:rsidR="009534E2" w:rsidRDefault="009534E2">
            <w:pPr>
              <w:keepNext/>
              <w:rPr>
                <w:rFonts w:eastAsia="Times New Roman" w:asciiTheme="majorHAnsi" w:hAnsiTheme="majorHAnsi" w:cstheme="majorHAnsi"/>
                <w:color w:val="000000"/>
                <w:sz w:val="19"/>
                <w:szCs w:val="19"/>
                <w:lang w:eastAsia="ru-RU"/>
              </w:rPr>
            </w:pPr>
          </w:p>
        </w:tc>
      </w:tr>
      <w:tr w:rsidR="009534E2">
        <w:trPr>
          <w:cantSplit/>
          <w:jc w:val="center"/>
        </w:trPr>
        <w:tc>
          <w:tcPr>
            <w:tcW w:w="400" w:type="pct"/>
            <w:noWrap/>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101.SCH</w:t>
            </w:r>
          </w:p>
        </w:tc>
        <w:tc>
          <w:tcPr>
            <w:tcW w:w="100" w:type="pct"/>
            <w:vAlign w:val="bottom"/>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  </w:t>
            </w:r>
          </w:p>
        </w:tc>
        <w:tc>
          <w:tcPr>
            <w:tcW w:w="4500" w:type="pct"/>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XBRL Taxonomy Extension Schema Document</w:t>
            </w:r>
          </w:p>
        </w:tc>
      </w:tr>
      <w:tr w:rsidR="009534E2">
        <w:trPr>
          <w:cantSplit/>
          <w:jc w:val="center"/>
        </w:trPr>
        <w:tc>
          <w:tcPr>
            <w:tcW w:w="400" w:type="pct"/>
            <w:noWrap/>
          </w:tcPr>
          <w:p w:rsidR="009534E2" w:rsidRDefault="009534E2">
            <w:pPr>
              <w:keepNext/>
              <w:widowControl w:val="0"/>
              <w:rPr>
                <w:rFonts w:eastAsia="Times New Roman" w:asciiTheme="majorHAnsi" w:hAnsiTheme="majorHAnsi" w:cstheme="majorHAnsi"/>
                <w:color w:val="000000"/>
                <w:sz w:val="19"/>
                <w:szCs w:val="19"/>
                <w:lang w:eastAsia="ru-RU"/>
              </w:rPr>
            </w:pPr>
          </w:p>
        </w:tc>
        <w:tc>
          <w:tcPr>
            <w:tcW w:w="100" w:type="pct"/>
            <w:vAlign w:val="bottom"/>
          </w:tcPr>
          <w:p w:rsidR="009534E2" w:rsidRDefault="009534E2">
            <w:pPr>
              <w:keepNext/>
              <w:widowControl w:val="0"/>
              <w:rPr>
                <w:rFonts w:eastAsia="Times New Roman" w:asciiTheme="majorHAnsi" w:hAnsiTheme="majorHAnsi" w:cstheme="majorHAnsi"/>
                <w:color w:val="000000"/>
                <w:sz w:val="19"/>
                <w:szCs w:val="19"/>
                <w:lang w:eastAsia="ru-RU"/>
              </w:rPr>
            </w:pPr>
          </w:p>
        </w:tc>
        <w:tc>
          <w:tcPr>
            <w:tcW w:w="4500" w:type="pct"/>
          </w:tcPr>
          <w:p w:rsidR="009534E2" w:rsidRDefault="009534E2">
            <w:pPr>
              <w:keepNext/>
              <w:widowControl w:val="0"/>
              <w:rPr>
                <w:rFonts w:eastAsia="Times New Roman" w:asciiTheme="majorHAnsi" w:hAnsiTheme="majorHAnsi" w:cstheme="majorHAnsi"/>
                <w:color w:val="000000"/>
                <w:sz w:val="19"/>
                <w:szCs w:val="19"/>
                <w:lang w:eastAsia="ru-RU"/>
              </w:rPr>
            </w:pPr>
          </w:p>
        </w:tc>
      </w:tr>
      <w:tr w:rsidR="009534E2">
        <w:trPr>
          <w:cantSplit/>
          <w:jc w:val="center"/>
        </w:trPr>
        <w:tc>
          <w:tcPr>
            <w:tcW w:w="400" w:type="pct"/>
            <w:noWrap/>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101.CAL</w:t>
            </w:r>
          </w:p>
        </w:tc>
        <w:tc>
          <w:tcPr>
            <w:tcW w:w="100" w:type="pct"/>
            <w:vAlign w:val="bottom"/>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  </w:t>
            </w:r>
          </w:p>
        </w:tc>
        <w:tc>
          <w:tcPr>
            <w:tcW w:w="4500" w:type="pct"/>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XBRL Taxonomy Extension Calculation Linkbase Document</w:t>
            </w:r>
          </w:p>
        </w:tc>
      </w:tr>
      <w:tr w:rsidR="009534E2">
        <w:trPr>
          <w:cantSplit/>
          <w:jc w:val="center"/>
        </w:trPr>
        <w:tc>
          <w:tcPr>
            <w:tcW w:w="400" w:type="pct"/>
            <w:noWrap/>
          </w:tcPr>
          <w:p w:rsidR="009534E2" w:rsidRDefault="009534E2">
            <w:pPr>
              <w:keepNext/>
              <w:widowControl w:val="0"/>
              <w:rPr>
                <w:rFonts w:eastAsia="Times New Roman" w:asciiTheme="majorHAnsi" w:hAnsiTheme="majorHAnsi" w:cstheme="majorHAnsi"/>
                <w:color w:val="000000"/>
                <w:sz w:val="19"/>
                <w:szCs w:val="19"/>
                <w:lang w:eastAsia="ru-RU"/>
              </w:rPr>
            </w:pPr>
          </w:p>
        </w:tc>
        <w:tc>
          <w:tcPr>
            <w:tcW w:w="100" w:type="pct"/>
            <w:vAlign w:val="bottom"/>
          </w:tcPr>
          <w:p w:rsidR="009534E2" w:rsidRDefault="009534E2">
            <w:pPr>
              <w:keepNext/>
              <w:widowControl w:val="0"/>
              <w:rPr>
                <w:rFonts w:eastAsia="Times New Roman" w:asciiTheme="majorHAnsi" w:hAnsiTheme="majorHAnsi" w:cstheme="majorHAnsi"/>
                <w:color w:val="000000"/>
                <w:sz w:val="19"/>
                <w:szCs w:val="19"/>
                <w:lang w:eastAsia="ru-RU"/>
              </w:rPr>
            </w:pPr>
          </w:p>
        </w:tc>
        <w:tc>
          <w:tcPr>
            <w:tcW w:w="4500" w:type="pct"/>
          </w:tcPr>
          <w:p w:rsidR="009534E2" w:rsidRDefault="009534E2">
            <w:pPr>
              <w:keepNext/>
              <w:widowControl w:val="0"/>
              <w:rPr>
                <w:rFonts w:eastAsia="Times New Roman" w:asciiTheme="majorHAnsi" w:hAnsiTheme="majorHAnsi" w:cstheme="majorHAnsi"/>
                <w:color w:val="000000"/>
                <w:sz w:val="19"/>
                <w:szCs w:val="19"/>
                <w:lang w:eastAsia="ru-RU"/>
              </w:rPr>
            </w:pPr>
          </w:p>
        </w:tc>
      </w:tr>
      <w:tr w:rsidR="009534E2">
        <w:trPr>
          <w:cantSplit/>
          <w:jc w:val="center"/>
        </w:trPr>
        <w:tc>
          <w:tcPr>
            <w:tcW w:w="400" w:type="pct"/>
            <w:noWrap/>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101.DEF</w:t>
            </w:r>
          </w:p>
        </w:tc>
        <w:tc>
          <w:tcPr>
            <w:tcW w:w="100" w:type="pct"/>
            <w:vAlign w:val="bottom"/>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  </w:t>
            </w:r>
          </w:p>
        </w:tc>
        <w:tc>
          <w:tcPr>
            <w:tcW w:w="4500" w:type="pct"/>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XBRL Taxonomy Extension Definition Linkbase Document</w:t>
            </w:r>
          </w:p>
        </w:tc>
      </w:tr>
      <w:tr w:rsidR="009534E2">
        <w:trPr>
          <w:cantSplit/>
          <w:jc w:val="center"/>
        </w:trPr>
        <w:tc>
          <w:tcPr>
            <w:tcW w:w="400" w:type="pct"/>
            <w:noWrap/>
          </w:tcPr>
          <w:p w:rsidR="009534E2" w:rsidRDefault="009534E2">
            <w:pPr>
              <w:keepNext/>
              <w:widowControl w:val="0"/>
              <w:rPr>
                <w:rFonts w:eastAsia="Times New Roman" w:asciiTheme="majorHAnsi" w:hAnsiTheme="majorHAnsi" w:cstheme="majorHAnsi"/>
                <w:color w:val="000000"/>
                <w:sz w:val="19"/>
                <w:szCs w:val="19"/>
                <w:lang w:eastAsia="ru-RU"/>
              </w:rPr>
            </w:pPr>
          </w:p>
        </w:tc>
        <w:tc>
          <w:tcPr>
            <w:tcW w:w="100" w:type="pct"/>
            <w:vAlign w:val="bottom"/>
          </w:tcPr>
          <w:p w:rsidR="009534E2" w:rsidRDefault="009534E2">
            <w:pPr>
              <w:keepNext/>
              <w:widowControl w:val="0"/>
              <w:rPr>
                <w:rFonts w:eastAsia="Times New Roman" w:asciiTheme="majorHAnsi" w:hAnsiTheme="majorHAnsi" w:cstheme="majorHAnsi"/>
                <w:color w:val="000000"/>
                <w:sz w:val="19"/>
                <w:szCs w:val="19"/>
                <w:lang w:eastAsia="ru-RU"/>
              </w:rPr>
            </w:pPr>
          </w:p>
        </w:tc>
        <w:tc>
          <w:tcPr>
            <w:tcW w:w="4500" w:type="pct"/>
          </w:tcPr>
          <w:p w:rsidR="009534E2" w:rsidRDefault="009534E2">
            <w:pPr>
              <w:keepNext/>
              <w:widowControl w:val="0"/>
              <w:rPr>
                <w:rFonts w:eastAsia="Times New Roman" w:asciiTheme="majorHAnsi" w:hAnsiTheme="majorHAnsi" w:cstheme="majorHAnsi"/>
                <w:color w:val="000000"/>
                <w:sz w:val="19"/>
                <w:szCs w:val="19"/>
                <w:lang w:eastAsia="ru-RU"/>
              </w:rPr>
            </w:pPr>
          </w:p>
        </w:tc>
      </w:tr>
      <w:tr w:rsidR="009534E2">
        <w:trPr>
          <w:cantSplit/>
          <w:jc w:val="center"/>
        </w:trPr>
        <w:tc>
          <w:tcPr>
            <w:tcW w:w="400" w:type="pct"/>
            <w:noWrap/>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101.LAB</w:t>
            </w:r>
          </w:p>
        </w:tc>
        <w:tc>
          <w:tcPr>
            <w:tcW w:w="100" w:type="pct"/>
            <w:vAlign w:val="bottom"/>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  </w:t>
            </w:r>
          </w:p>
        </w:tc>
        <w:tc>
          <w:tcPr>
            <w:tcW w:w="4500" w:type="pct"/>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XBRL Taxonomy Extension Label Linkbase Document</w:t>
            </w:r>
          </w:p>
        </w:tc>
      </w:tr>
      <w:tr w:rsidR="009534E2">
        <w:trPr>
          <w:cantSplit/>
          <w:jc w:val="center"/>
        </w:trPr>
        <w:tc>
          <w:tcPr>
            <w:tcW w:w="400" w:type="pct"/>
            <w:noWrap/>
          </w:tcPr>
          <w:p w:rsidR="009534E2" w:rsidRDefault="009534E2">
            <w:pPr>
              <w:keepNext/>
              <w:widowControl w:val="0"/>
              <w:rPr>
                <w:rFonts w:eastAsia="Times New Roman" w:asciiTheme="majorHAnsi" w:hAnsiTheme="majorHAnsi" w:cstheme="majorHAnsi"/>
                <w:color w:val="000000"/>
                <w:sz w:val="19"/>
                <w:szCs w:val="19"/>
                <w:lang w:eastAsia="ru-RU"/>
              </w:rPr>
            </w:pPr>
          </w:p>
        </w:tc>
        <w:tc>
          <w:tcPr>
            <w:tcW w:w="100" w:type="pct"/>
            <w:vAlign w:val="bottom"/>
          </w:tcPr>
          <w:p w:rsidR="009534E2" w:rsidRDefault="009534E2">
            <w:pPr>
              <w:keepNext/>
              <w:widowControl w:val="0"/>
              <w:rPr>
                <w:rFonts w:eastAsia="Times New Roman" w:asciiTheme="majorHAnsi" w:hAnsiTheme="majorHAnsi" w:cstheme="majorHAnsi"/>
                <w:color w:val="000000"/>
                <w:sz w:val="19"/>
                <w:szCs w:val="19"/>
                <w:lang w:eastAsia="ru-RU"/>
              </w:rPr>
            </w:pPr>
          </w:p>
        </w:tc>
        <w:tc>
          <w:tcPr>
            <w:tcW w:w="4500" w:type="pct"/>
          </w:tcPr>
          <w:p w:rsidR="009534E2" w:rsidRDefault="009534E2">
            <w:pPr>
              <w:keepNext/>
              <w:widowControl w:val="0"/>
              <w:rPr>
                <w:rFonts w:eastAsia="Times New Roman" w:asciiTheme="majorHAnsi" w:hAnsiTheme="majorHAnsi" w:cstheme="majorHAnsi"/>
                <w:color w:val="000000"/>
                <w:sz w:val="19"/>
                <w:szCs w:val="19"/>
                <w:lang w:eastAsia="ru-RU"/>
              </w:rPr>
            </w:pPr>
          </w:p>
        </w:tc>
      </w:tr>
      <w:tr w:rsidR="009534E2">
        <w:trPr>
          <w:cantSplit/>
          <w:jc w:val="center"/>
        </w:trPr>
        <w:tc>
          <w:tcPr>
            <w:tcW w:w="400" w:type="pct"/>
            <w:noWrap/>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101.PRE</w:t>
            </w:r>
          </w:p>
        </w:tc>
        <w:tc>
          <w:tcPr>
            <w:tcW w:w="100" w:type="pct"/>
            <w:vAlign w:val="bottom"/>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  </w:t>
            </w:r>
          </w:p>
        </w:tc>
        <w:tc>
          <w:tcPr>
            <w:tcW w:w="4500" w:type="pct"/>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XBRL Taxonomy Extension Presentation Linkbase Document</w:t>
            </w:r>
          </w:p>
        </w:tc>
      </w:tr>
      <w:tr w:rsidR="009534E2">
        <w:trPr>
          <w:cantSplit/>
          <w:jc w:val="center"/>
        </w:trPr>
        <w:tc>
          <w:tcPr>
            <w:tcW w:w="400" w:type="pct"/>
            <w:noWrap/>
          </w:tcPr>
          <w:p w:rsidR="009534E2" w:rsidRDefault="009534E2">
            <w:pPr>
              <w:keepNext/>
              <w:widowControl w:val="0"/>
              <w:rPr>
                <w:rFonts w:eastAsia="Times New Roman" w:asciiTheme="majorHAnsi" w:hAnsiTheme="majorHAnsi" w:cstheme="majorHAnsi"/>
                <w:color w:val="000000"/>
                <w:sz w:val="19"/>
                <w:szCs w:val="19"/>
                <w:lang w:eastAsia="ru-RU"/>
              </w:rPr>
            </w:pPr>
          </w:p>
        </w:tc>
        <w:tc>
          <w:tcPr>
            <w:tcW w:w="100" w:type="pct"/>
            <w:vAlign w:val="bottom"/>
          </w:tcPr>
          <w:p w:rsidR="009534E2" w:rsidRDefault="009534E2">
            <w:pPr>
              <w:keepNext/>
              <w:widowControl w:val="0"/>
              <w:rPr>
                <w:rFonts w:eastAsia="Times New Roman" w:asciiTheme="majorHAnsi" w:hAnsiTheme="majorHAnsi" w:cstheme="majorHAnsi"/>
                <w:color w:val="000000"/>
                <w:sz w:val="19"/>
                <w:szCs w:val="19"/>
                <w:lang w:eastAsia="ru-RU"/>
              </w:rPr>
            </w:pPr>
          </w:p>
        </w:tc>
        <w:tc>
          <w:tcPr>
            <w:tcW w:w="4500" w:type="pct"/>
          </w:tcPr>
          <w:p w:rsidR="009534E2" w:rsidRDefault="009534E2">
            <w:pPr>
              <w:keepNext/>
              <w:widowControl w:val="0"/>
              <w:rPr>
                <w:rFonts w:eastAsia="Times New Roman" w:asciiTheme="majorHAnsi" w:hAnsiTheme="majorHAnsi" w:cstheme="majorHAnsi"/>
                <w:color w:val="000000"/>
                <w:sz w:val="19"/>
                <w:szCs w:val="19"/>
                <w:lang w:eastAsia="ru-RU"/>
              </w:rPr>
            </w:pPr>
          </w:p>
        </w:tc>
      </w:tr>
      <w:tr w:rsidR="009534E2">
        <w:trPr>
          <w:cantSplit/>
          <w:trHeight w:val="162"/>
          <w:jc w:val="center"/>
        </w:trPr>
        <w:tc>
          <w:tcPr>
            <w:tcW w:w="400" w:type="pct"/>
            <w:noWrap/>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104.</w:t>
            </w:r>
            <w:r>
              <w:rPr>
                <w:rFonts w:eastAsia="Times New Roman" w:asciiTheme="majorHAnsi" w:hAnsiTheme="majorHAnsi" w:cstheme="majorHAnsi"/>
                <w:color w:val="000000"/>
                <w:sz w:val="19"/>
                <w:szCs w:val="19"/>
                <w:lang w:val="ru-RU" w:eastAsia="ru-RU"/>
              </w:rPr>
              <w:t>С</w:t>
            </w:r>
            <w:r>
              <w:rPr>
                <w:rFonts w:eastAsia="Times New Roman" w:asciiTheme="majorHAnsi" w:hAnsiTheme="majorHAnsi" w:cstheme="majorHAnsi"/>
                <w:color w:val="000000"/>
                <w:sz w:val="19"/>
                <w:szCs w:val="19"/>
                <w:lang w:eastAsia="ru-RU"/>
              </w:rPr>
              <w:t>OV</w:t>
            </w:r>
          </w:p>
        </w:tc>
        <w:tc>
          <w:tcPr>
            <w:tcW w:w="100" w:type="pct"/>
            <w:vAlign w:val="bottom"/>
            <w:hideMark/>
          </w:tcPr>
          <w:p w:rsidR="009534E2" w:rsidRDefault="009534E2">
            <w:pPr>
              <w:keepNext/>
              <w:widowControl w:val="0"/>
              <w:rPr>
                <w:rFonts w:eastAsia="Times New Roman" w:asciiTheme="majorHAnsi" w:hAnsiTheme="majorHAnsi" w:cstheme="majorHAnsi"/>
                <w:color w:val="000000"/>
                <w:sz w:val="19"/>
                <w:szCs w:val="19"/>
              </w:rPr>
            </w:pPr>
          </w:p>
        </w:tc>
        <w:tc>
          <w:tcPr>
            <w:tcW w:w="4500" w:type="pct"/>
            <w:hideMark/>
          </w:tcPr>
          <w:p w:rsidR="009534E2" w:rsidRDefault="003369EB">
            <w:pPr>
              <w:keepNext/>
              <w:widowControl w:val="0"/>
              <w:rPr>
                <w:rFonts w:eastAsia="Times New Roman" w:asciiTheme="majorHAnsi" w:hAnsiTheme="majorHAnsi" w:cstheme="majorHAnsi"/>
                <w:color w:val="000000"/>
                <w:sz w:val="19"/>
                <w:szCs w:val="19"/>
              </w:rPr>
            </w:pPr>
            <w:r>
              <w:rPr>
                <w:rFonts w:eastAsia="Times New Roman" w:asciiTheme="majorHAnsi" w:hAnsiTheme="majorHAnsi" w:cstheme="majorHAnsi"/>
                <w:color w:val="000000"/>
                <w:sz w:val="19"/>
                <w:szCs w:val="19"/>
                <w:lang w:eastAsia="ru-RU"/>
              </w:rPr>
              <w:t>Cover Page Interactive Data File</w:t>
            </w:r>
          </w:p>
        </w:tc>
      </w:tr>
    </w:tbl>
    <w:p w:rsidR="009534E2" w:rsidRDefault="00EC0AE1">
      <w:pPr>
        <w:rPr>
          <w:rFonts w:eastAsia="Times New Roman" w:asciiTheme="majorHAnsi" w:hAnsiTheme="majorHAnsi" w:cstheme="majorHAnsi"/>
        </w:rPr>
      </w:pPr>
    </w:p>
    <w:bookmarkEnd w:displacedByCustomXml="next" w:id="785"/>
    <w:bookmarkEnd w:displacedByCustomXml="next" w:id="784"/>
    <w:p w:rsidR="009534E2" w:rsidRDefault="009534E2">
      <w:pPr>
        <w:rPr>
          <w:rFonts w:eastAsia="Times New Roman" w:asciiTheme="majorHAnsi" w:hAnsiTheme="majorHAnsi" w:cstheme="majorHAnsi"/>
        </w:rPr>
      </w:pPr>
    </w:p>
    <w:p w:rsidR="009534E2" w:rsidRDefault="009534E2">
      <w:pPr>
        <w:rPr>
          <w:rFonts w:eastAsia="Times New Roman" w:asciiTheme="majorHAnsi" w:hAnsiTheme="majorHAnsi" w:cstheme="majorHAnsi"/>
        </w:rPr>
        <w:sectPr w:rsidR="009534E2">
          <w:headerReference w:type="default" r:id="rId25"/>
          <w:footerReference w:type="default" r:id="rId26"/>
          <w:headerReference w:type="first" r:id="rId27"/>
          <w:footerReference w:type="first" r:id="rId28"/>
          <w:pgSz w:w="12240" w:h="15840" w:code="1"/>
          <w:pgMar w:top="720" w:right="720" w:bottom="720" w:left="720" w:header="720" w:footer="720" w:gutter="0"/>
          <w:pgNumType w:start="1"/>
          <w:cols w:space="720"/>
          <w:titlePg/>
          <w:docGrid w:linePitch="360"/>
        </w:sectPr>
      </w:pPr>
    </w:p>
    <w:p w:rsidR="009534E2" w:rsidRDefault="003369EB">
      <w:pPr>
        <w:keepNext/>
        <w:keepLines/>
        <w:spacing w:after="200"/>
        <w:jc w:val="center"/>
        <w:rPr>
          <w:rFonts w:eastAsia="Times New Roman" w:asciiTheme="majorHAnsi" w:hAnsiTheme="majorHAnsi" w:cstheme="majorHAnsi"/>
          <w:b/>
          <w:bCs/>
        </w:rPr>
      </w:pPr>
      <w:r>
        <w:rPr>
          <w:rFonts w:eastAsia="Times New Roman" w:asciiTheme="majorHAnsi" w:hAnsiTheme="majorHAnsi" w:cstheme="majorHAnsi"/>
          <w:b/>
          <w:bCs/>
        </w:rPr>
        <w:t>Content</w:t>
      </w:r>
    </w:p>
    <w:tbl>
      <w:tblPr>
        <w:tblW w:w="5000" w:type="pct"/>
        <w:jc w:val="center"/>
        <w:tblCellMar>
          <w:left w:w="0" w:type="dxa"/>
          <w:right w:w="0" w:type="dxa"/>
        </w:tblCellMar>
        <w:tblLook w:val="0000" w:firstRow="0" w:lastRow="0" w:firstColumn="0" w:lastColumn="0" w:noHBand="0" w:noVBand="0"/>
      </w:tblPr>
      <w:tblGrid>
        <w:gridCol w:w="9900"/>
        <w:gridCol w:w="328"/>
        <w:gridCol w:w="572"/>
      </w:tblGrid>
      <w:tr w:rsidR="00F00840" w:rsidTr="00F00840">
        <w:trPr>
          <w:cantSplit/>
          <w:trHeight w:val="20" w:hRule="exact"/>
          <w:jc w:val="center"/>
        </w:trPr>
        <w:tc>
          <w:tcPr>
            <w:tcW w:w="4583" w:type="pct"/>
            <w:tcBorders>
              <w:top w:val="nil"/>
              <w:left w:val="nil"/>
              <w:right w:val="nil"/>
            </w:tcBorders>
            <w:shd w:val="clear" w:color="auto" w:fill="auto"/>
            <w:vAlign w:val="bottom"/>
          </w:tcPr>
          <w:p w:rsidR="009534E2" w:rsidRDefault="009534E2">
            <w:pPr>
              <w:keepNext/>
              <w:keepLines/>
              <w:rPr>
                <w:rFonts w:asciiTheme="majorHAnsi" w:hAnsiTheme="majorHAnsi" w:cstheme="majorHAnsi"/>
                <w:sz w:val="2"/>
              </w:rPr>
            </w:pPr>
            <w:bookmarkStart w:name="_0405fdc8_a48d_4936_b04f_41917d5febc2" w:id="786"/>
          </w:p>
        </w:tc>
        <w:tc>
          <w:tcPr>
            <w:tcW w:w="152" w:type="pct"/>
            <w:tcBorders>
              <w:top w:val="nil"/>
              <w:left w:val="nil"/>
              <w:right w:val="nil"/>
            </w:tcBorders>
            <w:shd w:val="clear" w:color="auto" w:fill="auto"/>
          </w:tcPr>
          <w:p w:rsidR="009534E2" w:rsidRDefault="009534E2">
            <w:pPr>
              <w:keepNext/>
              <w:keepLines/>
              <w:rPr>
                <w:rFonts w:asciiTheme="majorHAnsi" w:hAnsiTheme="majorHAnsi" w:cstheme="majorHAnsi"/>
                <w:sz w:val="2"/>
              </w:rPr>
            </w:pPr>
          </w:p>
        </w:tc>
        <w:tc>
          <w:tcPr>
            <w:tcW w:w="265" w:type="pct"/>
            <w:tcBorders>
              <w:top w:val="nil"/>
              <w:left w:val="nil"/>
              <w:right w:val="nil"/>
            </w:tcBorders>
            <w:shd w:val="clear" w:color="auto" w:fill="auto"/>
            <w:vAlign w:val="bottom"/>
          </w:tcPr>
          <w:p w:rsidR="009534E2" w:rsidRDefault="009534E2">
            <w:pPr>
              <w:keepNext/>
              <w:keepLines/>
              <w:rPr>
                <w:rFonts w:asciiTheme="majorHAnsi" w:hAnsiTheme="majorHAnsi" w:cstheme="majorHAnsi"/>
                <w:sz w:val="2"/>
              </w:rPr>
            </w:pPr>
          </w:p>
        </w:tc>
      </w:tr>
      <w:bookmarkStart w:name="_e0e7668b_fcaf_4cd3_bdd6_1f9d834f6133" w:id="787"/>
      <w:tr w:rsidR="00F00840" w:rsidTr="00F00840">
        <w:trPr>
          <w:cantSplit/>
          <w:jc w:val="center"/>
        </w:trPr>
        <w:tc>
          <w:tcPr>
            <w:tcW w:w="4583" w:type="pct"/>
            <w:shd w:val="clear" w:color="auto" w:fill="CCEEFF"/>
            <w:vAlign w:val="bottom"/>
          </w:tcPr>
          <w:p w:rsidR="009534E2" w:rsidRDefault="003369EB">
            <w:pPr>
              <w:keepNext/>
              <w:ind w:left="144" w:hanging="144"/>
              <w:rPr>
                <w:rFonts w:eastAsia="Times New Roman" w:asciiTheme="majorHAnsi" w:hAnsiTheme="majorHAnsi" w:cstheme="majorHAnsi"/>
              </w:rPr>
            </w:pPr>
            <w:r>
              <w:rPr>
                <w:rFonts w:eastAsia="Times New Roman" w:asciiTheme="majorHAnsi" w:hAnsiTheme="majorHAnsi" w:cstheme="majorHAnsi"/>
              </w:rPr>
              <w:fldChar w:fldCharType="begin"/>
            </w:r>
            <w:r>
              <w:rPr>
                <w:rFonts w:eastAsia="Times New Roman" w:asciiTheme="majorHAnsi" w:hAnsiTheme="majorHAnsi" w:cstheme="majorHAnsi"/>
              </w:rPr>
              <w:instrText>HYPERLINK  \l "Reportofindependentregisteredpublicaccou"</w:instrText>
            </w:r>
            <w:r>
              <w:rPr>
                <w:rFonts w:eastAsia="Times New Roman" w:asciiTheme="majorHAnsi" w:hAnsiTheme="majorHAnsi" w:cstheme="majorHAnsi"/>
              </w:rPr>
              <w:fldChar w:fldCharType="separate"/>
            </w:r>
            <w:r>
              <w:rPr>
                <w:rStyle w:val="Hyperlink"/>
                <w:rFonts w:eastAsia="Times New Roman" w:asciiTheme="majorHAnsi" w:hAnsiTheme="majorHAnsi" w:cstheme="majorHAnsi"/>
              </w:rPr>
              <w:t>Report of independent registered public accounting firm</w:t>
            </w:r>
            <w:r>
              <w:rPr>
                <w:rFonts w:eastAsia="Times New Roman" w:asciiTheme="majorHAnsi" w:hAnsiTheme="majorHAnsi" w:cstheme="majorHAnsi"/>
              </w:rPr>
              <w:fldChar w:fldCharType="end"/>
            </w:r>
            <w:r>
              <w:rPr>
                <w:rFonts w:eastAsia="Times New Roman" w:asciiTheme="majorHAnsi" w:hAnsiTheme="majorHAnsi" w:cstheme="majorHAnsi"/>
              </w:rPr>
              <w:t xml:space="preserve"> (</w:t>
            </w:r>
            <w:bookmarkStart w:name="_e35c7a0a_0188_41ff_826e_ae9168e91bbf" w:id="788"/>
            <w:r w:rsidRPr="00F00840">
              <w:rPr>
                <w:rFonts w:eastAsia="Times New Roman" w:asciiTheme="majorHAnsi" w:hAnsiTheme="majorHAnsi" w:cstheme="majorHAnsi"/>
              </w:rPr>
              <w:t xml:space="preserve">JSC </w:t>
            </w:r>
            <w:r w:rsidRPr="00F00840" w:rsidR="00F00840">
              <w:rPr>
                <w:rFonts w:eastAsia="Times New Roman" w:asciiTheme="majorHAnsi" w:hAnsiTheme="majorHAnsi" w:cstheme="majorHAnsi"/>
              </w:rPr>
              <w:t>“</w:t>
            </w:r>
            <w:r w:rsidRPr="00F00840">
              <w:rPr>
                <w:rFonts w:eastAsia="Times New Roman" w:asciiTheme="majorHAnsi" w:hAnsiTheme="majorHAnsi" w:cstheme="majorHAnsi"/>
              </w:rPr>
              <w:t>Kep</w:t>
            </w:r>
            <w:r w:rsidRPr="00F00840" w:rsidR="00F00840">
              <w:rPr>
                <w:rFonts w:eastAsia="Times New Roman" w:asciiTheme="majorHAnsi" w:hAnsiTheme="majorHAnsi" w:cstheme="majorHAnsi"/>
              </w:rPr>
              <w:t>t”</w:t>
            </w:r>
            <w:bookmarkEnd w:id="788"/>
            <w:r>
              <w:rPr>
                <w:rFonts w:eastAsia="Times New Roman" w:asciiTheme="majorHAnsi" w:hAnsiTheme="majorHAnsi" w:cstheme="majorHAnsi"/>
              </w:rPr>
              <w:t xml:space="preserve"> – </w:t>
            </w:r>
            <w:bookmarkStart w:name="_2485073e_f2a5_4048_bbbc_c57d467a9e4c" w:id="789"/>
            <w:r w:rsidRPr="00F00840">
              <w:rPr>
                <w:rFonts w:eastAsia="Times New Roman" w:asciiTheme="majorHAnsi" w:hAnsiTheme="majorHAnsi" w:cstheme="majorHAnsi"/>
              </w:rPr>
              <w:t>Moscow, Russia</w:t>
            </w:r>
            <w:bookmarkEnd w:id="789"/>
            <w:r>
              <w:rPr>
                <w:rFonts w:eastAsia="Times New Roman" w:asciiTheme="majorHAnsi" w:hAnsiTheme="majorHAnsi" w:cstheme="majorHAnsi"/>
              </w:rPr>
              <w:t xml:space="preserve"> – PCAOB ID: </w:t>
            </w:r>
            <w:bookmarkStart w:name="_1389cdbb_616f_419f_a434_aa3a7af31988" w:id="790"/>
            <w:r w:rsidRPr="00F00840">
              <w:rPr>
                <w:rFonts w:eastAsia="Times New Roman" w:asciiTheme="majorHAnsi" w:hAnsiTheme="majorHAnsi" w:cstheme="majorHAnsi"/>
              </w:rPr>
              <w:t>3055</w:t>
            </w:r>
            <w:bookmarkEnd w:id="790"/>
            <w:r>
              <w:rPr>
                <w:rFonts w:eastAsia="Times New Roman" w:asciiTheme="majorHAnsi" w:hAnsiTheme="majorHAnsi" w:cstheme="majorHAnsi"/>
              </w:rPr>
              <w:t xml:space="preserve">) </w:t>
            </w:r>
          </w:p>
        </w:tc>
        <w:tc>
          <w:tcPr>
            <w:tcW w:w="152" w:type="pct"/>
            <w:shd w:val="clear" w:color="auto" w:fill="CCEEFF"/>
          </w:tcPr>
          <w:p w:rsidR="009534E2" w:rsidRDefault="003369EB">
            <w:pPr>
              <w:keepNext/>
              <w:jc w:val="right"/>
              <w:rPr>
                <w:rFonts w:eastAsia="Times New Roman" w:asciiTheme="majorHAnsi" w:hAnsiTheme="majorHAnsi" w:cstheme="majorHAnsi"/>
              </w:rPr>
            </w:pPr>
            <w:r>
              <w:rPr>
                <w:rFonts w:eastAsia="Times New Roman" w:asciiTheme="majorHAnsi" w:hAnsiTheme="majorHAnsi" w:cstheme="majorHAnsi"/>
              </w:rPr>
              <w:t>    </w:t>
            </w:r>
          </w:p>
        </w:tc>
        <w:tc>
          <w:tcPr>
            <w:tcW w:w="265" w:type="pct"/>
            <w:shd w:val="clear" w:color="auto" w:fill="CCEEFF"/>
            <w:vAlign w:val="bottom"/>
          </w:tcPr>
          <w:p w:rsidR="009534E2" w:rsidRDefault="003369EB">
            <w:pPr>
              <w:keepNext/>
              <w:jc w:val="right"/>
              <w:rPr>
                <w:rFonts w:eastAsia="Times New Roman" w:asciiTheme="majorHAnsi" w:hAnsiTheme="majorHAnsi" w:cstheme="majorHAnsi"/>
              </w:rPr>
            </w:pPr>
            <w:r>
              <w:rPr>
                <w:rFonts w:eastAsia="Times New Roman" w:asciiTheme="majorHAnsi" w:hAnsiTheme="majorHAnsi" w:cstheme="majorHAnsi"/>
              </w:rPr>
              <w:t>F-</w:t>
            </w:r>
            <w:r>
              <w:rPr>
                <w:rFonts w:eastAsia="Times New Roman" w:asciiTheme="majorHAnsi" w:hAnsiTheme="majorHAnsi" w:cstheme="majorHAnsi"/>
              </w:rPr>
              <w:fldChar w:fldCharType="begin"/>
            </w:r>
            <w:r>
              <w:rPr>
                <w:rFonts w:eastAsia="Times New Roman" w:asciiTheme="majorHAnsi" w:hAnsiTheme="majorHAnsi" w:cstheme="majorHAnsi"/>
              </w:rPr>
              <w:instrText xml:space="preserve"> PAGEREF  Reportofindependentregisteredpublicaccou  \* MERGEFORMAT </w:instrText>
            </w:r>
            <w:r>
              <w:rPr>
                <w:rFonts w:eastAsia="Times New Roman" w:asciiTheme="majorHAnsi" w:hAnsiTheme="majorHAnsi" w:cstheme="majorHAnsi"/>
              </w:rPr>
              <w:fldChar w:fldCharType="separate"/>
            </w:r>
            <w:r w:rsidR="00A27544">
              <w:rPr>
                <w:rFonts w:eastAsia="Times New Roman" w:asciiTheme="majorHAnsi" w:hAnsiTheme="majorHAnsi" w:cstheme="majorHAnsi"/>
                <w:noProof/>
              </w:rPr>
              <w:t>2</w:t>
            </w:r>
            <w:r>
              <w:rPr>
                <w:rFonts w:eastAsia="Times New Roman" w:asciiTheme="majorHAnsi" w:hAnsiTheme="majorHAnsi" w:cstheme="majorHAnsi"/>
              </w:rPr>
              <w:fldChar w:fldCharType="end"/>
            </w:r>
          </w:p>
        </w:tc>
      </w:tr>
      <w:tr w:rsidR="00F00840" w:rsidTr="00F00840">
        <w:trPr>
          <w:cantSplit/>
          <w:jc w:val="center"/>
        </w:trPr>
        <w:tc>
          <w:tcPr>
            <w:tcW w:w="4583" w:type="pct"/>
            <w:shd w:val="clear" w:color="auto" w:fill="auto"/>
            <w:vAlign w:val="bottom"/>
          </w:tcPr>
          <w:p w:rsidR="009534E2" w:rsidRDefault="009534E2">
            <w:pPr>
              <w:keepNext/>
              <w:rPr>
                <w:rFonts w:eastAsia="Times New Roman" w:asciiTheme="majorHAnsi" w:hAnsiTheme="majorHAnsi" w:cstheme="majorHAnsi"/>
              </w:rPr>
            </w:pPr>
          </w:p>
        </w:tc>
        <w:tc>
          <w:tcPr>
            <w:tcW w:w="152" w:type="pct"/>
            <w:shd w:val="clear" w:color="auto" w:fill="auto"/>
          </w:tcPr>
          <w:p w:rsidR="009534E2" w:rsidRDefault="009534E2">
            <w:pPr>
              <w:keepNext/>
              <w:jc w:val="right"/>
              <w:rPr>
                <w:rFonts w:eastAsia="Times New Roman" w:asciiTheme="majorHAnsi" w:hAnsiTheme="majorHAnsi" w:cstheme="majorHAnsi"/>
              </w:rPr>
            </w:pPr>
          </w:p>
        </w:tc>
        <w:tc>
          <w:tcPr>
            <w:tcW w:w="265" w:type="pct"/>
            <w:shd w:val="clear" w:color="auto" w:fill="auto"/>
            <w:vAlign w:val="bottom"/>
          </w:tcPr>
          <w:p w:rsidR="009534E2" w:rsidRDefault="009534E2">
            <w:pPr>
              <w:keepNext/>
              <w:jc w:val="right"/>
              <w:rPr>
                <w:rFonts w:eastAsia="Times New Roman" w:asciiTheme="majorHAnsi" w:hAnsiTheme="majorHAnsi" w:cstheme="majorHAnsi"/>
              </w:rPr>
            </w:pPr>
          </w:p>
        </w:tc>
      </w:tr>
      <w:tr w:rsidR="00F00840" w:rsidTr="00F00840">
        <w:trPr>
          <w:cantSplit/>
          <w:jc w:val="center"/>
        </w:trPr>
        <w:tc>
          <w:tcPr>
            <w:tcW w:w="4583" w:type="pct"/>
            <w:shd w:val="clear" w:color="auto" w:fill="CCEEFF"/>
            <w:vAlign w:val="bottom"/>
          </w:tcPr>
          <w:p w:rsidR="009534E2" w:rsidRDefault="00EC0AE1">
            <w:pPr>
              <w:keepNext/>
              <w:ind w:left="144" w:hanging="144"/>
              <w:rPr>
                <w:rFonts w:eastAsia="Times New Roman" w:asciiTheme="majorHAnsi" w:hAnsiTheme="majorHAnsi" w:cstheme="majorHAnsi"/>
              </w:rPr>
            </w:pPr>
            <w:hyperlink w:history="1" w:anchor="IndependentRegisteredPublicAccountingFir">
              <w:r w:rsidR="003369EB">
                <w:rPr>
                  <w:rStyle w:val="Hyperlink"/>
                  <w:rFonts w:eastAsia="Times New Roman" w:asciiTheme="majorHAnsi" w:hAnsiTheme="majorHAnsi" w:cstheme="majorHAnsi"/>
                </w:rPr>
                <w:t>Report of independent registered public accounting firm</w:t>
              </w:r>
            </w:hyperlink>
            <w:r w:rsidR="003369EB">
              <w:rPr>
                <w:rFonts w:eastAsia="Times New Roman" w:asciiTheme="majorHAnsi" w:hAnsiTheme="majorHAnsi" w:cstheme="majorHAnsi"/>
              </w:rPr>
              <w:t xml:space="preserve"> (</w:t>
            </w:r>
            <w:bookmarkStart w:name="_74e9436a_7b0c_4fa4_b156_64ccab931f2f" w:id="791"/>
            <w:r w:rsidRPr="00F00840" w:rsidR="003369EB">
              <w:rPr>
                <w:rFonts w:eastAsia="Times New Roman" w:asciiTheme="majorHAnsi" w:hAnsiTheme="majorHAnsi" w:cstheme="majorHAnsi"/>
              </w:rPr>
              <w:t>TSATR - Audit Services LLC</w:t>
            </w:r>
            <w:bookmarkEnd w:id="791"/>
            <w:r w:rsidR="003369EB">
              <w:rPr>
                <w:rFonts w:eastAsia="Times New Roman" w:asciiTheme="majorHAnsi" w:hAnsiTheme="majorHAnsi" w:cstheme="majorHAnsi"/>
              </w:rPr>
              <w:t xml:space="preserve"> - </w:t>
            </w:r>
            <w:bookmarkStart w:name="_8e156fe4_71e2_4fe2_a9d8_fe264012a60f" w:id="792"/>
            <w:r w:rsidRPr="00F00840" w:rsidR="003369EB">
              <w:rPr>
                <w:rFonts w:eastAsia="Times New Roman" w:asciiTheme="majorHAnsi" w:hAnsiTheme="majorHAnsi" w:cstheme="majorHAnsi"/>
              </w:rPr>
              <w:t>Moscow, Russia</w:t>
            </w:r>
            <w:bookmarkEnd w:id="792"/>
            <w:r w:rsidR="003369EB">
              <w:rPr>
                <w:rFonts w:eastAsia="Times New Roman" w:asciiTheme="majorHAnsi" w:hAnsiTheme="majorHAnsi" w:cstheme="majorHAnsi"/>
              </w:rPr>
              <w:t xml:space="preserve"> - PCAOB ID:</w:t>
            </w:r>
            <w:bookmarkStart w:name="_4a8913a8_19d3_4471_a197_e8663197332f" w:id="793"/>
            <w:r w:rsidRPr="00F00840" w:rsidR="003369EB">
              <w:rPr>
                <w:rFonts w:eastAsia="Times New Roman" w:asciiTheme="majorHAnsi" w:hAnsiTheme="majorHAnsi" w:cstheme="majorHAnsi"/>
              </w:rPr>
              <w:t>  1721</w:t>
            </w:r>
            <w:bookmarkEnd w:id="793"/>
            <w:r w:rsidR="003369EB">
              <w:rPr>
                <w:rFonts w:eastAsia="Times New Roman" w:asciiTheme="majorHAnsi" w:hAnsiTheme="majorHAnsi" w:cstheme="majorHAnsi"/>
              </w:rPr>
              <w:t>)</w:t>
            </w:r>
          </w:p>
        </w:tc>
        <w:tc>
          <w:tcPr>
            <w:tcW w:w="152" w:type="pct"/>
            <w:shd w:val="clear" w:color="auto" w:fill="CCEEFF"/>
          </w:tcPr>
          <w:p w:rsidR="009534E2" w:rsidRDefault="009534E2">
            <w:pPr>
              <w:keepNext/>
              <w:jc w:val="right"/>
              <w:rPr>
                <w:rFonts w:eastAsia="Times New Roman" w:asciiTheme="majorHAnsi" w:hAnsiTheme="majorHAnsi" w:cstheme="majorHAnsi"/>
              </w:rPr>
            </w:pPr>
          </w:p>
        </w:tc>
        <w:tc>
          <w:tcPr>
            <w:tcW w:w="265" w:type="pct"/>
            <w:shd w:val="clear" w:color="auto" w:fill="CCEEFF"/>
            <w:vAlign w:val="bottom"/>
          </w:tcPr>
          <w:p w:rsidR="009534E2" w:rsidRDefault="003369EB">
            <w:pPr>
              <w:keepNext/>
              <w:jc w:val="right"/>
              <w:rPr>
                <w:rFonts w:eastAsia="Times New Roman" w:asciiTheme="majorHAnsi" w:hAnsiTheme="majorHAnsi" w:cstheme="majorHAnsi"/>
              </w:rPr>
            </w:pPr>
            <w:r>
              <w:rPr>
                <w:rFonts w:eastAsia="Times New Roman" w:asciiTheme="majorHAnsi" w:hAnsiTheme="majorHAnsi" w:cstheme="majorHAnsi"/>
              </w:rPr>
              <w:t>F-</w:t>
            </w:r>
            <w:r>
              <w:rPr>
                <w:rFonts w:eastAsia="Times New Roman" w:asciiTheme="majorHAnsi" w:hAnsiTheme="majorHAnsi" w:cstheme="majorHAnsi"/>
              </w:rPr>
              <w:fldChar w:fldCharType="begin"/>
            </w:r>
            <w:r>
              <w:rPr>
                <w:rFonts w:eastAsia="Times New Roman" w:asciiTheme="majorHAnsi" w:hAnsiTheme="majorHAnsi" w:cstheme="majorHAnsi"/>
              </w:rPr>
              <w:instrText xml:space="preserve"> PAGEREF  IndependentRegisteredPublicAccountingFir  \* MERGEFORMAT </w:instrText>
            </w:r>
            <w:r>
              <w:rPr>
                <w:rFonts w:eastAsia="Times New Roman" w:asciiTheme="majorHAnsi" w:hAnsiTheme="majorHAnsi" w:cstheme="majorHAnsi"/>
              </w:rPr>
              <w:fldChar w:fldCharType="separate"/>
            </w:r>
            <w:r w:rsidR="00A27544">
              <w:rPr>
                <w:rFonts w:eastAsia="Times New Roman" w:asciiTheme="majorHAnsi" w:hAnsiTheme="majorHAnsi" w:cstheme="majorHAnsi"/>
                <w:noProof/>
              </w:rPr>
              <w:t>5</w:t>
            </w:r>
            <w:r>
              <w:rPr>
                <w:rFonts w:eastAsia="Times New Roman" w:asciiTheme="majorHAnsi" w:hAnsiTheme="majorHAnsi" w:cstheme="majorHAnsi"/>
              </w:rPr>
              <w:fldChar w:fldCharType="end"/>
            </w:r>
          </w:p>
        </w:tc>
      </w:tr>
      <w:bookmarkEnd w:id="787"/>
      <w:tr w:rsidR="00F00840" w:rsidTr="00F00840">
        <w:trPr>
          <w:cantSplit/>
          <w:jc w:val="center"/>
        </w:trPr>
        <w:tc>
          <w:tcPr>
            <w:tcW w:w="4583" w:type="pct"/>
            <w:shd w:val="clear" w:color="auto" w:fill="auto"/>
            <w:vAlign w:val="bottom"/>
          </w:tcPr>
          <w:p w:rsidR="009534E2" w:rsidRDefault="009534E2">
            <w:pPr>
              <w:keepNext/>
              <w:rPr>
                <w:rFonts w:eastAsia="Times New Roman" w:asciiTheme="majorHAnsi" w:hAnsiTheme="majorHAnsi" w:cstheme="majorHAnsi"/>
              </w:rPr>
            </w:pPr>
          </w:p>
        </w:tc>
        <w:tc>
          <w:tcPr>
            <w:tcW w:w="152" w:type="pct"/>
            <w:shd w:val="clear" w:color="auto" w:fill="auto"/>
          </w:tcPr>
          <w:p w:rsidR="009534E2" w:rsidRDefault="009534E2">
            <w:pPr>
              <w:keepNext/>
              <w:jc w:val="right"/>
              <w:rPr>
                <w:rFonts w:eastAsia="Times New Roman" w:asciiTheme="majorHAnsi" w:hAnsiTheme="majorHAnsi" w:cstheme="majorHAnsi"/>
              </w:rPr>
            </w:pPr>
          </w:p>
        </w:tc>
        <w:tc>
          <w:tcPr>
            <w:tcW w:w="265" w:type="pct"/>
            <w:shd w:val="clear" w:color="auto" w:fill="auto"/>
            <w:vAlign w:val="bottom"/>
          </w:tcPr>
          <w:p w:rsidR="009534E2" w:rsidRDefault="009534E2">
            <w:pPr>
              <w:keepNext/>
              <w:jc w:val="right"/>
              <w:rPr>
                <w:rFonts w:eastAsia="Times New Roman" w:asciiTheme="majorHAnsi" w:hAnsiTheme="majorHAnsi" w:cstheme="majorHAnsi"/>
              </w:rPr>
            </w:pPr>
          </w:p>
        </w:tc>
      </w:tr>
      <w:tr w:rsidR="00F00840" w:rsidTr="00F00840">
        <w:trPr>
          <w:cantSplit/>
          <w:jc w:val="center"/>
        </w:trPr>
        <w:tc>
          <w:tcPr>
            <w:tcW w:w="4583" w:type="pct"/>
            <w:shd w:val="clear" w:color="auto" w:fill="CCEEFF"/>
            <w:vAlign w:val="bottom"/>
          </w:tcPr>
          <w:p w:rsidR="009534E2" w:rsidRDefault="003369EB">
            <w:pPr>
              <w:keepNext/>
              <w:ind w:left="144" w:hanging="144"/>
              <w:rPr>
                <w:rFonts w:eastAsia="Times New Roman" w:asciiTheme="majorHAnsi" w:hAnsiTheme="majorHAnsi" w:cstheme="majorHAnsi"/>
              </w:rPr>
            </w:pPr>
            <w:r>
              <w:rPr>
                <w:rFonts w:eastAsia="Times New Roman" w:asciiTheme="majorHAnsi" w:hAnsiTheme="majorHAnsi" w:cstheme="majorHAnsi"/>
              </w:rPr>
              <w:t>Consolidated financial statements</w:t>
            </w:r>
          </w:p>
        </w:tc>
        <w:tc>
          <w:tcPr>
            <w:tcW w:w="152" w:type="pct"/>
            <w:shd w:val="clear" w:color="auto" w:fill="CCEEFF"/>
          </w:tcPr>
          <w:p w:rsidR="009534E2" w:rsidRDefault="009534E2">
            <w:pPr>
              <w:keepNext/>
              <w:jc w:val="right"/>
              <w:rPr>
                <w:rFonts w:eastAsia="Times New Roman" w:asciiTheme="majorHAnsi" w:hAnsiTheme="majorHAnsi" w:cstheme="majorHAnsi"/>
              </w:rPr>
            </w:pPr>
          </w:p>
        </w:tc>
        <w:tc>
          <w:tcPr>
            <w:tcW w:w="265" w:type="pct"/>
            <w:shd w:val="clear" w:color="auto" w:fill="CCEEFF"/>
            <w:vAlign w:val="bottom"/>
          </w:tcPr>
          <w:p w:rsidR="009534E2" w:rsidRDefault="009534E2">
            <w:pPr>
              <w:keepNext/>
              <w:jc w:val="right"/>
              <w:rPr>
                <w:rFonts w:eastAsia="Times New Roman" w:asciiTheme="majorHAnsi" w:hAnsiTheme="majorHAnsi" w:cstheme="majorHAnsi"/>
              </w:rPr>
            </w:pPr>
          </w:p>
        </w:tc>
      </w:tr>
      <w:tr w:rsidR="00F00840" w:rsidTr="00F00840">
        <w:trPr>
          <w:cantSplit/>
          <w:jc w:val="center"/>
        </w:trPr>
        <w:tc>
          <w:tcPr>
            <w:tcW w:w="4583" w:type="pct"/>
            <w:shd w:val="clear" w:color="auto" w:fill="auto"/>
            <w:vAlign w:val="bottom"/>
          </w:tcPr>
          <w:p w:rsidR="009534E2" w:rsidRDefault="009534E2">
            <w:pPr>
              <w:keepNext/>
              <w:rPr>
                <w:rFonts w:eastAsia="Times New Roman" w:asciiTheme="majorHAnsi" w:hAnsiTheme="majorHAnsi" w:cstheme="majorHAnsi"/>
              </w:rPr>
            </w:pPr>
          </w:p>
        </w:tc>
        <w:tc>
          <w:tcPr>
            <w:tcW w:w="152" w:type="pct"/>
            <w:shd w:val="clear" w:color="auto" w:fill="auto"/>
          </w:tcPr>
          <w:p w:rsidR="009534E2" w:rsidRDefault="009534E2">
            <w:pPr>
              <w:keepNext/>
              <w:jc w:val="right"/>
              <w:rPr>
                <w:rFonts w:eastAsia="Times New Roman" w:asciiTheme="majorHAnsi" w:hAnsiTheme="majorHAnsi" w:cstheme="majorHAnsi"/>
              </w:rPr>
            </w:pPr>
          </w:p>
        </w:tc>
        <w:tc>
          <w:tcPr>
            <w:tcW w:w="265" w:type="pct"/>
            <w:shd w:val="clear" w:color="auto" w:fill="auto"/>
            <w:vAlign w:val="bottom"/>
          </w:tcPr>
          <w:p w:rsidR="009534E2" w:rsidRDefault="009534E2">
            <w:pPr>
              <w:keepNext/>
              <w:jc w:val="right"/>
              <w:rPr>
                <w:rFonts w:eastAsia="Times New Roman" w:asciiTheme="majorHAnsi" w:hAnsiTheme="majorHAnsi" w:cstheme="majorHAnsi"/>
              </w:rPr>
            </w:pPr>
          </w:p>
        </w:tc>
      </w:tr>
      <w:tr w:rsidR="00F00840" w:rsidTr="00F00840">
        <w:trPr>
          <w:cantSplit/>
          <w:jc w:val="center"/>
        </w:trPr>
        <w:tc>
          <w:tcPr>
            <w:tcW w:w="4583" w:type="pct"/>
            <w:shd w:val="clear" w:color="auto" w:fill="CCEEFF"/>
            <w:vAlign w:val="bottom"/>
          </w:tcPr>
          <w:p w:rsidR="009534E2" w:rsidRDefault="00EC0AE1">
            <w:pPr>
              <w:keepNext/>
              <w:ind w:left="144" w:hanging="144"/>
              <w:rPr>
                <w:rFonts w:eastAsia="Times New Roman" w:asciiTheme="majorHAnsi" w:hAnsiTheme="majorHAnsi" w:cstheme="majorHAnsi"/>
              </w:rPr>
            </w:pPr>
            <w:hyperlink w:history="1" w:anchor="Consolidatedstatementoffinancialposition">
              <w:r w:rsidR="003369EB">
                <w:rPr>
                  <w:rStyle w:val="Hyperlink"/>
                  <w:rFonts w:eastAsia="Times New Roman" w:asciiTheme="majorHAnsi" w:hAnsiTheme="majorHAnsi" w:cstheme="majorHAnsi"/>
                </w:rPr>
                <w:t>Consolidated statement of financial position</w:t>
              </w:r>
            </w:hyperlink>
          </w:p>
        </w:tc>
        <w:tc>
          <w:tcPr>
            <w:tcW w:w="152" w:type="pct"/>
            <w:shd w:val="clear" w:color="auto" w:fill="CCEEFF"/>
          </w:tcPr>
          <w:p w:rsidR="009534E2" w:rsidRDefault="009534E2">
            <w:pPr>
              <w:keepNext/>
              <w:jc w:val="right"/>
              <w:rPr>
                <w:rFonts w:eastAsia="Times New Roman" w:asciiTheme="majorHAnsi" w:hAnsiTheme="majorHAnsi" w:cstheme="majorHAnsi"/>
              </w:rPr>
            </w:pPr>
          </w:p>
        </w:tc>
        <w:tc>
          <w:tcPr>
            <w:tcW w:w="265" w:type="pct"/>
            <w:shd w:val="clear" w:color="auto" w:fill="CCEEFF"/>
            <w:vAlign w:val="bottom"/>
          </w:tcPr>
          <w:p w:rsidR="009534E2" w:rsidRDefault="003369EB">
            <w:pPr>
              <w:keepNext/>
              <w:jc w:val="right"/>
              <w:rPr>
                <w:rFonts w:eastAsia="Times New Roman" w:asciiTheme="majorHAnsi" w:hAnsiTheme="majorHAnsi" w:cstheme="majorHAnsi"/>
              </w:rPr>
            </w:pPr>
            <w:r>
              <w:rPr>
                <w:rFonts w:eastAsia="Times New Roman" w:asciiTheme="majorHAnsi" w:hAnsiTheme="majorHAnsi" w:cstheme="majorHAnsi"/>
              </w:rPr>
              <w:t>F-</w:t>
            </w:r>
            <w:r>
              <w:rPr>
                <w:rFonts w:eastAsia="Times New Roman" w:asciiTheme="majorHAnsi" w:hAnsiTheme="majorHAnsi" w:cstheme="majorHAnsi"/>
              </w:rPr>
              <w:fldChar w:fldCharType="begin"/>
            </w:r>
            <w:r>
              <w:rPr>
                <w:rFonts w:eastAsia="Times New Roman" w:asciiTheme="majorHAnsi" w:hAnsiTheme="majorHAnsi" w:cstheme="majorHAnsi"/>
              </w:rPr>
              <w:instrText xml:space="preserve"> PAGEREF  Consolidatedstatementoffinancialposition  \* MERGEFORMAT </w:instrText>
            </w:r>
            <w:r>
              <w:rPr>
                <w:rFonts w:eastAsia="Times New Roman" w:asciiTheme="majorHAnsi" w:hAnsiTheme="majorHAnsi" w:cstheme="majorHAnsi"/>
              </w:rPr>
              <w:fldChar w:fldCharType="separate"/>
            </w:r>
            <w:r w:rsidR="00A27544">
              <w:rPr>
                <w:rFonts w:eastAsia="Times New Roman" w:asciiTheme="majorHAnsi" w:hAnsiTheme="majorHAnsi" w:cstheme="majorHAnsi"/>
                <w:noProof/>
              </w:rPr>
              <w:t>6</w:t>
            </w:r>
            <w:r>
              <w:rPr>
                <w:rFonts w:eastAsia="Times New Roman" w:asciiTheme="majorHAnsi" w:hAnsiTheme="majorHAnsi" w:cstheme="majorHAnsi"/>
              </w:rPr>
              <w:fldChar w:fldCharType="end"/>
            </w:r>
          </w:p>
        </w:tc>
      </w:tr>
      <w:tr w:rsidR="00F00840" w:rsidTr="00F00840">
        <w:trPr>
          <w:cantSplit/>
          <w:jc w:val="center"/>
        </w:trPr>
        <w:tc>
          <w:tcPr>
            <w:tcW w:w="4583" w:type="pct"/>
            <w:shd w:val="clear" w:color="auto" w:fill="auto"/>
            <w:vAlign w:val="bottom"/>
          </w:tcPr>
          <w:p w:rsidR="009534E2" w:rsidRDefault="00EC0AE1">
            <w:pPr>
              <w:keepNext/>
              <w:ind w:left="144" w:hanging="144"/>
              <w:rPr>
                <w:rFonts w:eastAsia="Times New Roman" w:asciiTheme="majorHAnsi" w:hAnsiTheme="majorHAnsi" w:cstheme="majorHAnsi"/>
              </w:rPr>
            </w:pPr>
            <w:hyperlink w:history="1" w:anchor="Consolidatedstatementofcomprehensiveinco">
              <w:r w:rsidR="003369EB">
                <w:rPr>
                  <w:rStyle w:val="Hyperlink"/>
                  <w:rFonts w:eastAsia="Times New Roman" w:asciiTheme="majorHAnsi" w:hAnsiTheme="majorHAnsi" w:cstheme="majorHAnsi"/>
                </w:rPr>
                <w:t>Consolidated statement of comprehensive income</w:t>
              </w:r>
            </w:hyperlink>
          </w:p>
        </w:tc>
        <w:tc>
          <w:tcPr>
            <w:tcW w:w="152" w:type="pct"/>
            <w:shd w:val="clear" w:color="auto" w:fill="auto"/>
          </w:tcPr>
          <w:p w:rsidR="009534E2" w:rsidRDefault="009534E2">
            <w:pPr>
              <w:keepNext/>
              <w:jc w:val="right"/>
              <w:rPr>
                <w:rFonts w:eastAsia="Times New Roman" w:asciiTheme="majorHAnsi" w:hAnsiTheme="majorHAnsi" w:cstheme="majorHAnsi"/>
              </w:rPr>
            </w:pPr>
          </w:p>
        </w:tc>
        <w:tc>
          <w:tcPr>
            <w:tcW w:w="265" w:type="pct"/>
            <w:shd w:val="clear" w:color="auto" w:fill="auto"/>
            <w:vAlign w:val="bottom"/>
          </w:tcPr>
          <w:p w:rsidR="009534E2" w:rsidRDefault="003369EB">
            <w:pPr>
              <w:keepNext/>
              <w:jc w:val="right"/>
              <w:rPr>
                <w:rFonts w:eastAsia="Times New Roman" w:asciiTheme="majorHAnsi" w:hAnsiTheme="majorHAnsi" w:cstheme="majorHAnsi"/>
              </w:rPr>
            </w:pPr>
            <w:r>
              <w:rPr>
                <w:rFonts w:eastAsia="Times New Roman" w:asciiTheme="majorHAnsi" w:hAnsiTheme="majorHAnsi" w:cstheme="majorHAnsi"/>
              </w:rPr>
              <w:t>F-</w:t>
            </w:r>
            <w:r>
              <w:rPr>
                <w:rFonts w:eastAsia="Times New Roman" w:asciiTheme="majorHAnsi" w:hAnsiTheme="majorHAnsi" w:cstheme="majorHAnsi"/>
              </w:rPr>
              <w:fldChar w:fldCharType="begin"/>
            </w:r>
            <w:r>
              <w:rPr>
                <w:rFonts w:eastAsia="Times New Roman" w:asciiTheme="majorHAnsi" w:hAnsiTheme="majorHAnsi" w:cstheme="majorHAnsi"/>
              </w:rPr>
              <w:instrText xml:space="preserve"> PAGEREF  Consolidatedstatementofcomprehensiveinco  \* MERGEFORMAT </w:instrText>
            </w:r>
            <w:r>
              <w:rPr>
                <w:rFonts w:eastAsia="Times New Roman" w:asciiTheme="majorHAnsi" w:hAnsiTheme="majorHAnsi" w:cstheme="majorHAnsi"/>
              </w:rPr>
              <w:fldChar w:fldCharType="separate"/>
            </w:r>
            <w:r w:rsidR="00A27544">
              <w:rPr>
                <w:rFonts w:eastAsia="Times New Roman" w:asciiTheme="majorHAnsi" w:hAnsiTheme="majorHAnsi" w:cstheme="majorHAnsi"/>
                <w:noProof/>
              </w:rPr>
              <w:t>7</w:t>
            </w:r>
            <w:r>
              <w:rPr>
                <w:rFonts w:eastAsia="Times New Roman" w:asciiTheme="majorHAnsi" w:hAnsiTheme="majorHAnsi" w:cstheme="majorHAnsi"/>
              </w:rPr>
              <w:fldChar w:fldCharType="end"/>
            </w:r>
          </w:p>
        </w:tc>
      </w:tr>
      <w:tr w:rsidR="00F00840" w:rsidTr="00F00840">
        <w:trPr>
          <w:cantSplit/>
          <w:jc w:val="center"/>
        </w:trPr>
        <w:tc>
          <w:tcPr>
            <w:tcW w:w="4583" w:type="pct"/>
            <w:shd w:val="clear" w:color="auto" w:fill="CCEEFF"/>
            <w:vAlign w:val="bottom"/>
          </w:tcPr>
          <w:p w:rsidR="009534E2" w:rsidRDefault="00EC0AE1">
            <w:pPr>
              <w:keepNext/>
              <w:ind w:left="144" w:hanging="144"/>
              <w:rPr>
                <w:rFonts w:eastAsia="Times New Roman" w:asciiTheme="majorHAnsi" w:hAnsiTheme="majorHAnsi" w:cstheme="majorHAnsi"/>
              </w:rPr>
            </w:pPr>
            <w:hyperlink w:history="1" w:anchor="Consolidatedstatementofcashflows_181102">
              <w:r w:rsidR="003369EB">
                <w:rPr>
                  <w:rStyle w:val="Hyperlink"/>
                  <w:rFonts w:eastAsia="Times New Roman" w:asciiTheme="majorHAnsi" w:hAnsiTheme="majorHAnsi" w:cstheme="majorHAnsi"/>
                </w:rPr>
                <w:t>Consolidated statement of cash flows</w:t>
              </w:r>
            </w:hyperlink>
          </w:p>
        </w:tc>
        <w:tc>
          <w:tcPr>
            <w:tcW w:w="152" w:type="pct"/>
            <w:shd w:val="clear" w:color="auto" w:fill="CCEEFF"/>
          </w:tcPr>
          <w:p w:rsidR="009534E2" w:rsidRDefault="009534E2">
            <w:pPr>
              <w:keepNext/>
              <w:jc w:val="right"/>
              <w:rPr>
                <w:rFonts w:eastAsia="Times New Roman" w:asciiTheme="majorHAnsi" w:hAnsiTheme="majorHAnsi" w:cstheme="majorHAnsi"/>
              </w:rPr>
            </w:pPr>
          </w:p>
        </w:tc>
        <w:tc>
          <w:tcPr>
            <w:tcW w:w="265" w:type="pct"/>
            <w:shd w:val="clear" w:color="auto" w:fill="CCEEFF"/>
            <w:vAlign w:val="bottom"/>
          </w:tcPr>
          <w:p w:rsidR="009534E2" w:rsidRDefault="003369EB">
            <w:pPr>
              <w:keepNext/>
              <w:jc w:val="right"/>
              <w:rPr>
                <w:rFonts w:eastAsia="Times New Roman" w:asciiTheme="majorHAnsi" w:hAnsiTheme="majorHAnsi" w:cstheme="majorHAnsi"/>
              </w:rPr>
            </w:pPr>
            <w:r>
              <w:rPr>
                <w:rFonts w:eastAsia="Times New Roman" w:asciiTheme="majorHAnsi" w:hAnsiTheme="majorHAnsi" w:cstheme="majorHAnsi"/>
              </w:rPr>
              <w:t>F-</w:t>
            </w:r>
            <w:r>
              <w:rPr>
                <w:rFonts w:eastAsia="Times New Roman" w:asciiTheme="majorHAnsi" w:hAnsiTheme="majorHAnsi" w:cstheme="majorHAnsi"/>
              </w:rPr>
              <w:fldChar w:fldCharType="begin"/>
            </w:r>
            <w:r>
              <w:rPr>
                <w:rFonts w:eastAsia="Times New Roman" w:asciiTheme="majorHAnsi" w:hAnsiTheme="majorHAnsi" w:cstheme="majorHAnsi"/>
              </w:rPr>
              <w:instrText xml:space="preserve"> PAGEREF  Consolidatedstatementofcashflows_181102  \* MERGEFORMAT </w:instrText>
            </w:r>
            <w:r>
              <w:rPr>
                <w:rFonts w:eastAsia="Times New Roman" w:asciiTheme="majorHAnsi" w:hAnsiTheme="majorHAnsi" w:cstheme="majorHAnsi"/>
              </w:rPr>
              <w:fldChar w:fldCharType="separate"/>
            </w:r>
            <w:r w:rsidR="00A27544">
              <w:rPr>
                <w:rFonts w:eastAsia="Times New Roman" w:asciiTheme="majorHAnsi" w:hAnsiTheme="majorHAnsi" w:cstheme="majorHAnsi"/>
                <w:noProof/>
              </w:rPr>
              <w:t>8</w:t>
            </w:r>
            <w:r>
              <w:rPr>
                <w:rFonts w:eastAsia="Times New Roman" w:asciiTheme="majorHAnsi" w:hAnsiTheme="majorHAnsi" w:cstheme="majorHAnsi"/>
              </w:rPr>
              <w:fldChar w:fldCharType="end"/>
            </w:r>
          </w:p>
        </w:tc>
      </w:tr>
      <w:tr w:rsidR="00F00840" w:rsidTr="00F00840">
        <w:trPr>
          <w:cantSplit/>
          <w:jc w:val="center"/>
        </w:trPr>
        <w:tc>
          <w:tcPr>
            <w:tcW w:w="4583" w:type="pct"/>
            <w:shd w:val="clear" w:color="auto" w:fill="auto"/>
            <w:vAlign w:val="bottom"/>
          </w:tcPr>
          <w:p w:rsidR="009534E2" w:rsidRDefault="00EC0AE1">
            <w:pPr>
              <w:keepNext/>
              <w:ind w:left="144" w:hanging="144"/>
              <w:rPr>
                <w:rFonts w:eastAsia="Times New Roman" w:asciiTheme="majorHAnsi" w:hAnsiTheme="majorHAnsi" w:cstheme="majorHAnsi"/>
              </w:rPr>
            </w:pPr>
            <w:hyperlink w:history="1" w:anchor="Consolidatedstatementofchangesinequity_5">
              <w:r w:rsidR="003369EB">
                <w:rPr>
                  <w:rStyle w:val="Hyperlink"/>
                  <w:rFonts w:eastAsia="Times New Roman" w:asciiTheme="majorHAnsi" w:hAnsiTheme="majorHAnsi" w:cstheme="majorHAnsi"/>
                </w:rPr>
                <w:t>Consolidated statement of changes in equity</w:t>
              </w:r>
            </w:hyperlink>
          </w:p>
        </w:tc>
        <w:tc>
          <w:tcPr>
            <w:tcW w:w="152" w:type="pct"/>
            <w:shd w:val="clear" w:color="auto" w:fill="auto"/>
          </w:tcPr>
          <w:p w:rsidR="009534E2" w:rsidRDefault="009534E2">
            <w:pPr>
              <w:keepNext/>
              <w:jc w:val="right"/>
              <w:rPr>
                <w:rFonts w:eastAsia="Times New Roman" w:asciiTheme="majorHAnsi" w:hAnsiTheme="majorHAnsi" w:cstheme="majorHAnsi"/>
              </w:rPr>
            </w:pPr>
          </w:p>
        </w:tc>
        <w:tc>
          <w:tcPr>
            <w:tcW w:w="265" w:type="pct"/>
            <w:shd w:val="clear" w:color="auto" w:fill="auto"/>
            <w:vAlign w:val="bottom"/>
          </w:tcPr>
          <w:p w:rsidR="009534E2" w:rsidRDefault="003369EB">
            <w:pPr>
              <w:keepNext/>
              <w:jc w:val="right"/>
              <w:rPr>
                <w:rFonts w:eastAsia="Times New Roman" w:asciiTheme="majorHAnsi" w:hAnsiTheme="majorHAnsi" w:cstheme="majorHAnsi"/>
              </w:rPr>
            </w:pPr>
            <w:r>
              <w:rPr>
                <w:rFonts w:eastAsia="Times New Roman" w:asciiTheme="majorHAnsi" w:hAnsiTheme="majorHAnsi" w:cstheme="majorHAnsi"/>
              </w:rPr>
              <w:t>F-</w:t>
            </w:r>
            <w:r>
              <w:rPr>
                <w:rFonts w:eastAsia="Times New Roman" w:asciiTheme="majorHAnsi" w:hAnsiTheme="majorHAnsi" w:cstheme="majorHAnsi"/>
              </w:rPr>
              <w:fldChar w:fldCharType="begin"/>
            </w:r>
            <w:r>
              <w:rPr>
                <w:rFonts w:eastAsia="Times New Roman" w:asciiTheme="majorHAnsi" w:hAnsiTheme="majorHAnsi" w:cstheme="majorHAnsi"/>
              </w:rPr>
              <w:instrText xml:space="preserve"> PAGEREF  Consolidatedstatementofchangesinequity_5  \* MERGEFORMAT </w:instrText>
            </w:r>
            <w:r>
              <w:rPr>
                <w:rFonts w:eastAsia="Times New Roman" w:asciiTheme="majorHAnsi" w:hAnsiTheme="majorHAnsi" w:cstheme="majorHAnsi"/>
              </w:rPr>
              <w:fldChar w:fldCharType="separate"/>
            </w:r>
            <w:r w:rsidR="00A27544">
              <w:rPr>
                <w:rFonts w:eastAsia="Times New Roman" w:asciiTheme="majorHAnsi" w:hAnsiTheme="majorHAnsi" w:cstheme="majorHAnsi"/>
                <w:noProof/>
              </w:rPr>
              <w:t>9</w:t>
            </w:r>
            <w:r>
              <w:rPr>
                <w:rFonts w:eastAsia="Times New Roman" w:asciiTheme="majorHAnsi" w:hAnsiTheme="majorHAnsi" w:cstheme="majorHAnsi"/>
              </w:rPr>
              <w:fldChar w:fldCharType="end"/>
            </w:r>
          </w:p>
        </w:tc>
      </w:tr>
      <w:tr w:rsidR="00F00840" w:rsidTr="00F00840">
        <w:trPr>
          <w:cantSplit/>
          <w:jc w:val="center"/>
        </w:trPr>
        <w:tc>
          <w:tcPr>
            <w:tcW w:w="4583" w:type="pct"/>
            <w:shd w:val="clear" w:color="auto" w:fill="CCEEFF"/>
            <w:vAlign w:val="bottom"/>
          </w:tcPr>
          <w:p w:rsidR="009534E2" w:rsidRDefault="009534E2">
            <w:pPr>
              <w:keepNext/>
              <w:rPr>
                <w:rFonts w:eastAsia="Times New Roman" w:asciiTheme="majorHAnsi" w:hAnsiTheme="majorHAnsi" w:cstheme="majorHAnsi"/>
              </w:rPr>
            </w:pPr>
          </w:p>
        </w:tc>
        <w:tc>
          <w:tcPr>
            <w:tcW w:w="152" w:type="pct"/>
            <w:shd w:val="clear" w:color="auto" w:fill="CCEEFF"/>
          </w:tcPr>
          <w:p w:rsidR="009534E2" w:rsidRDefault="009534E2">
            <w:pPr>
              <w:keepNext/>
              <w:jc w:val="right"/>
              <w:rPr>
                <w:rFonts w:eastAsia="Times New Roman" w:asciiTheme="majorHAnsi" w:hAnsiTheme="majorHAnsi" w:cstheme="majorHAnsi"/>
              </w:rPr>
            </w:pPr>
          </w:p>
        </w:tc>
        <w:tc>
          <w:tcPr>
            <w:tcW w:w="265" w:type="pct"/>
            <w:shd w:val="clear" w:color="auto" w:fill="CCEEFF"/>
            <w:vAlign w:val="bottom"/>
          </w:tcPr>
          <w:p w:rsidR="009534E2" w:rsidRDefault="009534E2">
            <w:pPr>
              <w:keepNext/>
              <w:jc w:val="right"/>
              <w:rPr>
                <w:rFonts w:eastAsia="Times New Roman" w:asciiTheme="majorHAnsi" w:hAnsiTheme="majorHAnsi" w:cstheme="majorHAnsi"/>
              </w:rPr>
            </w:pPr>
          </w:p>
        </w:tc>
      </w:tr>
      <w:tr w:rsidR="00F00840" w:rsidTr="00F00840">
        <w:trPr>
          <w:cantSplit/>
          <w:jc w:val="center"/>
        </w:trPr>
        <w:tc>
          <w:tcPr>
            <w:tcW w:w="4583" w:type="pct"/>
            <w:shd w:val="clear" w:color="auto" w:fill="auto"/>
            <w:vAlign w:val="bottom"/>
          </w:tcPr>
          <w:p w:rsidR="009534E2" w:rsidRDefault="00EC0AE1">
            <w:pPr>
              <w:keepNext/>
              <w:ind w:left="144" w:hanging="144"/>
              <w:rPr>
                <w:rFonts w:eastAsia="Times New Roman" w:asciiTheme="majorHAnsi" w:hAnsiTheme="majorHAnsi" w:cstheme="majorHAnsi"/>
              </w:rPr>
            </w:pPr>
            <w:hyperlink w:history="1" w:anchor="Notestoconsolidatedfinancialstatements_1">
              <w:r w:rsidR="003369EB">
                <w:rPr>
                  <w:rStyle w:val="Hyperlink"/>
                  <w:rFonts w:eastAsia="Times New Roman" w:asciiTheme="majorHAnsi" w:hAnsiTheme="majorHAnsi" w:cstheme="majorHAnsi"/>
                </w:rPr>
                <w:t>Notes to consolidated financial statements</w:t>
              </w:r>
            </w:hyperlink>
          </w:p>
        </w:tc>
        <w:tc>
          <w:tcPr>
            <w:tcW w:w="152" w:type="pct"/>
            <w:shd w:val="clear" w:color="auto" w:fill="auto"/>
          </w:tcPr>
          <w:p w:rsidR="009534E2" w:rsidRDefault="009534E2">
            <w:pPr>
              <w:keepNext/>
              <w:jc w:val="right"/>
              <w:rPr>
                <w:rFonts w:eastAsia="Times New Roman" w:asciiTheme="majorHAnsi" w:hAnsiTheme="majorHAnsi" w:cstheme="majorHAnsi"/>
              </w:rPr>
            </w:pPr>
          </w:p>
        </w:tc>
        <w:tc>
          <w:tcPr>
            <w:tcW w:w="265" w:type="pct"/>
            <w:shd w:val="clear" w:color="auto" w:fill="auto"/>
            <w:vAlign w:val="bottom"/>
          </w:tcPr>
          <w:p w:rsidR="009534E2" w:rsidRDefault="003369EB">
            <w:pPr>
              <w:keepNext/>
              <w:jc w:val="right"/>
              <w:rPr>
                <w:rFonts w:eastAsia="Times New Roman" w:asciiTheme="majorHAnsi" w:hAnsiTheme="majorHAnsi" w:cstheme="majorHAnsi"/>
              </w:rPr>
            </w:pPr>
            <w:r>
              <w:rPr>
                <w:rFonts w:eastAsia="Times New Roman" w:asciiTheme="majorHAnsi" w:hAnsiTheme="majorHAnsi" w:cstheme="majorHAnsi"/>
              </w:rPr>
              <w:t>F-</w:t>
            </w:r>
            <w:r>
              <w:rPr>
                <w:rFonts w:eastAsia="Times New Roman" w:asciiTheme="majorHAnsi" w:hAnsiTheme="majorHAnsi" w:cstheme="majorHAnsi"/>
              </w:rPr>
              <w:fldChar w:fldCharType="begin"/>
            </w:r>
            <w:r>
              <w:rPr>
                <w:rFonts w:eastAsia="Times New Roman" w:asciiTheme="majorHAnsi" w:hAnsiTheme="majorHAnsi" w:cstheme="majorHAnsi"/>
              </w:rPr>
              <w:instrText xml:space="preserve"> PAGEREF  Notestoconsolidatedfinancialstatements_1  \* MERGEFORMAT </w:instrText>
            </w:r>
            <w:r>
              <w:rPr>
                <w:rFonts w:eastAsia="Times New Roman" w:asciiTheme="majorHAnsi" w:hAnsiTheme="majorHAnsi" w:cstheme="majorHAnsi"/>
              </w:rPr>
              <w:fldChar w:fldCharType="separate"/>
            </w:r>
            <w:r w:rsidR="00A27544">
              <w:rPr>
                <w:rFonts w:eastAsia="Times New Roman" w:asciiTheme="majorHAnsi" w:hAnsiTheme="majorHAnsi" w:cstheme="majorHAnsi"/>
                <w:noProof/>
              </w:rPr>
              <w:t>12</w:t>
            </w:r>
            <w:r>
              <w:rPr>
                <w:rFonts w:eastAsia="Times New Roman" w:asciiTheme="majorHAnsi" w:hAnsiTheme="majorHAnsi" w:cstheme="majorHAnsi"/>
              </w:rPr>
              <w:fldChar w:fldCharType="end"/>
            </w:r>
          </w:p>
        </w:tc>
      </w:tr>
    </w:tbl>
    <w:p w:rsidR="009534E2" w:rsidRDefault="00EC0AE1">
      <w:pPr>
        <w:rPr>
          <w:rFonts w:asciiTheme="majorHAnsi" w:hAnsiTheme="majorHAnsi" w:cstheme="majorHAnsi"/>
          <w:sz w:val="2"/>
        </w:rPr>
      </w:pPr>
    </w:p>
    <w:bookmarkEnd w:displacedByCustomXml="next" w:id="786"/>
    <w:p w:rsidR="009534E2" w:rsidRDefault="009534E2">
      <w:pPr>
        <w:rPr>
          <w:rFonts w:asciiTheme="majorHAnsi" w:hAnsiTheme="majorHAnsi" w:cstheme="majorHAnsi"/>
        </w:rPr>
      </w:pPr>
    </w:p>
    <w:p w:rsidR="009534E2" w:rsidRDefault="009534E2">
      <w:pPr>
        <w:rPr>
          <w:rFonts w:asciiTheme="majorHAnsi" w:hAnsiTheme="majorHAnsi" w:cstheme="majorHAnsi"/>
        </w:rPr>
        <w:sectPr w:rsidR="009534E2">
          <w:footerReference w:type="default" r:id="rId29"/>
          <w:footerReference w:type="first" r:id="rId30"/>
          <w:pgSz w:w="12240" w:h="15840" w:code="1"/>
          <w:pgMar w:top="720" w:right="720" w:bottom="720" w:left="720" w:header="720" w:footer="720" w:gutter="0"/>
          <w:pgNumType w:start="1"/>
          <w:cols w:space="720"/>
          <w:titlePg/>
          <w:docGrid w:linePitch="360"/>
        </w:sectPr>
      </w:pPr>
    </w:p>
    <w:p w:rsidR="009534E2" w:rsidRDefault="009534E2">
      <w:pPr>
        <w:tabs>
          <w:tab w:val="left" w:pos="2020"/>
        </w:tabs>
        <w:rPr>
          <w:rFonts w:asciiTheme="majorHAnsi" w:hAnsiTheme="majorHAnsi" w:cstheme="majorHAnsi"/>
        </w:rPr>
      </w:pPr>
    </w:p>
    <w:bookmarkStart w:name="Reportofindependentregisteredpublicaccou" w:displacedByCustomXml="next" w:id="794"/>
    <w:bookmarkEnd w:displacedByCustomXml="next" w:id="794"/>
    <w:bookmarkStart w:name="_Hlk131065034" w:displacedByCustomXml="next" w:id="795"/>
    <w:p w:rsidR="009534E2" w:rsidRDefault="003369EB">
      <w:pPr>
        <w:pStyle w:val="Heading1"/>
        <w:keepNext w:val="0"/>
        <w:keepLines w:val="0"/>
        <w:ind w:left="720" w:hanging="720"/>
        <w:jc w:val="center"/>
      </w:pPr>
      <w:r>
        <w:rPr>
          <w:rFonts w:eastAsia="Times New Roman"/>
        </w:rPr>
        <w:t>Report of Independent Registered Public Accounting Firm</w:t>
      </w:r>
    </w:p>
    <w:p w:rsidR="009534E2" w:rsidRDefault="003369EB">
      <w:pPr>
        <w:tabs>
          <w:tab w:val="left" w:pos="360"/>
        </w:tabs>
        <w:spacing w:after="200"/>
        <w:rPr>
          <w:rFonts w:eastAsia="Times New Roman" w:asciiTheme="majorHAnsi" w:hAnsiTheme="majorHAnsi" w:cstheme="majorHAnsi"/>
        </w:rPr>
      </w:pPr>
      <w:r>
        <w:rPr>
          <w:rFonts w:eastAsia="Times New Roman" w:asciiTheme="majorHAnsi" w:hAnsiTheme="majorHAnsi" w:cstheme="majorHAnsi"/>
        </w:rPr>
        <w:t>To the Shareholders and Board of Directors</w:t>
      </w:r>
      <w:r>
        <w:rPr>
          <w:rFonts w:eastAsia="Times New Roman" w:asciiTheme="majorHAnsi" w:hAnsiTheme="majorHAnsi" w:cstheme="majorHAnsi"/>
        </w:rPr>
        <w:br/>
        <w:t>QIWI plc:</w:t>
      </w:r>
    </w:p>
    <w:p w:rsidR="009534E2" w:rsidRDefault="003369EB">
      <w:pPr>
        <w:keepNext/>
        <w:keepLines/>
        <w:tabs>
          <w:tab w:val="left" w:pos="360"/>
        </w:tabs>
        <w:spacing w:after="200"/>
        <w:rPr>
          <w:rFonts w:eastAsia="Times New Roman" w:asciiTheme="majorHAnsi" w:hAnsiTheme="majorHAnsi" w:cstheme="majorHAnsi"/>
        </w:rPr>
      </w:pPr>
      <w:r>
        <w:rPr>
          <w:rFonts w:eastAsia="Times New Roman" w:asciiTheme="majorHAnsi" w:hAnsiTheme="majorHAnsi" w:cstheme="majorHAnsi"/>
          <w:i/>
        </w:rPr>
        <w:t>Opinion on the Consolidated Financial Statements</w:t>
      </w:r>
    </w:p>
    <w:p w:rsidR="009534E2" w:rsidRDefault="003369EB">
      <w:pPr>
        <w:spacing w:after="200"/>
        <w:jc w:val="both"/>
        <w:rPr>
          <w:rFonts w:eastAsia="Times New Roman" w:asciiTheme="majorHAnsi" w:hAnsiTheme="majorHAnsi" w:cstheme="majorHAnsi"/>
        </w:rPr>
      </w:pPr>
      <w:r>
        <w:rPr>
          <w:rFonts w:eastAsia="Times New Roman" w:asciiTheme="majorHAnsi" w:hAnsiTheme="majorHAnsi" w:cstheme="majorHAnsi"/>
        </w:rPr>
        <w:t>We have audited the accompanying consolidated statement of financial position of QIWI plc and subsidiaries (the Group) as of December 31, 2022, the related consolidated statements of comprehensive income, changes in equity, and cash flows for the year then ended and the related notes (collectively, the consolidated financial statements). In our opinion, the consolidated financial statements present fairly, in all material respects, the financial position of the Group as of December 31, 2022, and the results of its operations and its cash flows for the year then ended, in conformity with International Financial Reporting Standards as issued by the International Accounting Standards Board.</w:t>
      </w:r>
    </w:p>
    <w:p w:rsidR="009534E2" w:rsidRDefault="003369EB">
      <w:pPr>
        <w:spacing w:after="200"/>
        <w:jc w:val="both"/>
        <w:rPr>
          <w:rFonts w:eastAsia="Times New Roman" w:asciiTheme="majorHAnsi" w:hAnsiTheme="majorHAnsi" w:cstheme="majorHAnsi"/>
        </w:rPr>
      </w:pPr>
      <w:r>
        <w:rPr>
          <w:rFonts w:eastAsia="Times New Roman" w:asciiTheme="majorHAnsi" w:hAnsiTheme="majorHAnsi" w:cstheme="majorHAnsi"/>
        </w:rPr>
        <w:t>We also have audited, in accordance with the standards of the Public Company Accounting Oversight Board (United States) (PCAOB), the Group’s internal control over financial reporting as of December 31, 2022, based on criteria established in Internal Control – Integrated Framework (2013) issued by the Committee of Sponsoring Organizations of the Treadway Commission, and our report dated  March 31, 2023 expressed an unqualified opinion on the effectiveness of the Group’s internal control over financial reporting.</w:t>
      </w:r>
    </w:p>
    <w:p w:rsidR="009534E2" w:rsidRDefault="003369EB">
      <w:pPr>
        <w:keepNext/>
        <w:keepLines/>
        <w:tabs>
          <w:tab w:val="left" w:pos="360"/>
        </w:tabs>
        <w:spacing w:after="200"/>
        <w:rPr>
          <w:rFonts w:eastAsia="Times New Roman" w:asciiTheme="majorHAnsi" w:hAnsiTheme="majorHAnsi" w:cstheme="majorHAnsi"/>
        </w:rPr>
      </w:pPr>
      <w:r>
        <w:rPr>
          <w:rFonts w:eastAsia="Times New Roman" w:asciiTheme="majorHAnsi" w:hAnsiTheme="majorHAnsi" w:cstheme="majorHAnsi"/>
          <w:i/>
        </w:rPr>
        <w:t>Basis for Opinion</w:t>
      </w:r>
    </w:p>
    <w:p w:rsidR="009534E2" w:rsidRDefault="003369EB">
      <w:pPr>
        <w:spacing w:after="200"/>
        <w:jc w:val="both"/>
        <w:rPr>
          <w:rFonts w:eastAsia="Times New Roman" w:asciiTheme="majorHAnsi" w:hAnsiTheme="majorHAnsi" w:cstheme="majorHAnsi"/>
        </w:rPr>
      </w:pPr>
      <w:r>
        <w:rPr>
          <w:rFonts w:eastAsia="Times New Roman" w:asciiTheme="majorHAnsi" w:hAnsiTheme="majorHAnsi" w:cstheme="majorHAnsi"/>
        </w:rPr>
        <w:t>These consolidated financial statements are the responsibility of the Group’s management. Our responsibility is to express an opinion on the Group’s consolidated financial statements based on our audits. We are a public accounting firm registered with the PCAOB and are required to be independent with respect to the Group in accordance with the U.S. federal securities laws and the applicable rules and regulations of the Securities and Exchange Commission and the PCAOB.</w:t>
      </w:r>
    </w:p>
    <w:p w:rsidR="009534E2" w:rsidRDefault="003369EB">
      <w:pPr>
        <w:spacing w:after="200"/>
        <w:jc w:val="both"/>
        <w:rPr>
          <w:rFonts w:eastAsia="Times New Roman" w:asciiTheme="majorHAnsi" w:hAnsiTheme="majorHAnsi" w:cstheme="majorHAnsi"/>
        </w:rPr>
      </w:pPr>
      <w:r>
        <w:rPr>
          <w:rFonts w:eastAsia="Times New Roman" w:asciiTheme="majorHAnsi" w:hAnsiTheme="majorHAnsi" w:cstheme="majorHAnsi"/>
        </w:rPr>
        <w:t>We conducted our audits in accordance with the standards of the PCAOB. Those standards require that we plan and perform the audit to obtain reasonable assurance about whether the consolidated financial statements are free of material misstatement, whether due to error or fraud. Our audits included performing procedures to assess the risks of material misstatement of the consolidated financial statements, whether due to error or fraud, and performing procedures that respond to those risks. Such procedures included examining, on a test basis, evidence regarding the amounts and disclosures in the consolidated financial statements. Our audits also included evaluating the accounting principles used and significant estimates made by management, as well as evaluating the overall presentation of the consolidated financial statements. We believe that our audits provide a reasonable basis for our opinion.</w:t>
      </w:r>
    </w:p>
    <w:p w:rsidR="009534E2" w:rsidRDefault="003369EB">
      <w:bookmarkStart w:name="_1c611bd5_f9d4_458a_83d3_372cb8f60a0b" w:id="796"/>
      <w:bookmarkEnd w:id="796"/>
      <w:r>
        <w:br w:type="page"/>
      </w:r>
    </w:p>
    <w:p w:rsidR="009534E2" w:rsidRDefault="009534E2"/>
    <w:p w:rsidR="009534E2" w:rsidRDefault="003369EB">
      <w:pPr>
        <w:keepNext/>
        <w:keepLines/>
        <w:tabs>
          <w:tab w:val="left" w:pos="360"/>
        </w:tabs>
        <w:spacing w:after="200"/>
        <w:rPr>
          <w:rFonts w:eastAsia="Times New Roman" w:asciiTheme="majorHAnsi" w:hAnsiTheme="majorHAnsi" w:cstheme="majorHAnsi"/>
        </w:rPr>
      </w:pPr>
      <w:r>
        <w:rPr>
          <w:rFonts w:eastAsia="Times New Roman" w:asciiTheme="majorHAnsi" w:hAnsiTheme="majorHAnsi" w:cstheme="majorHAnsi"/>
          <w:i/>
        </w:rPr>
        <w:t>Critical Audit Matters</w:t>
      </w:r>
    </w:p>
    <w:p w:rsidR="009534E2" w:rsidRDefault="003369EB">
      <w:pPr>
        <w:keepLines/>
        <w:spacing w:after="200"/>
        <w:jc w:val="both"/>
        <w:rPr>
          <w:rFonts w:eastAsia="Times New Roman" w:asciiTheme="majorHAnsi" w:hAnsiTheme="majorHAnsi" w:cstheme="majorHAnsi"/>
        </w:rPr>
      </w:pPr>
      <w:r>
        <w:rPr>
          <w:rFonts w:eastAsia="Times New Roman" w:asciiTheme="majorHAnsi" w:hAnsiTheme="majorHAnsi" w:cstheme="majorHAnsi"/>
        </w:rPr>
        <w:t>The critical audit matters communicated below are matters arising from the current period audit of the consolidated financial statements that were communicated or required to be communicated to the audit committee and that: (1) relate to accounts or disclosures that are material to the consolidated financial statements and (2) involved our especially challenging, subjective, or complex judgments. The communication of a critical audit matter does not alter in any way our opinion on the consolidated financial statements, taken as a whole, and we are not, by communicating the critical audit matters below, providing a separate opinion on the critical audit matters or on the accounts or disclosures to which they relate.</w:t>
      </w:r>
    </w:p>
    <w:p w:rsidR="009534E2" w:rsidRDefault="003369EB">
      <w:pPr>
        <w:keepNext/>
        <w:keepLines/>
        <w:spacing w:after="100"/>
        <w:jc w:val="both"/>
        <w:rPr>
          <w:rFonts w:eastAsia="Times New Roman" w:asciiTheme="majorHAnsi" w:hAnsiTheme="majorHAnsi" w:cstheme="majorHAnsi"/>
        </w:rPr>
      </w:pPr>
      <w:r>
        <w:rPr>
          <w:rFonts w:eastAsia="Times New Roman" w:asciiTheme="majorHAnsi" w:hAnsiTheme="majorHAnsi" w:cstheme="majorHAnsi"/>
          <w:b/>
          <w:i/>
        </w:rPr>
        <w:t>Revenue recognition for payment processing fees</w:t>
      </w:r>
    </w:p>
    <w:p w:rsidR="009534E2" w:rsidRDefault="003369EB">
      <w:pPr>
        <w:keepNext/>
        <w:keepLines/>
        <w:spacing w:after="200"/>
        <w:rPr>
          <w:rFonts w:eastAsia="Times New Roman" w:asciiTheme="majorHAnsi" w:hAnsiTheme="majorHAnsi" w:cstheme="majorHAnsi"/>
        </w:rPr>
      </w:pPr>
      <w:r>
        <w:rPr>
          <w:rFonts w:eastAsia="Times New Roman" w:asciiTheme="majorHAnsi" w:hAnsiTheme="majorHAnsi" w:cstheme="majorHAnsi"/>
          <w:i/>
        </w:rPr>
        <w:t>Description of the Matter</w:t>
      </w:r>
    </w:p>
    <w:p w:rsidR="009534E2" w:rsidRDefault="003369EB">
      <w:pPr>
        <w:spacing w:after="200"/>
        <w:jc w:val="both"/>
        <w:rPr>
          <w:rFonts w:eastAsia="Times New Roman" w:asciiTheme="majorHAnsi" w:hAnsiTheme="majorHAnsi" w:cstheme="majorHAnsi"/>
        </w:rPr>
      </w:pPr>
      <w:r>
        <w:rPr>
          <w:rFonts w:eastAsia="Times New Roman" w:asciiTheme="majorHAnsi" w:hAnsiTheme="majorHAnsi" w:cstheme="majorHAnsi"/>
        </w:rPr>
        <w:t>As described in Note 3.14 to the consolidated financial statements, the Group earns fees for processing payments initiated by the individuals (“consumers”) to settle transactions with merchants and service providers (“merchants”) or make money transfers to other individuals. In 2022, revenues from processing fees accounted for RUB 37,689 million. The processing of payments and recognition of revenues from processing fees are highly automated and are composed of a significant volume of low-value transactions, captured and processed by multiple systems and databases.</w:t>
      </w:r>
    </w:p>
    <w:p w:rsidR="009534E2" w:rsidRDefault="003369EB">
      <w:pPr>
        <w:spacing w:after="200"/>
        <w:jc w:val="both"/>
        <w:rPr>
          <w:rFonts w:eastAsia="Times New Roman" w:asciiTheme="majorHAnsi" w:hAnsiTheme="majorHAnsi" w:cstheme="majorHAnsi"/>
        </w:rPr>
      </w:pPr>
      <w:r>
        <w:rPr>
          <w:rFonts w:eastAsia="Times New Roman" w:asciiTheme="majorHAnsi" w:hAnsiTheme="majorHAnsi" w:cstheme="majorHAnsi"/>
        </w:rPr>
        <w:t>We identified revenue recognition for payment processing fees as a critical audit matter, as this audit area was especially challenging due to the multiple IT systems utilized in the processing of payments and the related determination of the recognized payment processing fee amount. There was complexity in obtaining understanding of the structure of the systems and processes used to capture the large volumes of transaction data, as well as the manual and automated interfaces used to transfer and reconcile data between the different applications, which capture and record payments from consumers and merchants and compute the related fee, and accounting systems, which accumulate and record the processing fees.</w:t>
      </w:r>
    </w:p>
    <w:p w:rsidR="009534E2" w:rsidRDefault="003369EB">
      <w:pPr>
        <w:keepNext/>
        <w:keepLines/>
        <w:spacing w:after="200"/>
        <w:rPr>
          <w:rFonts w:eastAsia="Times New Roman" w:asciiTheme="majorHAnsi" w:hAnsiTheme="majorHAnsi" w:cstheme="majorHAnsi"/>
          <w:iCs/>
        </w:rPr>
      </w:pPr>
      <w:r>
        <w:rPr>
          <w:rFonts w:eastAsia="Times New Roman" w:asciiTheme="majorHAnsi" w:hAnsiTheme="majorHAnsi" w:cstheme="majorHAnsi"/>
          <w:i/>
        </w:rPr>
        <w:t>Нow We Addressed the Matter</w:t>
      </w:r>
      <w:r>
        <w:rPr>
          <w:rFonts w:eastAsia="Times New Roman" w:asciiTheme="majorHAnsi" w:hAnsiTheme="majorHAnsi" w:cstheme="majorHAnsi"/>
          <w:i/>
          <w:iCs/>
          <w:color w:val="000000"/>
        </w:rPr>
        <w:t xml:space="preserve"> in Our Audit</w:t>
      </w:r>
    </w:p>
    <w:p w:rsidR="009534E2" w:rsidRDefault="003369EB">
      <w:pPr>
        <w:spacing w:after="200"/>
        <w:jc w:val="both"/>
        <w:rPr>
          <w:rFonts w:eastAsia="Times New Roman" w:asciiTheme="majorHAnsi" w:hAnsiTheme="majorHAnsi" w:cstheme="majorHAnsi"/>
        </w:rPr>
      </w:pPr>
      <w:r>
        <w:rPr>
          <w:rFonts w:eastAsia="Times New Roman" w:asciiTheme="majorHAnsi" w:hAnsiTheme="majorHAnsi" w:cstheme="majorHAnsi"/>
        </w:rPr>
        <w:t>We obtained an understanding, evaluated the design and tested the operating effectiveness of controls over the Group’s process to recognize revenue for payment processing fees. With the assistance of IT professionals, we obtained an understanding and evaluated the design and operating effectiveness of the general IT controls in the IT environments where the processing and accounting systems reside. We tested process level application controls within the systems utilized and manual controls within the payment processing revenue recognition process.</w:t>
      </w:r>
    </w:p>
    <w:p w:rsidR="009534E2" w:rsidRDefault="003369EB">
      <w:pPr>
        <w:spacing w:after="200"/>
        <w:jc w:val="both"/>
        <w:rPr>
          <w:rFonts w:eastAsia="Times New Roman" w:asciiTheme="majorHAnsi" w:hAnsiTheme="majorHAnsi" w:cstheme="majorHAnsi"/>
        </w:rPr>
      </w:pPr>
      <w:r>
        <w:rPr>
          <w:rFonts w:eastAsia="Times New Roman" w:asciiTheme="majorHAnsi" w:hAnsiTheme="majorHAnsi" w:cstheme="majorHAnsi"/>
        </w:rPr>
        <w:t>Our audit procedures over payment processing fees revenue recognition included, among others, reconciliation of data between the Group’s processing systems and the accounting ledger. For a sample of revenue transactions, we performed detailed transaction testing by reconciling the amounts recognized in the accounting system to appropriate supporting documentation, including confirmations from third parties. We also developed an independent expectation of revenue from payment processing fees and compared it to the amount recorded in the financial statements.</w:t>
      </w:r>
    </w:p>
    <w:p w:rsidR="009534E2" w:rsidRDefault="003369EB">
      <w:pPr>
        <w:keepNext/>
        <w:keepLines/>
        <w:spacing w:after="100"/>
        <w:rPr>
          <w:rFonts w:eastAsia="Times New Roman" w:asciiTheme="majorHAnsi" w:hAnsiTheme="majorHAnsi" w:cstheme="majorHAnsi"/>
          <w:lang w:val="en-AU"/>
        </w:rPr>
      </w:pPr>
      <w:r>
        <w:rPr>
          <w:rFonts w:eastAsia="Times New Roman" w:asciiTheme="majorHAnsi" w:hAnsiTheme="majorHAnsi" w:cstheme="majorHAnsi"/>
          <w:b/>
          <w:i/>
          <w:color w:val="000000"/>
          <w:lang w:val="en-AU"/>
        </w:rPr>
        <w:t>Acquisition date fair values of certain intangible assets in RealWeb group</w:t>
      </w:r>
    </w:p>
    <w:p w:rsidR="009534E2" w:rsidRDefault="003369EB">
      <w:pPr>
        <w:keepNext/>
        <w:keepLines/>
        <w:spacing w:after="100"/>
        <w:rPr>
          <w:rFonts w:eastAsia="Times New Roman" w:asciiTheme="majorHAnsi" w:hAnsiTheme="majorHAnsi" w:cstheme="majorHAnsi"/>
          <w:iCs/>
          <w:lang w:val="en-AU"/>
        </w:rPr>
      </w:pPr>
      <w:r>
        <w:rPr>
          <w:rFonts w:eastAsia="Times New Roman" w:asciiTheme="majorHAnsi" w:hAnsiTheme="majorHAnsi" w:cstheme="majorHAnsi"/>
          <w:i/>
          <w:iCs/>
          <w:color w:val="000000"/>
          <w:lang w:val="en-AU"/>
        </w:rPr>
        <w:t>Description of the Matter</w:t>
      </w:r>
    </w:p>
    <w:p w:rsidR="009534E2" w:rsidRDefault="003369EB">
      <w:pPr>
        <w:spacing w:after="200"/>
        <w:jc w:val="both"/>
        <w:rPr>
          <w:rFonts w:eastAsia="Times New Roman" w:asciiTheme="majorHAnsi" w:hAnsiTheme="majorHAnsi" w:cstheme="majorHAnsi"/>
          <w:color w:val="000000"/>
          <w:lang w:val="en-AU"/>
        </w:rPr>
      </w:pPr>
      <w:r>
        <w:rPr>
          <w:rFonts w:eastAsia="Times New Roman" w:asciiTheme="majorHAnsi" w:hAnsiTheme="majorHAnsi" w:cstheme="majorHAnsi"/>
          <w:color w:val="000000"/>
          <w:lang w:val="en-AU"/>
        </w:rPr>
        <w:t xml:space="preserve">As disclosed in Note 6 to the consolidated financial statements, the Group completed the acquisition of RealWeb group on December 15, 2022. The transaction </w:t>
      </w:r>
      <w:r>
        <w:rPr>
          <w:rFonts w:eastAsia="Times New Roman" w:asciiTheme="majorHAnsi" w:hAnsiTheme="majorHAnsi" w:cstheme="majorHAnsi"/>
          <w:lang w:val="en-GB"/>
        </w:rPr>
        <w:t xml:space="preserve">is accounted for as a business combination and the </w:t>
      </w:r>
      <w:r>
        <w:rPr>
          <w:rFonts w:eastAsia="Times New Roman" w:asciiTheme="majorHAnsi" w:hAnsiTheme="majorHAnsi" w:cstheme="majorHAnsi"/>
          <w:lang w:val="en-AU"/>
        </w:rPr>
        <w:t>Group</w:t>
      </w:r>
      <w:r>
        <w:rPr>
          <w:rFonts w:eastAsia="Times New Roman" w:asciiTheme="majorHAnsi" w:hAnsiTheme="majorHAnsi" w:cstheme="majorHAnsi"/>
          <w:lang w:val="en-GB"/>
        </w:rPr>
        <w:t xml:space="preserve"> preliminarily allocated </w:t>
      </w:r>
      <w:r>
        <w:rPr>
          <w:rFonts w:eastAsia="Times New Roman" w:asciiTheme="majorHAnsi" w:hAnsiTheme="majorHAnsi" w:cstheme="majorHAnsi"/>
          <w:color w:val="000000"/>
          <w:lang w:val="en-AU"/>
        </w:rPr>
        <w:t>RUB 792 million and RUB 371 million</w:t>
      </w:r>
      <w:r>
        <w:rPr>
          <w:rFonts w:eastAsia="Times New Roman" w:asciiTheme="majorHAnsi" w:hAnsiTheme="majorHAnsi" w:cstheme="majorHAnsi"/>
          <w:lang w:val="en-GB"/>
        </w:rPr>
        <w:t xml:space="preserve"> of the purchase price to the fair value of the acquired software and trademarks</w:t>
      </w:r>
      <w:r>
        <w:rPr>
          <w:rFonts w:eastAsia="Times New Roman" w:asciiTheme="majorHAnsi" w:hAnsiTheme="majorHAnsi" w:cstheme="majorHAnsi"/>
          <w:color w:val="000000"/>
        </w:rPr>
        <w:t xml:space="preserve">. The Group is yet to finalize the estimates of fair values of assets acquired and liabilities assumed including finalizing valuations of certain tangible and intangible assets, as the allocation of the purchase price as of the reporting date was done on provisional basis and is subject to revision as of December 31, 2022. </w:t>
      </w:r>
      <w:r>
        <w:rPr>
          <w:rFonts w:eastAsia="Times New Roman" w:asciiTheme="majorHAnsi" w:hAnsiTheme="majorHAnsi" w:cstheme="majorHAnsi"/>
          <w:color w:val="000000"/>
          <w:lang w:val="en-AU"/>
        </w:rPr>
        <w:t>We identified the evaluation of the acquisition date fair values of the software and trademarks as critical audit matter, because subjective and complex auditor judgment was required to evaluate the appropriateness of forecasted revenue growth rates, royalty rate, discount rate and estimated cost of developing the software.</w:t>
      </w:r>
    </w:p>
    <w:p w:rsidR="009534E2" w:rsidRDefault="003369EB">
      <w:pPr>
        <w:spacing w:after="200"/>
        <w:jc w:val="both"/>
        <w:rPr>
          <w:rFonts w:eastAsia="Times New Roman" w:asciiTheme="majorHAnsi" w:hAnsiTheme="majorHAnsi" w:cstheme="majorHAnsi"/>
          <w:color w:val="000000"/>
        </w:rPr>
      </w:pPr>
      <w:r>
        <w:rPr>
          <w:rFonts w:eastAsia="Times New Roman" w:asciiTheme="majorHAnsi" w:hAnsiTheme="majorHAnsi" w:cstheme="majorHAnsi"/>
          <w:color w:val="000000"/>
        </w:rPr>
        <w:t>The Group used the relief-from-royalty method to determine the estimated fair value of the trademarks and replacement cost approach to determine the estimated fair value of the software. The significant assumptions used to estimate the fair value of the intangible assets included:</w:t>
      </w:r>
    </w:p>
    <w:p w:rsidR="009534E2" w:rsidRDefault="003369EB">
      <w:pPr>
        <w:spacing w:after="100"/>
        <w:ind w:left="720" w:hanging="360"/>
        <w:rPr>
          <w:rFonts w:eastAsia="Times New Roman" w:asciiTheme="majorHAnsi" w:hAnsiTheme="majorHAnsi" w:cstheme="majorHAnsi"/>
          <w:lang w:val="en-AU"/>
        </w:rPr>
      </w:pPr>
      <w:r>
        <w:rPr>
          <w:rFonts w:eastAsia="Times New Roman" w:asciiTheme="majorHAnsi" w:hAnsiTheme="majorHAnsi" w:cstheme="majorHAnsi"/>
          <w:color w:val="000000"/>
        </w:rPr>
        <w:t>-</w:t>
      </w:r>
      <w:r>
        <w:rPr>
          <w:rFonts w:eastAsia="Times New Roman" w:asciiTheme="majorHAnsi" w:hAnsiTheme="majorHAnsi" w:cstheme="majorHAnsi"/>
          <w:color w:val="000000"/>
        </w:rPr>
        <w:tab/>
      </w:r>
      <w:r>
        <w:rPr>
          <w:rFonts w:eastAsia="Times New Roman" w:asciiTheme="majorHAnsi" w:hAnsiTheme="majorHAnsi" w:cstheme="majorHAnsi"/>
          <w:color w:val="000000"/>
          <w:lang w:val="en-AU"/>
        </w:rPr>
        <w:t>forecasted revenue growth rates, royalty rate and discount rate used in determining the fair value of the trademarks;</w:t>
      </w:r>
    </w:p>
    <w:p w:rsidR="009534E2" w:rsidRDefault="003369EB">
      <w:pPr>
        <w:spacing w:after="100"/>
        <w:ind w:left="720" w:hanging="360"/>
        <w:rPr>
          <w:rFonts w:eastAsia="Times New Roman" w:asciiTheme="majorHAnsi" w:hAnsiTheme="majorHAnsi" w:cstheme="majorHAnsi"/>
          <w:lang w:val="en-AU"/>
        </w:rPr>
      </w:pPr>
      <w:r>
        <w:rPr>
          <w:rFonts w:eastAsia="Times New Roman" w:asciiTheme="majorHAnsi" w:hAnsiTheme="majorHAnsi" w:cstheme="majorHAnsi"/>
          <w:color w:val="000000"/>
        </w:rPr>
        <w:t>-</w:t>
      </w:r>
      <w:r>
        <w:rPr>
          <w:rFonts w:eastAsia="Times New Roman" w:asciiTheme="majorHAnsi" w:hAnsiTheme="majorHAnsi" w:cstheme="majorHAnsi"/>
          <w:color w:val="000000"/>
        </w:rPr>
        <w:tab/>
      </w:r>
      <w:r>
        <w:rPr>
          <w:rFonts w:eastAsia="Times New Roman" w:asciiTheme="majorHAnsi" w:hAnsiTheme="majorHAnsi" w:cstheme="majorHAnsi"/>
          <w:color w:val="000000"/>
          <w:lang w:val="en-AU"/>
        </w:rPr>
        <w:t>the estimate of staff hours and related personnel expenses required to develop the software in its condition at the date of acquisition.</w:t>
      </w:r>
    </w:p>
    <w:p w:rsidR="009534E2" w:rsidRDefault="003369EB">
      <w:pPr>
        <w:keepNext/>
        <w:keepLines/>
        <w:spacing w:after="200"/>
        <w:rPr>
          <w:rFonts w:eastAsia="Times New Roman" w:asciiTheme="majorHAnsi" w:hAnsiTheme="majorHAnsi" w:cstheme="majorHAnsi"/>
          <w:iCs/>
        </w:rPr>
      </w:pPr>
      <w:r>
        <w:rPr>
          <w:rFonts w:eastAsia="Times New Roman" w:asciiTheme="majorHAnsi" w:hAnsiTheme="majorHAnsi" w:cstheme="majorHAnsi"/>
          <w:i/>
        </w:rPr>
        <w:t>Нow We Addressed the Matter</w:t>
      </w:r>
      <w:r>
        <w:rPr>
          <w:rFonts w:eastAsia="Times New Roman" w:asciiTheme="majorHAnsi" w:hAnsiTheme="majorHAnsi" w:cstheme="majorHAnsi"/>
          <w:i/>
          <w:iCs/>
          <w:color w:val="000000"/>
        </w:rPr>
        <w:t xml:space="preserve"> in Our Audit</w:t>
      </w:r>
    </w:p>
    <w:p w:rsidR="009534E2" w:rsidRDefault="003369EB">
      <w:pPr>
        <w:keepLines/>
        <w:spacing w:after="200"/>
        <w:jc w:val="both"/>
        <w:rPr>
          <w:rFonts w:eastAsia="Times New Roman" w:asciiTheme="majorHAnsi" w:hAnsiTheme="majorHAnsi" w:cstheme="majorHAnsi"/>
          <w:lang w:val="en-GB"/>
        </w:rPr>
      </w:pPr>
      <w:r>
        <w:rPr>
          <w:rFonts w:eastAsia="Times New Roman" w:asciiTheme="majorHAnsi" w:hAnsiTheme="majorHAnsi" w:cstheme="majorHAnsi"/>
          <w:lang w:val="en-GB"/>
        </w:rPr>
        <w:t xml:space="preserve">We tested the design and operating effectiveness of the </w:t>
      </w:r>
      <w:r>
        <w:rPr>
          <w:rFonts w:eastAsia="Times New Roman" w:asciiTheme="majorHAnsi" w:hAnsiTheme="majorHAnsi" w:cstheme="majorHAnsi"/>
          <w:lang w:val="en-AU"/>
        </w:rPr>
        <w:t>Group</w:t>
      </w:r>
      <w:r>
        <w:rPr>
          <w:rFonts w:eastAsia="Times New Roman" w:asciiTheme="majorHAnsi" w:hAnsiTheme="majorHAnsi" w:cstheme="majorHAnsi"/>
          <w:lang w:val="en-GB"/>
        </w:rPr>
        <w:t xml:space="preserve"> 's controls related to the accounting for the RealWeb group acquisition. For example, we tested controls over the recognition and measurement of software and trademarks in business combination, including the </w:t>
      </w:r>
      <w:r>
        <w:rPr>
          <w:rFonts w:eastAsia="Times New Roman" w:asciiTheme="majorHAnsi" w:hAnsiTheme="majorHAnsi" w:cstheme="majorHAnsi"/>
          <w:lang w:val="en-AU"/>
        </w:rPr>
        <w:t>Group</w:t>
      </w:r>
      <w:r>
        <w:rPr>
          <w:rFonts w:eastAsia="Times New Roman" w:asciiTheme="majorHAnsi" w:hAnsiTheme="majorHAnsi" w:cstheme="majorHAnsi"/>
          <w:lang w:val="en-GB"/>
        </w:rPr>
        <w:t>’s controls over the valuation models, the mathematical accuracy of the valuation models and development of underlying assumptions used to develop such fair value measurement estimates.</w:t>
      </w:r>
    </w:p>
    <w:p w:rsidR="009534E2" w:rsidRDefault="003369EB">
      <w:pPr>
        <w:spacing w:after="200"/>
        <w:jc w:val="both"/>
        <w:rPr>
          <w:rFonts w:eastAsia="Times New Roman" w:asciiTheme="majorHAnsi" w:hAnsiTheme="majorHAnsi" w:cstheme="majorHAnsi"/>
          <w:color w:val="000000"/>
          <w:lang w:val="en-AU"/>
        </w:rPr>
      </w:pPr>
      <w:r>
        <w:rPr>
          <w:rFonts w:eastAsia="Times New Roman" w:asciiTheme="majorHAnsi" w:hAnsiTheme="majorHAnsi" w:cstheme="majorHAnsi"/>
          <w:lang w:val="en-GB"/>
        </w:rPr>
        <w:t xml:space="preserve">We involved our valuation specialists to assist with our evaluation of the valuation models and certain significant assumptions. For example, </w:t>
      </w:r>
      <w:r>
        <w:rPr>
          <w:rFonts w:eastAsia="Times New Roman" w:asciiTheme="majorHAnsi" w:hAnsiTheme="majorHAnsi" w:cstheme="majorHAnsi"/>
          <w:color w:val="000000"/>
          <w:lang w:val="en-AU"/>
        </w:rPr>
        <w:t>we benchmarked the forecasted revenue growth rate, the royalty rate and personnel expenses to certain publicly available information for comparable companies. Furthermore, with the assistance of IT professionals we benchmarked the estimate of staff hours required to develop the software to industry data.</w:t>
      </w:r>
    </w:p>
    <w:p w:rsidR="009534E2" w:rsidRDefault="003369EB">
      <w:pPr>
        <w:spacing w:after="200"/>
        <w:jc w:val="both"/>
        <w:rPr>
          <w:rFonts w:eastAsia="Times New Roman" w:asciiTheme="majorHAnsi" w:hAnsiTheme="majorHAnsi" w:cstheme="majorHAnsi"/>
          <w:lang w:val="en-GB"/>
        </w:rPr>
      </w:pPr>
      <w:r>
        <w:rPr>
          <w:rFonts w:eastAsia="Times New Roman" w:asciiTheme="majorHAnsi" w:hAnsiTheme="majorHAnsi" w:cstheme="majorHAnsi"/>
          <w:lang w:val="en-GB"/>
        </w:rPr>
        <w:t>/s/ JSC “Kept”</w:t>
      </w:r>
    </w:p>
    <w:p w:rsidR="009534E2" w:rsidRDefault="003369EB">
      <w:pPr>
        <w:spacing w:after="200"/>
        <w:jc w:val="both"/>
        <w:rPr>
          <w:rFonts w:eastAsia="Times New Roman" w:asciiTheme="majorHAnsi" w:hAnsiTheme="majorHAnsi" w:cstheme="majorHAnsi"/>
          <w:lang w:val="en-GB"/>
        </w:rPr>
      </w:pPr>
      <w:r>
        <w:rPr>
          <w:rFonts w:eastAsia="Times New Roman" w:asciiTheme="majorHAnsi" w:hAnsiTheme="majorHAnsi" w:cstheme="majorHAnsi"/>
          <w:lang w:val="en-GB"/>
        </w:rPr>
        <w:t xml:space="preserve">We have served as the </w:t>
      </w:r>
      <w:r>
        <w:rPr>
          <w:rFonts w:eastAsia="Times New Roman" w:asciiTheme="majorHAnsi" w:hAnsiTheme="majorHAnsi" w:cstheme="majorHAnsi"/>
        </w:rPr>
        <w:t>Group</w:t>
      </w:r>
      <w:r>
        <w:rPr>
          <w:rFonts w:eastAsia="Times New Roman" w:asciiTheme="majorHAnsi" w:hAnsiTheme="majorHAnsi" w:cstheme="majorHAnsi"/>
          <w:lang w:val="en-GB"/>
        </w:rPr>
        <w:t>’s auditor since 2022.</w:t>
      </w:r>
    </w:p>
    <w:p w:rsidR="009534E2" w:rsidRDefault="003369EB">
      <w:pPr>
        <w:rPr>
          <w:rFonts w:eastAsia="Times New Roman" w:asciiTheme="majorHAnsi" w:hAnsiTheme="majorHAnsi" w:cstheme="majorHAnsi"/>
          <w:lang w:val="en-AU"/>
        </w:rPr>
      </w:pPr>
      <w:r>
        <w:rPr>
          <w:rFonts w:eastAsia="Times New Roman" w:asciiTheme="majorHAnsi" w:hAnsiTheme="majorHAnsi" w:cstheme="majorHAnsi"/>
          <w:lang w:val="en-AU"/>
        </w:rPr>
        <w:t>Moscow, Russia</w:t>
      </w:r>
      <w:r>
        <w:rPr>
          <w:rFonts w:eastAsia="Times New Roman" w:asciiTheme="majorHAnsi" w:hAnsiTheme="majorHAnsi" w:cstheme="majorHAnsi"/>
          <w:lang w:val="en-AU"/>
        </w:rPr>
        <w:br/>
      </w:r>
      <w:r>
        <w:rPr>
          <w:rFonts w:eastAsia="Times New Roman" w:asciiTheme="majorHAnsi" w:hAnsiTheme="majorHAnsi" w:cstheme="majorHAnsi"/>
        </w:rPr>
        <w:t>March 31</w:t>
      </w:r>
      <w:r>
        <w:rPr>
          <w:rFonts w:eastAsia="Times New Roman" w:asciiTheme="majorHAnsi" w:hAnsiTheme="majorHAnsi" w:cstheme="majorHAnsi"/>
          <w:lang w:val="en-AU"/>
        </w:rPr>
        <w:t>, 2023</w:t>
      </w:r>
    </w:p>
    <w:p w:rsidR="009534E2" w:rsidRDefault="009534E2">
      <w:pPr>
        <w:rPr>
          <w:rFonts w:eastAsia="Times New Roman" w:asciiTheme="majorHAnsi" w:hAnsiTheme="majorHAnsi" w:cstheme="majorHAnsi"/>
          <w:lang w:val="en-AU"/>
        </w:rPr>
      </w:pPr>
    </w:p>
    <w:p w:rsidR="009534E2" w:rsidRDefault="009534E2">
      <w:pPr>
        <w:rPr>
          <w:rFonts w:eastAsia="Times New Roman" w:asciiTheme="majorHAnsi" w:hAnsiTheme="majorHAnsi" w:cstheme="majorHAnsi"/>
          <w:lang w:val="en-AU"/>
        </w:rPr>
        <w:sectPr w:rsidR="009534E2">
          <w:headerReference w:type="default" r:id="rId31"/>
          <w:headerReference w:type="first" r:id="rId32"/>
          <w:footerReference w:type="first" r:id="rId33"/>
          <w:pgSz w:w="12240" w:h="15840" w:code="1"/>
          <w:pgMar w:top="720" w:right="720" w:bottom="720" w:left="720" w:header="720" w:footer="720" w:gutter="0"/>
          <w:cols w:space="720"/>
          <w:titlePg/>
          <w:docGrid w:linePitch="360"/>
        </w:sectPr>
      </w:pPr>
    </w:p>
    <w:p w:rsidR="009534E2" w:rsidRDefault="003369EB">
      <w:pPr>
        <w:keepNext/>
        <w:keepLines/>
        <w:jc w:val="center"/>
        <w:rPr>
          <w:rFonts w:eastAsia="Times New Roman" w:asciiTheme="majorHAnsi" w:hAnsiTheme="majorHAnsi" w:cstheme="majorHAnsi"/>
          <w:b/>
          <w:bCs/>
          <w:lang w:val="en-AU"/>
        </w:rPr>
      </w:pPr>
      <w:r>
        <w:rPr>
          <w:rFonts w:eastAsia="Times New Roman" w:asciiTheme="majorHAnsi" w:hAnsiTheme="majorHAnsi" w:cstheme="majorHAnsi"/>
          <w:b/>
          <w:bCs/>
          <w:lang w:val="en-AU"/>
        </w:rPr>
        <w:t>Report of Independent Registered Public Accounting Firm</w:t>
      </w:r>
      <w:bookmarkStart w:name="IndependentRegisteredPublicAccountingFir" w:id="798"/>
      <w:bookmarkEnd w:id="798"/>
    </w:p>
    <w:p w:rsidR="009534E2" w:rsidRDefault="009534E2">
      <w:pPr>
        <w:keepNext/>
        <w:rPr>
          <w:rFonts w:eastAsia="Times New Roman" w:asciiTheme="majorHAnsi" w:hAnsiTheme="majorHAnsi" w:cstheme="majorHAnsi"/>
          <w:lang w:val="en-AU"/>
        </w:rPr>
      </w:pPr>
    </w:p>
    <w:p w:rsidR="009534E2" w:rsidRDefault="003369EB">
      <w:pPr>
        <w:jc w:val="both"/>
        <w:rPr>
          <w:rFonts w:eastAsia="Times New Roman" w:asciiTheme="majorHAnsi" w:hAnsiTheme="majorHAnsi" w:cstheme="majorHAnsi"/>
          <w:lang w:val="en-AU"/>
        </w:rPr>
      </w:pPr>
      <w:r>
        <w:rPr>
          <w:rFonts w:eastAsia="Times New Roman" w:asciiTheme="majorHAnsi" w:hAnsiTheme="majorHAnsi" w:cstheme="majorHAnsi"/>
          <w:lang w:val="en-AU"/>
        </w:rPr>
        <w:t>To the Shareholders and the Board of Directors of QIWI plc</w:t>
      </w:r>
    </w:p>
    <w:p w:rsidR="009534E2" w:rsidRDefault="009534E2">
      <w:pPr>
        <w:rPr>
          <w:rFonts w:eastAsia="Times New Roman" w:asciiTheme="majorHAnsi" w:hAnsiTheme="majorHAnsi" w:cstheme="majorHAnsi"/>
          <w:lang w:val="en-AU"/>
        </w:rPr>
      </w:pPr>
    </w:p>
    <w:p w:rsidR="009534E2" w:rsidRDefault="003369EB">
      <w:pPr>
        <w:keepNext/>
        <w:keepLines/>
        <w:rPr>
          <w:rFonts w:eastAsia="Times New Roman" w:asciiTheme="majorHAnsi" w:hAnsiTheme="majorHAnsi" w:cstheme="majorHAnsi"/>
          <w:b/>
          <w:bCs/>
          <w:lang w:val="en-AU"/>
        </w:rPr>
      </w:pPr>
      <w:r>
        <w:rPr>
          <w:rFonts w:eastAsia="Times New Roman" w:asciiTheme="majorHAnsi" w:hAnsiTheme="majorHAnsi" w:cstheme="majorHAnsi"/>
          <w:b/>
          <w:bCs/>
          <w:lang w:val="en-AU"/>
        </w:rPr>
        <w:t>Opinion on the Financial Statements</w:t>
      </w:r>
    </w:p>
    <w:p w:rsidR="009534E2" w:rsidRDefault="009534E2">
      <w:pPr>
        <w:keepNext/>
        <w:rPr>
          <w:rFonts w:eastAsia="Times New Roman" w:asciiTheme="majorHAnsi" w:hAnsiTheme="majorHAnsi" w:cstheme="majorHAnsi"/>
          <w:lang w:val="en-AU"/>
        </w:rPr>
      </w:pPr>
    </w:p>
    <w:p w:rsidR="009534E2" w:rsidRDefault="003369EB">
      <w:pPr>
        <w:jc w:val="both"/>
        <w:rPr>
          <w:rFonts w:eastAsia="Times New Roman" w:asciiTheme="majorHAnsi" w:hAnsiTheme="majorHAnsi" w:cstheme="majorHAnsi"/>
          <w:lang w:val="en-AU"/>
        </w:rPr>
      </w:pPr>
      <w:r>
        <w:rPr>
          <w:rFonts w:eastAsia="Times New Roman" w:asciiTheme="majorHAnsi" w:hAnsiTheme="majorHAnsi" w:cstheme="majorHAnsi"/>
          <w:lang w:val="en-AU"/>
        </w:rPr>
        <w:t>We have audited the accompanying consolidated statement of financial position of QIWI plc (the Group) as of December 31, 2021, the related consolidated statements of comprehensive income, changes in equity and cash flows for each of the two years in the period ended December 31, 2021, and the related notes (collectively referred to as the “consolidated financial statements”). In our opinion, the consolidated financial statements present fairly, in all material respects, the financial position of the Group at December 31, 2021, and the results of its operations and its cash flows for each of the two years in the period ended December 31, 2021, in conformity with International Financial Reporting Standards as issued by the International Accounting Standards Board.</w:t>
      </w:r>
    </w:p>
    <w:p w:rsidR="009534E2" w:rsidRDefault="009534E2">
      <w:pPr>
        <w:rPr>
          <w:rFonts w:eastAsia="Times New Roman" w:asciiTheme="majorHAnsi" w:hAnsiTheme="majorHAnsi" w:cstheme="majorHAnsi"/>
          <w:lang w:val="en-AU"/>
        </w:rPr>
      </w:pPr>
    </w:p>
    <w:p w:rsidR="009534E2" w:rsidRDefault="003369EB">
      <w:pPr>
        <w:keepNext/>
        <w:keepLines/>
        <w:rPr>
          <w:rFonts w:eastAsia="Times New Roman" w:asciiTheme="majorHAnsi" w:hAnsiTheme="majorHAnsi" w:cstheme="majorHAnsi"/>
          <w:b/>
          <w:bCs/>
          <w:lang w:val="en-AU"/>
        </w:rPr>
      </w:pPr>
      <w:r>
        <w:rPr>
          <w:rFonts w:eastAsia="Times New Roman" w:asciiTheme="majorHAnsi" w:hAnsiTheme="majorHAnsi" w:cstheme="majorHAnsi"/>
          <w:b/>
          <w:bCs/>
          <w:lang w:val="en-AU"/>
        </w:rPr>
        <w:t>Basis for Opinion</w:t>
      </w:r>
    </w:p>
    <w:p w:rsidR="009534E2" w:rsidRDefault="009534E2">
      <w:pPr>
        <w:keepNext/>
        <w:rPr>
          <w:rFonts w:eastAsia="Times New Roman" w:asciiTheme="majorHAnsi" w:hAnsiTheme="majorHAnsi" w:cstheme="majorHAnsi"/>
          <w:lang w:val="en-AU"/>
        </w:rPr>
      </w:pPr>
    </w:p>
    <w:p w:rsidR="009534E2" w:rsidRDefault="003369EB">
      <w:pPr>
        <w:jc w:val="both"/>
        <w:rPr>
          <w:rFonts w:eastAsia="Times New Roman" w:asciiTheme="majorHAnsi" w:hAnsiTheme="majorHAnsi" w:cstheme="majorHAnsi"/>
          <w:lang w:val="en-AU"/>
        </w:rPr>
      </w:pPr>
      <w:r>
        <w:rPr>
          <w:rFonts w:eastAsia="Times New Roman" w:asciiTheme="majorHAnsi" w:hAnsiTheme="majorHAnsi" w:cstheme="majorHAnsi"/>
          <w:lang w:val="en-AU"/>
        </w:rPr>
        <w:t>These financial statements are the responsibility of the Group's management. Our responsibility is to express an opinion on the Group’s financial statements based on our audits. We are a public accounting firm registered with the PCAOB and are required to be independent with respect to the Group in accordance with the U.S. federal securities laws and the applicable rules and regulations of the Securities and Exchange Commission and the PCAOB.</w:t>
      </w:r>
    </w:p>
    <w:p w:rsidR="009534E2" w:rsidRDefault="009534E2">
      <w:pPr>
        <w:rPr>
          <w:rFonts w:eastAsia="Times New Roman" w:asciiTheme="majorHAnsi" w:hAnsiTheme="majorHAnsi" w:cstheme="majorHAnsi"/>
          <w:lang w:val="en-AU"/>
        </w:rPr>
      </w:pPr>
    </w:p>
    <w:p w:rsidR="009534E2" w:rsidRDefault="003369EB">
      <w:pPr>
        <w:jc w:val="both"/>
        <w:rPr>
          <w:rFonts w:eastAsia="Times New Roman" w:asciiTheme="majorHAnsi" w:hAnsiTheme="majorHAnsi" w:cstheme="majorHAnsi"/>
          <w:lang w:val="en-AU"/>
        </w:rPr>
      </w:pPr>
      <w:r>
        <w:rPr>
          <w:rFonts w:eastAsia="Times New Roman" w:asciiTheme="majorHAnsi" w:hAnsiTheme="majorHAnsi" w:cstheme="majorHAnsi"/>
          <w:lang w:val="en-AU"/>
        </w:rPr>
        <w:t>We conducted our audits in accordance with the standards of the PCAOB. Those standards require that we plan and perform the audit to obtain reasonable assurance about whether the financial statements are free of material misstatement, whether due to error or fraud. 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rsidR="009534E2" w:rsidRDefault="009534E2">
      <w:pPr>
        <w:rPr>
          <w:rFonts w:eastAsia="Times New Roman" w:asciiTheme="majorHAnsi" w:hAnsiTheme="majorHAnsi" w:cstheme="majorHAnsi"/>
          <w:lang w:val="en-AU"/>
        </w:rPr>
      </w:pPr>
    </w:p>
    <w:p w:rsidR="009534E2" w:rsidRDefault="009534E2">
      <w:pPr>
        <w:rPr>
          <w:rFonts w:eastAsia="Times New Roman" w:asciiTheme="majorHAnsi" w:hAnsiTheme="majorHAnsi" w:cstheme="majorHAnsi"/>
          <w:lang w:val="en-AU"/>
        </w:rPr>
      </w:pPr>
    </w:p>
    <w:p w:rsidR="009534E2" w:rsidRDefault="003369EB">
      <w:pPr>
        <w:rPr>
          <w:rFonts w:eastAsia="Times New Roman" w:asciiTheme="majorHAnsi" w:hAnsiTheme="majorHAnsi" w:cstheme="majorHAnsi"/>
          <w:lang w:val="en-AU"/>
        </w:rPr>
      </w:pPr>
      <w:r>
        <w:rPr>
          <w:rFonts w:eastAsia="Times New Roman" w:asciiTheme="majorHAnsi" w:hAnsiTheme="majorHAnsi" w:cstheme="majorHAnsi"/>
          <w:lang w:val="en-AU"/>
        </w:rPr>
        <w:t>/s/ TSATR – Audit services LLC</w:t>
      </w:r>
    </w:p>
    <w:p w:rsidR="009534E2" w:rsidRDefault="009534E2">
      <w:pPr>
        <w:rPr>
          <w:rFonts w:eastAsia="Times New Roman" w:asciiTheme="majorHAnsi" w:hAnsiTheme="majorHAnsi" w:cstheme="majorHAnsi"/>
          <w:lang w:val="en-AU"/>
        </w:rPr>
      </w:pPr>
    </w:p>
    <w:p w:rsidR="009534E2" w:rsidRDefault="003369EB">
      <w:pPr>
        <w:jc w:val="both"/>
        <w:rPr>
          <w:rFonts w:eastAsia="Times New Roman" w:asciiTheme="majorHAnsi" w:hAnsiTheme="majorHAnsi" w:cstheme="majorHAnsi"/>
          <w:lang w:val="en-AU"/>
        </w:rPr>
      </w:pPr>
      <w:r>
        <w:rPr>
          <w:rFonts w:eastAsia="Times New Roman" w:asciiTheme="majorHAnsi" w:hAnsiTheme="majorHAnsi" w:cstheme="majorHAnsi"/>
          <w:lang w:val="en-AU"/>
        </w:rPr>
        <w:t>We have served as the Group’s auditor from 2008 to 2021</w:t>
      </w:r>
    </w:p>
    <w:p w:rsidR="009534E2" w:rsidRDefault="009534E2">
      <w:pPr>
        <w:rPr>
          <w:rFonts w:eastAsia="Times New Roman" w:asciiTheme="majorHAnsi" w:hAnsiTheme="majorHAnsi" w:cstheme="majorHAnsi"/>
          <w:lang w:val="en-AU"/>
        </w:rPr>
      </w:pPr>
    </w:p>
    <w:p w:rsidR="009534E2" w:rsidRDefault="003369EB">
      <w:pPr>
        <w:rPr>
          <w:rFonts w:eastAsia="Times New Roman" w:asciiTheme="majorHAnsi" w:hAnsiTheme="majorHAnsi" w:cstheme="majorHAnsi"/>
          <w:lang w:val="en-AU"/>
        </w:rPr>
      </w:pPr>
      <w:r>
        <w:rPr>
          <w:rFonts w:eastAsia="Times New Roman" w:asciiTheme="majorHAnsi" w:hAnsiTheme="majorHAnsi" w:cstheme="majorHAnsi"/>
          <w:lang w:val="en-AU"/>
        </w:rPr>
        <w:t>Moscow, Russia</w:t>
      </w:r>
    </w:p>
    <w:p w:rsidR="009534E2" w:rsidRDefault="003369EB">
      <w:pPr>
        <w:jc w:val="both"/>
        <w:rPr>
          <w:rFonts w:eastAsia="Times New Roman" w:asciiTheme="majorHAnsi" w:hAnsiTheme="majorHAnsi" w:cstheme="majorHAnsi"/>
          <w:lang w:val="en-AU"/>
        </w:rPr>
      </w:pPr>
      <w:r>
        <w:rPr>
          <w:rFonts w:eastAsia="Times New Roman" w:asciiTheme="majorHAnsi" w:hAnsiTheme="majorHAnsi" w:cstheme="majorHAnsi"/>
          <w:lang w:val="en-AU"/>
        </w:rPr>
        <w:t>April 29, 2022, except as to Note 7, Note 12, Note 14, Note 15, Note 24, Note 25, Note 28 and Note 32, which are as of March 31, 2023</w:t>
      </w:r>
    </w:p>
    <w:bookmarkEnd w:id="795"/>
    <w:p w:rsidR="009534E2" w:rsidRDefault="009534E2"/>
    <w:p w:rsidR="009534E2" w:rsidRDefault="009534E2">
      <w:pPr>
        <w:rPr>
          <w:rFonts w:asciiTheme="majorHAnsi" w:hAnsiTheme="majorHAnsi" w:cstheme="majorHAnsi"/>
        </w:rPr>
      </w:pPr>
    </w:p>
    <w:p w:rsidR="009534E2" w:rsidRDefault="009534E2">
      <w:pPr>
        <w:rPr>
          <w:rFonts w:asciiTheme="majorHAnsi" w:hAnsiTheme="majorHAnsi" w:cstheme="majorHAnsi"/>
        </w:rPr>
        <w:sectPr w:rsidR="009534E2">
          <w:headerReference w:type="first" r:id="rId34"/>
          <w:footerReference w:type="first" r:id="rId35"/>
          <w:pgSz w:w="12240" w:h="15840" w:code="1"/>
          <w:pgMar w:top="720" w:right="720" w:bottom="720" w:left="720" w:header="720" w:footer="720" w:gutter="0"/>
          <w:cols w:space="720"/>
          <w:titlePg/>
          <w:docGrid w:linePitch="360"/>
        </w:sectPr>
      </w:pPr>
    </w:p>
    <w:p w:rsidR="009534E2" w:rsidRDefault="003369EB">
      <w:pPr>
        <w:pStyle w:val="BodyText"/>
        <w:keepNext/>
        <w:pageBreakBefore/>
        <w:spacing w:after="120"/>
        <w:jc w:val="center"/>
        <w:rPr>
          <w:rFonts w:eastAsia="Times New Roman" w:asciiTheme="majorHAnsi" w:hAnsiTheme="majorHAnsi" w:cstheme="majorHAnsi"/>
          <w:bCs/>
        </w:rPr>
      </w:pPr>
      <w:r>
        <w:rPr>
          <w:rFonts w:eastAsia="Times New Roman" w:asciiTheme="majorHAnsi" w:hAnsiTheme="majorHAnsi" w:cstheme="majorHAnsi"/>
          <w:bCs/>
        </w:rPr>
        <w:t>QIWI plc</w:t>
      </w:r>
    </w:p>
    <w:p w:rsidR="009534E2" w:rsidRDefault="003369EB">
      <w:pPr>
        <w:pStyle w:val="BodyText"/>
        <w:keepNext/>
        <w:spacing w:after="120"/>
        <w:jc w:val="center"/>
        <w:rPr>
          <w:rFonts w:eastAsia="Times New Roman" w:asciiTheme="majorHAnsi" w:hAnsiTheme="majorHAnsi" w:cstheme="majorHAnsi"/>
        </w:rPr>
      </w:pPr>
      <w:r>
        <w:rPr>
          <w:rFonts w:eastAsia="Times New Roman" w:asciiTheme="majorHAnsi" w:hAnsiTheme="majorHAnsi" w:cstheme="majorHAnsi"/>
        </w:rPr>
        <w:t xml:space="preserve">Consolidated statement of financial position </w:t>
      </w:r>
      <w:bookmarkStart w:name="Consolidatedstatementoffinancialposition" w:id="799"/>
      <w:bookmarkEnd w:id="799"/>
    </w:p>
    <w:p w:rsidR="009534E2" w:rsidRDefault="003369EB">
      <w:pPr>
        <w:pStyle w:val="BodyText"/>
        <w:keepNext/>
        <w:spacing w:after="120"/>
        <w:jc w:val="center"/>
        <w:rPr>
          <w:rFonts w:eastAsia="Times New Roman" w:asciiTheme="majorHAnsi" w:hAnsiTheme="majorHAnsi" w:cstheme="majorHAnsi"/>
          <w:b/>
          <w:bCs/>
        </w:rPr>
      </w:pPr>
      <w:r>
        <w:rPr>
          <w:rFonts w:eastAsia="Times New Roman" w:asciiTheme="majorHAnsi" w:hAnsiTheme="majorHAnsi" w:cstheme="majorHAnsi"/>
          <w:b/>
          <w:bCs/>
        </w:rPr>
        <w:t>As of December 31, 2022</w:t>
      </w:r>
    </w:p>
    <w:p w:rsidR="009534E2" w:rsidRDefault="003369EB">
      <w:pPr>
        <w:pStyle w:val="BodyText"/>
        <w:keepNext/>
        <w:spacing w:after="0"/>
        <w:jc w:val="center"/>
        <w:rPr>
          <w:rFonts w:eastAsia="Times New Roman" w:asciiTheme="majorHAnsi" w:hAnsiTheme="majorHAnsi" w:cstheme="majorHAnsi"/>
          <w:i/>
        </w:rPr>
      </w:pPr>
      <w:r>
        <w:rPr>
          <w:rFonts w:eastAsia="Times New Roman" w:asciiTheme="majorHAnsi" w:hAnsiTheme="majorHAnsi" w:cstheme="majorHAnsi"/>
          <w:i/>
        </w:rPr>
        <w:t>(in millions of Rubles)</w:t>
      </w:r>
    </w:p>
    <w:p w:rsidR="009534E2" w:rsidRDefault="009534E2">
      <w:pPr>
        <w:keepNext/>
        <w:rPr>
          <w:rFonts w:asciiTheme="majorHAnsi" w:hAnsiTheme="majorHAnsi" w:cstheme="majorHAnsi"/>
          <w:sz w:val="12"/>
        </w:rPr>
      </w:pPr>
      <w:bookmarkStart w:name="_a43a7c0a_6ed3_48cf_a622_d02b7ab7305b" w:id="800"/>
      <w:bookmarkEnd w:id="800"/>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26"/>
        <w:gridCol w:w="211"/>
        <w:gridCol w:w="893"/>
        <w:gridCol w:w="212"/>
        <w:gridCol w:w="973"/>
        <w:gridCol w:w="212"/>
        <w:gridCol w:w="973"/>
      </w:tblGrid>
      <w:tr w:rsidR="009534E2">
        <w:trPr>
          <w:trHeight w:val="20" w:hRule="exact"/>
          <w:jc w:val="center"/>
        </w:trPr>
        <w:tc>
          <w:tcPr>
            <w:tcW w:w="3391" w:type="pct"/>
            <w:tcBorders>
              <w:top w:val="nil"/>
              <w:left w:val="nil"/>
              <w:bottom w:val="nil"/>
              <w:right w:val="nil"/>
            </w:tcBorders>
            <w:vAlign w:val="bottom"/>
          </w:tcPr>
          <w:p w:rsidR="009534E2" w:rsidRDefault="009534E2">
            <w:pPr>
              <w:keepNext/>
              <w:rPr>
                <w:sz w:val="2"/>
              </w:rPr>
            </w:pPr>
            <w:bookmarkStart w:name="_2d0bba92_2ed3_4184_a97c_623c3e20039a" w:colFirst="0" w:colLast="0" w:id="801"/>
            <w:bookmarkStart w:name="_4e63eef6_22a3_4c80_9bca_d6c42b921faa" w:colFirst="1" w:colLast="1" w:id="802"/>
            <w:bookmarkStart w:name="_12764fa7_b9ee_4541_8dc1_20e3786020a5" w:colFirst="2" w:colLast="2" w:id="803"/>
            <w:bookmarkStart w:name="_e31e2ab8_ca0f_47d0_88bc_efafebd4edf3" w:colFirst="3" w:colLast="3" w:id="804"/>
            <w:bookmarkStart w:name="_c147efa7_258d_4ad8_88b0_5f278954a8ad" w:colFirst="4" w:colLast="4" w:id="805"/>
            <w:bookmarkStart w:name="_bd34b61f_0123_4e87_95b2_5432f54151af" w:colFirst="5" w:colLast="5" w:id="806"/>
            <w:bookmarkStart w:name="_4051f969_c844_4d48_b8aa_a5f21670e405" w:colFirst="6" w:colLast="6" w:id="807"/>
            <w:bookmarkStart w:name="_82d85769_0e0b_4e6c_868b_30c03d3667b0" w:id="808"/>
          </w:p>
        </w:tc>
        <w:tc>
          <w:tcPr>
            <w:tcW w:w="98" w:type="pct"/>
            <w:tcBorders>
              <w:top w:val="nil"/>
              <w:left w:val="nil"/>
              <w:bottom w:val="nil"/>
              <w:right w:val="nil"/>
            </w:tcBorders>
            <w:noWrap/>
            <w:vAlign w:val="bottom"/>
          </w:tcPr>
          <w:p w:rsidR="009534E2" w:rsidRDefault="009534E2">
            <w:pPr>
              <w:keepNext/>
              <w:rPr>
                <w:sz w:val="2"/>
              </w:rPr>
            </w:pPr>
          </w:p>
        </w:tc>
        <w:tc>
          <w:tcPr>
            <w:tcW w:w="414" w:type="pct"/>
            <w:tcBorders>
              <w:top w:val="nil"/>
              <w:left w:val="nil"/>
              <w:bottom w:val="nil"/>
              <w:right w:val="nil"/>
            </w:tcBorders>
            <w:noWrap/>
            <w:vAlign w:val="bottom"/>
          </w:tcPr>
          <w:p w:rsidR="009534E2" w:rsidRDefault="009534E2">
            <w:pPr>
              <w:keepNext/>
              <w:rPr>
                <w:sz w:val="2"/>
              </w:rPr>
            </w:pPr>
          </w:p>
        </w:tc>
        <w:tc>
          <w:tcPr>
            <w:tcW w:w="98" w:type="pct"/>
            <w:tcBorders>
              <w:top w:val="nil"/>
              <w:left w:val="nil"/>
              <w:bottom w:val="nil"/>
              <w:right w:val="nil"/>
            </w:tcBorders>
            <w:noWrap/>
            <w:vAlign w:val="bottom"/>
          </w:tcPr>
          <w:p w:rsidR="009534E2" w:rsidRDefault="009534E2">
            <w:pPr>
              <w:keepNext/>
              <w:rPr>
                <w:sz w:val="2"/>
              </w:rPr>
            </w:pPr>
          </w:p>
        </w:tc>
        <w:tc>
          <w:tcPr>
            <w:tcW w:w="450" w:type="pct"/>
            <w:tcBorders>
              <w:top w:val="nil"/>
              <w:left w:val="nil"/>
              <w:bottom w:val="nil"/>
              <w:right w:val="nil"/>
            </w:tcBorders>
            <w:noWrap/>
            <w:vAlign w:val="bottom"/>
          </w:tcPr>
          <w:p w:rsidR="009534E2" w:rsidRDefault="009534E2">
            <w:pPr>
              <w:keepNext/>
              <w:rPr>
                <w:sz w:val="2"/>
              </w:rPr>
            </w:pPr>
          </w:p>
        </w:tc>
        <w:tc>
          <w:tcPr>
            <w:tcW w:w="98" w:type="pct"/>
            <w:tcBorders>
              <w:top w:val="nil"/>
              <w:left w:val="nil"/>
              <w:bottom w:val="nil"/>
              <w:right w:val="nil"/>
            </w:tcBorders>
            <w:noWrap/>
            <w:vAlign w:val="bottom"/>
          </w:tcPr>
          <w:p w:rsidR="009534E2" w:rsidRDefault="009534E2">
            <w:pPr>
              <w:keepNext/>
              <w:rPr>
                <w:sz w:val="2"/>
              </w:rPr>
            </w:pPr>
          </w:p>
        </w:tc>
        <w:tc>
          <w:tcPr>
            <w:tcW w:w="450" w:type="pct"/>
            <w:tcBorders>
              <w:top w:val="nil"/>
              <w:left w:val="nil"/>
              <w:bottom w:val="nil"/>
              <w:right w:val="nil"/>
            </w:tcBorders>
            <w:noWrap/>
            <w:vAlign w:val="bottom"/>
          </w:tcPr>
          <w:p w:rsidR="009534E2" w:rsidRDefault="009534E2">
            <w:pPr>
              <w:keepNext/>
              <w:rPr>
                <w:sz w:val="2"/>
              </w:rPr>
            </w:pPr>
          </w:p>
        </w:tc>
      </w:tr>
      <w:tr w:rsidR="009534E2">
        <w:trPr>
          <w:jc w:val="center"/>
        </w:trPr>
        <w:tc>
          <w:tcPr>
            <w:tcW w:w="3391" w:type="pct"/>
            <w:tcBorders>
              <w:top w:val="nil"/>
              <w:left w:val="nil"/>
              <w:bottom w:val="nil"/>
              <w:right w:val="nil"/>
              <w:tl2br w:val="nil"/>
              <w:tr2bl w:val="nil"/>
            </w:tcBorders>
            <w:shd w:val="clear" w:color="auto" w:fill="auto"/>
            <w:vAlign w:val="bottom"/>
          </w:tcPr>
          <w:p w:rsidR="009534E2" w:rsidRDefault="009534E2">
            <w:pPr>
              <w:keepNext/>
              <w:rPr>
                <w:color w:val="000000"/>
                <w:sz w:val="16"/>
              </w:rPr>
            </w:pPr>
            <w:bookmarkStart w:name="_be4733c9_d6dd_4c74_8583_444fbe35daf9" w:id="809"/>
            <w:bookmarkEnd w:id="801"/>
            <w:bookmarkEnd w:id="802"/>
            <w:bookmarkEnd w:id="803"/>
            <w:bookmarkEnd w:id="804"/>
            <w:bookmarkEnd w:id="805"/>
            <w:bookmarkEnd w:id="806"/>
            <w:bookmarkEnd w:id="807"/>
          </w:p>
        </w:tc>
        <w:tc>
          <w:tcPr>
            <w:tcW w:w="98" w:type="pct"/>
            <w:tcBorders>
              <w:top w:val="nil"/>
              <w:left w:val="nil"/>
              <w:bottom w:val="nil"/>
              <w:right w:val="nil"/>
              <w:tl2br w:val="nil"/>
              <w:tr2bl w:val="nil"/>
            </w:tcBorders>
            <w:shd w:val="clear" w:color="auto" w:fill="auto"/>
            <w:noWrap/>
            <w:vAlign w:val="bottom"/>
          </w:tcPr>
          <w:p w:rsidR="009534E2" w:rsidRDefault="009534E2">
            <w:pPr>
              <w:keepNext/>
              <w:rPr>
                <w:b/>
                <w:color w:val="000000"/>
                <w:sz w:val="16"/>
              </w:rPr>
            </w:pPr>
          </w:p>
        </w:tc>
        <w:tc>
          <w:tcPr>
            <w:tcW w:w="414" w:type="pct"/>
            <w:tcBorders>
              <w:top w:val="nil"/>
              <w:left w:val="nil"/>
              <w:bottom w:val="nil"/>
              <w:right w:val="nil"/>
              <w:tl2br w:val="nil"/>
              <w:tr2bl w:val="nil"/>
            </w:tcBorders>
            <w:shd w:val="clear" w:color="auto" w:fill="auto"/>
            <w:noWrap/>
            <w:vAlign w:val="bottom"/>
          </w:tcPr>
          <w:p w:rsidR="009534E2" w:rsidRDefault="009534E2">
            <w:pPr>
              <w:keepNext/>
              <w:jc w:val="center"/>
              <w:rPr>
                <w:b/>
                <w:color w:val="000000"/>
                <w:sz w:val="16"/>
              </w:rPr>
            </w:pPr>
          </w:p>
        </w:tc>
        <w:tc>
          <w:tcPr>
            <w:tcW w:w="98" w:type="pct"/>
            <w:tcBorders>
              <w:top w:val="nil"/>
              <w:left w:val="nil"/>
              <w:bottom w:val="nil"/>
              <w:right w:val="nil"/>
              <w:tl2br w:val="nil"/>
              <w:tr2bl w:val="nil"/>
            </w:tcBorders>
            <w:shd w:val="clear" w:color="auto" w:fill="auto"/>
            <w:noWrap/>
            <w:vAlign w:val="bottom"/>
          </w:tcPr>
          <w:p w:rsidR="009534E2" w:rsidRDefault="009534E2">
            <w:pPr>
              <w:keepNext/>
              <w:jc w:val="center"/>
              <w:rPr>
                <w:b/>
                <w:color w:val="000000"/>
                <w:sz w:val="16"/>
              </w:rPr>
            </w:pPr>
          </w:p>
        </w:tc>
        <w:tc>
          <w:tcPr>
            <w:tcW w:w="450"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As of </w:t>
            </w:r>
          </w:p>
        </w:tc>
        <w:tc>
          <w:tcPr>
            <w:tcW w:w="98" w:type="pct"/>
            <w:tcBorders>
              <w:top w:val="nil"/>
              <w:left w:val="nil"/>
              <w:bottom w:val="nil"/>
              <w:right w:val="nil"/>
              <w:tl2br w:val="nil"/>
              <w:tr2bl w:val="nil"/>
            </w:tcBorders>
            <w:shd w:val="clear" w:color="auto" w:fill="auto"/>
            <w:noWrap/>
            <w:vAlign w:val="bottom"/>
          </w:tcPr>
          <w:p w:rsidR="009534E2" w:rsidRDefault="009534E2">
            <w:pPr>
              <w:keepNext/>
              <w:jc w:val="center"/>
              <w:rPr>
                <w:b/>
                <w:color w:val="000000"/>
                <w:sz w:val="16"/>
              </w:rPr>
            </w:pPr>
          </w:p>
        </w:tc>
        <w:tc>
          <w:tcPr>
            <w:tcW w:w="450"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As of </w:t>
            </w:r>
          </w:p>
        </w:tc>
      </w:tr>
      <w:tr w:rsidR="009534E2">
        <w:trPr>
          <w:jc w:val="center"/>
        </w:trPr>
        <w:tc>
          <w:tcPr>
            <w:tcW w:w="3391" w:type="pct"/>
            <w:tcBorders>
              <w:top w:val="nil"/>
              <w:left w:val="nil"/>
              <w:bottom w:val="nil"/>
              <w:right w:val="nil"/>
              <w:tl2br w:val="nil"/>
              <w:tr2bl w:val="nil"/>
            </w:tcBorders>
            <w:shd w:val="clear" w:color="auto" w:fill="auto"/>
            <w:vAlign w:val="bottom"/>
          </w:tcPr>
          <w:p w:rsidR="009534E2" w:rsidRDefault="009534E2">
            <w:pPr>
              <w:keepNext/>
              <w:rPr>
                <w:color w:val="000000"/>
                <w:sz w:val="16"/>
              </w:rPr>
            </w:pPr>
            <w:bookmarkStart w:name="_e1c83250_1eab_41ff_867d_897578db1acd" w:id="810"/>
            <w:bookmarkEnd w:id="809"/>
          </w:p>
        </w:tc>
        <w:tc>
          <w:tcPr>
            <w:tcW w:w="98" w:type="pct"/>
            <w:tcBorders>
              <w:top w:val="nil"/>
              <w:left w:val="nil"/>
              <w:bottom w:val="nil"/>
              <w:right w:val="nil"/>
              <w:tl2br w:val="nil"/>
              <w:tr2bl w:val="nil"/>
            </w:tcBorders>
            <w:shd w:val="clear" w:color="auto" w:fill="auto"/>
            <w:noWrap/>
            <w:vAlign w:val="bottom"/>
          </w:tcPr>
          <w:p w:rsidR="009534E2" w:rsidRDefault="009534E2">
            <w:pPr>
              <w:keepNext/>
              <w:rPr>
                <w:b/>
                <w:color w:val="000000"/>
                <w:sz w:val="16"/>
              </w:rPr>
            </w:pPr>
          </w:p>
        </w:tc>
        <w:tc>
          <w:tcPr>
            <w:tcW w:w="414" w:type="pct"/>
            <w:tcBorders>
              <w:top w:val="nil"/>
              <w:left w:val="nil"/>
              <w:bottom w:val="nil"/>
              <w:right w:val="nil"/>
              <w:tl2br w:val="nil"/>
              <w:tr2bl w:val="nil"/>
            </w:tcBorders>
            <w:shd w:val="clear" w:color="auto" w:fill="auto"/>
            <w:noWrap/>
            <w:vAlign w:val="bottom"/>
          </w:tcPr>
          <w:p w:rsidR="009534E2" w:rsidRDefault="009534E2">
            <w:pPr>
              <w:keepNext/>
              <w:jc w:val="center"/>
              <w:rPr>
                <w:b/>
                <w:color w:val="000000"/>
                <w:sz w:val="16"/>
              </w:rPr>
            </w:pPr>
          </w:p>
        </w:tc>
        <w:tc>
          <w:tcPr>
            <w:tcW w:w="98" w:type="pct"/>
            <w:tcBorders>
              <w:top w:val="nil"/>
              <w:left w:val="nil"/>
              <w:bottom w:val="nil"/>
              <w:right w:val="nil"/>
              <w:tl2br w:val="nil"/>
              <w:tr2bl w:val="nil"/>
            </w:tcBorders>
            <w:shd w:val="clear" w:color="auto" w:fill="auto"/>
            <w:noWrap/>
            <w:vAlign w:val="bottom"/>
          </w:tcPr>
          <w:p w:rsidR="009534E2" w:rsidRDefault="009534E2">
            <w:pPr>
              <w:keepNext/>
              <w:jc w:val="center"/>
              <w:rPr>
                <w:b/>
                <w:color w:val="000000"/>
                <w:sz w:val="16"/>
              </w:rPr>
            </w:pPr>
          </w:p>
        </w:tc>
        <w:tc>
          <w:tcPr>
            <w:tcW w:w="450"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December 31, </w:t>
            </w:r>
          </w:p>
        </w:tc>
        <w:tc>
          <w:tcPr>
            <w:tcW w:w="98" w:type="pct"/>
            <w:tcBorders>
              <w:top w:val="nil"/>
              <w:left w:val="nil"/>
              <w:bottom w:val="nil"/>
              <w:right w:val="nil"/>
              <w:tl2br w:val="nil"/>
              <w:tr2bl w:val="nil"/>
            </w:tcBorders>
            <w:shd w:val="clear" w:color="auto" w:fill="auto"/>
            <w:noWrap/>
            <w:vAlign w:val="bottom"/>
          </w:tcPr>
          <w:p w:rsidR="009534E2" w:rsidRDefault="009534E2">
            <w:pPr>
              <w:keepNext/>
              <w:jc w:val="center"/>
              <w:rPr>
                <w:b/>
                <w:color w:val="000000"/>
                <w:sz w:val="16"/>
              </w:rPr>
            </w:pPr>
          </w:p>
        </w:tc>
        <w:tc>
          <w:tcPr>
            <w:tcW w:w="450"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December 31, </w:t>
            </w:r>
          </w:p>
        </w:tc>
      </w:tr>
      <w:tr w:rsidR="009534E2">
        <w:trPr>
          <w:jc w:val="center"/>
        </w:trPr>
        <w:tc>
          <w:tcPr>
            <w:tcW w:w="3391" w:type="pct"/>
            <w:tcBorders>
              <w:top w:val="nil"/>
              <w:left w:val="nil"/>
              <w:bottom w:val="nil"/>
              <w:right w:val="nil"/>
              <w:tl2br w:val="nil"/>
              <w:tr2bl w:val="nil"/>
            </w:tcBorders>
            <w:shd w:val="clear" w:color="auto" w:fill="auto"/>
            <w:vAlign w:val="bottom"/>
          </w:tcPr>
          <w:p w:rsidR="009534E2" w:rsidRDefault="009534E2">
            <w:pPr>
              <w:keepNext/>
              <w:rPr>
                <w:color w:val="000000"/>
                <w:sz w:val="16"/>
              </w:rPr>
            </w:pPr>
            <w:bookmarkStart w:name="_9010c1db_c465_487d_965d_e1a98d44bcae" w:id="811"/>
            <w:bookmarkEnd w:id="810"/>
          </w:p>
        </w:tc>
        <w:tc>
          <w:tcPr>
            <w:tcW w:w="98"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14"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Notes</w:t>
            </w:r>
          </w:p>
        </w:tc>
        <w:tc>
          <w:tcPr>
            <w:tcW w:w="98"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2021</w:t>
            </w:r>
          </w:p>
        </w:tc>
        <w:tc>
          <w:tcPr>
            <w:tcW w:w="98"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2022</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b/>
                <w:color w:val="000000"/>
                <w:sz w:val="16"/>
              </w:rPr>
            </w:pPr>
            <w:bookmarkStart w:name="_82350dba_7b48_4356_bdb9_c2b9f04019d7" w:id="812"/>
            <w:bookmarkEnd w:id="811"/>
            <w:r>
              <w:rPr>
                <w:rFonts w:ascii="Times New Roman" w:hAnsi="Times New Roman" w:eastAsia="Times New Roman" w:cs="Times New Roman"/>
                <w:b/>
                <w:color w:val="000000"/>
                <w:sz w:val="16"/>
              </w:rPr>
              <w:t>Assets</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shd w:val="clear" w:color="auto" w:fill="CCEEFF"/>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b/>
                <w:color w:val="000000"/>
                <w:sz w:val="16"/>
              </w:rPr>
            </w:pPr>
          </w:p>
        </w:tc>
        <w:tc>
          <w:tcPr>
            <w:tcW w:w="450" w:type="pct"/>
            <w:tcBorders>
              <w:top w:val="nil"/>
              <w:left w:val="nil"/>
              <w:bottom w:val="nil"/>
              <w:right w:val="nil"/>
              <w:tl2br w:val="nil"/>
              <w:tr2bl w:val="nil"/>
            </w:tcBorders>
            <w:shd w:val="clear" w:color="auto" w:fill="CCEEFF"/>
            <w:noWrap/>
            <w:vAlign w:val="bottom"/>
          </w:tcPr>
          <w:p w:rsidR="009534E2" w:rsidRDefault="009534E2">
            <w:pPr>
              <w:keepNext/>
              <w:jc w:val="right"/>
              <w:rPr>
                <w:b/>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50" w:type="pct"/>
            <w:tcBorders>
              <w:top w:val="nil"/>
              <w:left w:val="nil"/>
              <w:bottom w:val="nil"/>
              <w:right w:val="nil"/>
              <w:tl2br w:val="nil"/>
              <w:tr2bl w:val="nil"/>
            </w:tcBorders>
            <w:shd w:val="clear" w:color="auto" w:fill="CCEEFF"/>
            <w:noWrap/>
            <w:vAlign w:val="bottom"/>
          </w:tcPr>
          <w:p w:rsidR="009534E2" w:rsidRDefault="009534E2">
            <w:pPr>
              <w:keepNext/>
              <w:jc w:val="right"/>
              <w:rPr>
                <w:color w:val="000000"/>
                <w:sz w:val="16"/>
              </w:rPr>
            </w:pP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b/>
                <w:color w:val="000000"/>
                <w:sz w:val="16"/>
              </w:rPr>
            </w:pPr>
            <w:bookmarkStart w:name="_3e518b25_a7cc_493e_a037_fdc7ee5a2df5" w:id="813"/>
            <w:bookmarkEnd w:id="812"/>
            <w:r>
              <w:rPr>
                <w:rFonts w:ascii="Times New Roman" w:hAnsi="Times New Roman" w:eastAsia="Times New Roman" w:cs="Times New Roman"/>
                <w:b/>
                <w:color w:val="000000"/>
                <w:sz w:val="16"/>
              </w:rPr>
              <w:t>Non-current assets</w:t>
            </w:r>
          </w:p>
        </w:tc>
        <w:tc>
          <w:tcPr>
            <w:tcW w:w="98" w:type="pct"/>
            <w:tcBorders>
              <w:top w:val="nil"/>
              <w:left w:val="nil"/>
              <w:bottom w:val="nil"/>
              <w:right w:val="nil"/>
              <w:tl2br w:val="nil"/>
              <w:tr2bl w:val="nil"/>
            </w:tcBorders>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noWrap/>
            <w:vAlign w:val="bottom"/>
          </w:tcPr>
          <w:p w:rsidR="009534E2" w:rsidRDefault="009534E2">
            <w:pPr>
              <w:keepNext/>
              <w:rPr>
                <w:b/>
                <w:color w:val="000000"/>
                <w:sz w:val="16"/>
              </w:rPr>
            </w:pPr>
          </w:p>
        </w:tc>
        <w:tc>
          <w:tcPr>
            <w:tcW w:w="450" w:type="pct"/>
            <w:tcBorders>
              <w:top w:val="nil"/>
              <w:left w:val="nil"/>
              <w:bottom w:val="nil"/>
              <w:right w:val="nil"/>
              <w:tl2br w:val="nil"/>
              <w:tr2bl w:val="nil"/>
            </w:tcBorders>
            <w:noWrap/>
            <w:vAlign w:val="bottom"/>
          </w:tcPr>
          <w:p w:rsidR="009534E2" w:rsidRDefault="009534E2">
            <w:pPr>
              <w:keepNext/>
              <w:jc w:val="right"/>
              <w:rPr>
                <w:b/>
                <w:color w:val="000000"/>
                <w:sz w:val="16"/>
              </w:rPr>
            </w:pPr>
          </w:p>
        </w:tc>
        <w:tc>
          <w:tcPr>
            <w:tcW w:w="98" w:type="pct"/>
            <w:tcBorders>
              <w:top w:val="nil"/>
              <w:left w:val="nil"/>
              <w:bottom w:val="nil"/>
              <w:right w:val="nil"/>
              <w:tl2br w:val="nil"/>
              <w:tr2bl w:val="nil"/>
            </w:tcBorders>
            <w:noWrap/>
            <w:vAlign w:val="bottom"/>
          </w:tcPr>
          <w:p w:rsidR="009534E2" w:rsidRDefault="009534E2">
            <w:pPr>
              <w:keepNext/>
              <w:rPr>
                <w:color w:val="000000"/>
                <w:sz w:val="16"/>
              </w:rPr>
            </w:pPr>
          </w:p>
        </w:tc>
        <w:tc>
          <w:tcPr>
            <w:tcW w:w="450" w:type="pct"/>
            <w:tcBorders>
              <w:top w:val="nil"/>
              <w:left w:val="nil"/>
              <w:bottom w:val="nil"/>
              <w:right w:val="nil"/>
              <w:tl2br w:val="nil"/>
              <w:tr2bl w:val="nil"/>
            </w:tcBorders>
            <w:noWrap/>
            <w:vAlign w:val="bottom"/>
          </w:tcPr>
          <w:p w:rsidR="009534E2" w:rsidRDefault="009534E2">
            <w:pPr>
              <w:keepNext/>
              <w:jc w:val="right"/>
              <w:rPr>
                <w:color w:val="000000"/>
                <w:sz w:val="16"/>
              </w:rPr>
            </w:pP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color w:val="000000"/>
                <w:sz w:val="16"/>
              </w:rPr>
            </w:pPr>
            <w:bookmarkStart w:name="_e67c87ef_dc0c_4a2b_bb96_b5eafb3b4e11" w:id="814"/>
            <w:bookmarkEnd w:id="813"/>
            <w:r>
              <w:rPr>
                <w:rFonts w:ascii="Times New Roman" w:hAnsi="Times New Roman" w:eastAsia="Times New Roman" w:cs="Times New Roman"/>
                <w:color w:val="000000"/>
                <w:sz w:val="16"/>
              </w:rPr>
              <w:t>Property and equipment</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9</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1,417</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1,163</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color w:val="000000"/>
                <w:sz w:val="16"/>
              </w:rPr>
            </w:pPr>
            <w:bookmarkStart w:name="_2b581764_d7b3_43d8_959f_07b2b98a0213" w:id="815"/>
            <w:bookmarkEnd w:id="814"/>
            <w:r>
              <w:rPr>
                <w:rFonts w:ascii="Times New Roman" w:hAnsi="Times New Roman" w:eastAsia="Times New Roman" w:cs="Times New Roman"/>
                <w:color w:val="000000"/>
                <w:sz w:val="16"/>
              </w:rPr>
              <w:t>Goodwill and other intangible assets</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10, 11</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10,501</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13,126</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color w:val="000000"/>
                <w:sz w:val="16"/>
              </w:rPr>
            </w:pPr>
            <w:bookmarkStart w:name="_b098099a_1431_442a_b3c2_49e2daaadf7b" w:id="816"/>
            <w:bookmarkEnd w:id="815"/>
            <w:r>
              <w:rPr>
                <w:rFonts w:ascii="Times New Roman" w:hAnsi="Times New Roman" w:eastAsia="Times New Roman" w:cs="Times New Roman"/>
                <w:color w:val="000000"/>
                <w:sz w:val="16"/>
              </w:rPr>
              <w:t>Investments in associates</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17</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303</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color w:val="000000"/>
                <w:sz w:val="16"/>
              </w:rPr>
            </w:pPr>
            <w:bookmarkStart w:name="_b5ce3f8e_de75_45f0_aad0_84fe2b861183" w:id="817"/>
            <w:bookmarkEnd w:id="816"/>
            <w:r>
              <w:rPr>
                <w:rFonts w:ascii="Times New Roman" w:hAnsi="Times New Roman" w:eastAsia="Times New Roman" w:cs="Times New Roman"/>
                <w:color w:val="000000"/>
                <w:sz w:val="16"/>
              </w:rPr>
              <w:t xml:space="preserve">Long-term debt securities </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15</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1,111</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2,946</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color w:val="000000"/>
                <w:sz w:val="16"/>
              </w:rPr>
            </w:pPr>
            <w:bookmarkStart w:name="_270c07ef_c74c_4e00_8249_d05f30fbf376" w:id="818"/>
            <w:bookmarkEnd w:id="817"/>
            <w:r>
              <w:rPr>
                <w:rFonts w:ascii="Times New Roman" w:hAnsi="Times New Roman" w:eastAsia="Times New Roman" w:cs="Times New Roman"/>
                <w:color w:val="000000"/>
                <w:sz w:val="16"/>
              </w:rPr>
              <w:t>Long-term loans issued</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12</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267</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843</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color w:val="000000"/>
                <w:sz w:val="16"/>
              </w:rPr>
            </w:pPr>
            <w:bookmarkStart w:name="_72f8e4e1_b7be_42f0_b2e2_86ae55c0c86c" w:id="819"/>
            <w:bookmarkEnd w:id="818"/>
            <w:r>
              <w:rPr>
                <w:rFonts w:ascii="Times New Roman" w:hAnsi="Times New Roman" w:eastAsia="Times New Roman" w:cs="Times New Roman"/>
                <w:color w:val="000000"/>
                <w:sz w:val="16"/>
              </w:rPr>
              <w:t>Other non-current assets</w:t>
            </w:r>
          </w:p>
        </w:tc>
        <w:tc>
          <w:tcPr>
            <w:tcW w:w="98" w:type="pct"/>
            <w:tcBorders>
              <w:top w:val="nil"/>
              <w:left w:val="nil"/>
              <w:bottom w:val="nil"/>
              <w:right w:val="nil"/>
              <w:tl2br w:val="nil"/>
              <w:tr2bl w:val="nil"/>
            </w:tcBorders>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812</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257</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color w:val="000000"/>
                <w:sz w:val="16"/>
              </w:rPr>
            </w:pPr>
            <w:bookmarkStart w:name="_1ca63621_712c_4901_868a_037115303e8f" w:id="820"/>
            <w:bookmarkEnd w:id="819"/>
            <w:r>
              <w:rPr>
                <w:rFonts w:ascii="Times New Roman" w:hAnsi="Times New Roman" w:eastAsia="Times New Roman" w:cs="Times New Roman"/>
                <w:color w:val="000000"/>
                <w:sz w:val="16"/>
              </w:rPr>
              <w:t>Deferred tax assets</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27</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237</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208</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b/>
                <w:color w:val="000000"/>
                <w:sz w:val="16"/>
              </w:rPr>
            </w:pPr>
            <w:bookmarkStart w:name="_d5fbe496_684f_472d_a7ff_ac8748debf61" w:id="821"/>
            <w:bookmarkEnd w:id="820"/>
            <w:r>
              <w:rPr>
                <w:rFonts w:ascii="Times New Roman" w:hAnsi="Times New Roman" w:eastAsia="Times New Roman" w:cs="Times New Roman"/>
                <w:b/>
                <w:color w:val="000000"/>
                <w:sz w:val="16"/>
              </w:rPr>
              <w:t>Total non-current assets</w:t>
            </w:r>
          </w:p>
        </w:tc>
        <w:tc>
          <w:tcPr>
            <w:tcW w:w="98" w:type="pct"/>
            <w:tcBorders>
              <w:top w:val="nil"/>
              <w:left w:val="nil"/>
              <w:bottom w:val="nil"/>
              <w:right w:val="nil"/>
              <w:tl2br w:val="nil"/>
              <w:tr2bl w:val="nil"/>
            </w:tcBorders>
            <w:noWrap/>
            <w:vAlign w:val="bottom"/>
          </w:tcPr>
          <w:p w:rsidR="009534E2" w:rsidRDefault="009534E2">
            <w:pPr>
              <w:keepNext/>
              <w:rPr>
                <w:b/>
                <w:color w:val="000000"/>
                <w:sz w:val="16"/>
              </w:rPr>
            </w:pPr>
          </w:p>
        </w:tc>
        <w:tc>
          <w:tcPr>
            <w:tcW w:w="414" w:type="pct"/>
            <w:tcBorders>
              <w:top w:val="nil"/>
              <w:left w:val="nil"/>
              <w:bottom w:val="nil"/>
              <w:right w:val="nil"/>
              <w:tl2br w:val="nil"/>
              <w:tr2bl w:val="nil"/>
            </w:tcBorders>
            <w:noWrap/>
            <w:vAlign w:val="bottom"/>
          </w:tcPr>
          <w:p w:rsidR="009534E2" w:rsidRDefault="009534E2">
            <w:pPr>
              <w:keepNext/>
              <w:jc w:val="center"/>
              <w:rPr>
                <w:b/>
                <w:color w:val="000000"/>
                <w:sz w:val="16"/>
              </w:rPr>
            </w:pPr>
          </w:p>
        </w:tc>
        <w:tc>
          <w:tcPr>
            <w:tcW w:w="98" w:type="pct"/>
            <w:tcBorders>
              <w:top w:val="nil"/>
              <w:left w:val="nil"/>
              <w:bottom w:val="nil"/>
              <w:right w:val="nil"/>
              <w:tl2br w:val="nil"/>
              <w:tr2bl w:val="nil"/>
            </w:tcBorders>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sz w:val="16"/>
              </w:rPr>
            </w:pPr>
            <w:r>
              <w:rPr>
                <w:rFonts w:ascii="Times New Roman" w:hAnsi="Times New Roman" w:eastAsia="Times New Roman" w:cs="Times New Roman"/>
                <w:b/>
                <w:color w:val="000000"/>
                <w:sz w:val="16"/>
              </w:rPr>
              <w:t xml:space="preserve"> 14,345</w:t>
            </w:r>
          </w:p>
        </w:tc>
        <w:tc>
          <w:tcPr>
            <w:tcW w:w="98" w:type="pct"/>
            <w:tcBorders>
              <w:top w:val="nil"/>
              <w:left w:val="nil"/>
              <w:bottom w:val="nil"/>
              <w:right w:val="nil"/>
              <w:tl2br w:val="nil"/>
              <w:tr2bl w:val="nil"/>
            </w:tcBorders>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sz w:val="16"/>
              </w:rPr>
            </w:pPr>
            <w:r>
              <w:rPr>
                <w:rFonts w:ascii="Times New Roman" w:hAnsi="Times New Roman" w:eastAsia="Times New Roman" w:cs="Times New Roman"/>
                <w:b/>
                <w:color w:val="000000"/>
                <w:sz w:val="16"/>
              </w:rPr>
              <w:t xml:space="preserve"> 18,846</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b/>
                <w:color w:val="000000"/>
                <w:sz w:val="16"/>
              </w:rPr>
            </w:pPr>
            <w:bookmarkStart w:name="_3155da80_693b_45ca_9de6_972705033721" w:id="822"/>
            <w:bookmarkEnd w:id="821"/>
            <w:r>
              <w:rPr>
                <w:rFonts w:ascii="Times New Roman" w:hAnsi="Times New Roman" w:eastAsia="Times New Roman" w:cs="Times New Roman"/>
                <w:b/>
                <w:color w:val="000000"/>
                <w:sz w:val="16"/>
              </w:rPr>
              <w:t>Current assets</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shd w:val="clear" w:color="auto" w:fill="CCEEFF"/>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50" w:type="pct"/>
            <w:tcBorders>
              <w:top w:val="nil"/>
              <w:left w:val="nil"/>
              <w:bottom w:val="nil"/>
              <w:right w:val="nil"/>
              <w:tl2br w:val="nil"/>
              <w:tr2bl w:val="nil"/>
            </w:tcBorders>
            <w:shd w:val="clear" w:color="auto" w:fill="CCEEFF"/>
            <w:noWrap/>
            <w:vAlign w:val="bottom"/>
          </w:tcPr>
          <w:p w:rsidR="009534E2" w:rsidRDefault="009534E2">
            <w:pPr>
              <w:keepNext/>
              <w:jc w:val="right"/>
              <w:rPr>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50" w:type="pct"/>
            <w:tcBorders>
              <w:top w:val="nil"/>
              <w:left w:val="nil"/>
              <w:bottom w:val="nil"/>
              <w:right w:val="nil"/>
              <w:tl2br w:val="nil"/>
              <w:tr2bl w:val="nil"/>
            </w:tcBorders>
            <w:shd w:val="clear" w:color="auto" w:fill="CCEEFF"/>
            <w:noWrap/>
            <w:vAlign w:val="bottom"/>
          </w:tcPr>
          <w:p w:rsidR="009534E2" w:rsidRDefault="009534E2">
            <w:pPr>
              <w:keepNext/>
              <w:jc w:val="right"/>
              <w:rPr>
                <w:color w:val="000000"/>
                <w:sz w:val="16"/>
              </w:rPr>
            </w:pP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color w:val="000000"/>
                <w:sz w:val="16"/>
              </w:rPr>
            </w:pPr>
            <w:bookmarkStart w:name="_f18be8f1_eb86_49b8_bce8_cfaca6c10b1b" w:id="823"/>
            <w:bookmarkEnd w:id="822"/>
            <w:r>
              <w:rPr>
                <w:rFonts w:ascii="Times New Roman" w:hAnsi="Times New Roman" w:eastAsia="Times New Roman" w:cs="Times New Roman"/>
                <w:color w:val="000000"/>
                <w:sz w:val="16"/>
              </w:rPr>
              <w:t>Trade and other receivables</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13</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11,576</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15,194</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color w:val="000000"/>
                <w:sz w:val="16"/>
              </w:rPr>
            </w:pPr>
            <w:bookmarkStart w:name="_e9d59ae3_9587_4ef8_b5a6_003ac4c38c36" w:id="824"/>
            <w:bookmarkEnd w:id="823"/>
            <w:r>
              <w:rPr>
                <w:rFonts w:ascii="Times New Roman" w:hAnsi="Times New Roman" w:eastAsia="Times New Roman" w:cs="Times New Roman"/>
                <w:color w:val="000000"/>
                <w:sz w:val="16"/>
              </w:rPr>
              <w:t>Short-term loans issued</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12</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11,270</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14,200</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color w:val="000000"/>
                <w:sz w:val="16"/>
              </w:rPr>
            </w:pPr>
            <w:bookmarkStart w:name="_45f366bd_c153_49ce_a347_812715415be3" w:id="825"/>
            <w:bookmarkEnd w:id="824"/>
            <w:r>
              <w:rPr>
                <w:rFonts w:ascii="Times New Roman" w:hAnsi="Times New Roman" w:eastAsia="Times New Roman" w:cs="Times New Roman"/>
                <w:color w:val="000000"/>
                <w:sz w:val="16"/>
              </w:rPr>
              <w:t xml:space="preserve">Short-term debt securities </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15</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11,976</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14,029</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color w:val="000000"/>
                <w:sz w:val="16"/>
              </w:rPr>
            </w:pPr>
            <w:bookmarkStart w:name="_bc5e06ed_020c_4583_aecf_84c4f739abd0" w:id="826"/>
            <w:bookmarkEnd w:id="825"/>
            <w:r>
              <w:rPr>
                <w:rFonts w:ascii="Times New Roman" w:hAnsi="Times New Roman" w:eastAsia="Times New Roman" w:cs="Times New Roman"/>
                <w:color w:val="000000"/>
                <w:sz w:val="16"/>
              </w:rPr>
              <w:t>Prepaid income tax</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shd w:val="clear" w:color="auto" w:fill="CCEEFF"/>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463</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236</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color w:val="000000"/>
                <w:sz w:val="16"/>
              </w:rPr>
            </w:pPr>
            <w:bookmarkStart w:name="_5c4ac5ab_b03d_484b_804d_b17432bb068a" w:id="827"/>
            <w:bookmarkEnd w:id="826"/>
            <w:r>
              <w:rPr>
                <w:rFonts w:ascii="Times New Roman" w:hAnsi="Times New Roman" w:eastAsia="Times New Roman" w:cs="Times New Roman"/>
                <w:color w:val="000000"/>
                <w:sz w:val="16"/>
              </w:rPr>
              <w:t>Other current assets</w:t>
            </w:r>
          </w:p>
        </w:tc>
        <w:tc>
          <w:tcPr>
            <w:tcW w:w="98" w:type="pct"/>
            <w:tcBorders>
              <w:top w:val="nil"/>
              <w:left w:val="nil"/>
              <w:bottom w:val="nil"/>
              <w:right w:val="nil"/>
              <w:tl2br w:val="nil"/>
              <w:tr2bl w:val="nil"/>
            </w:tcBorders>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16</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1,262</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1,959</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color w:val="000000"/>
                <w:sz w:val="16"/>
              </w:rPr>
            </w:pPr>
            <w:bookmarkStart w:name="_443c0844_ae98_4541_bd14_9198535ddafb" w:id="828"/>
            <w:bookmarkEnd w:id="827"/>
            <w:r>
              <w:rPr>
                <w:rFonts w:ascii="Times New Roman" w:hAnsi="Times New Roman" w:eastAsia="Times New Roman" w:cs="Times New Roman"/>
                <w:color w:val="000000"/>
                <w:sz w:val="16"/>
              </w:rPr>
              <w:t>Cash and cash equivalents</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14</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33,033</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47,462</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b/>
                <w:color w:val="000000"/>
                <w:sz w:val="16"/>
              </w:rPr>
            </w:pPr>
            <w:bookmarkStart w:name="_68fd80b2_c62b_4e6d_986d_fe990e436619" w:id="829"/>
            <w:bookmarkEnd w:id="828"/>
            <w:r>
              <w:rPr>
                <w:rFonts w:ascii="Times New Roman" w:hAnsi="Times New Roman" w:eastAsia="Times New Roman" w:cs="Times New Roman"/>
                <w:b/>
                <w:color w:val="000000"/>
                <w:sz w:val="16"/>
              </w:rPr>
              <w:t>Total current assets</w:t>
            </w:r>
          </w:p>
        </w:tc>
        <w:tc>
          <w:tcPr>
            <w:tcW w:w="98" w:type="pct"/>
            <w:tcBorders>
              <w:top w:val="nil"/>
              <w:left w:val="nil"/>
              <w:bottom w:val="nil"/>
              <w:right w:val="nil"/>
              <w:tl2br w:val="nil"/>
              <w:tr2bl w:val="nil"/>
            </w:tcBorders>
            <w:noWrap/>
            <w:vAlign w:val="bottom"/>
          </w:tcPr>
          <w:p w:rsidR="009534E2" w:rsidRDefault="009534E2">
            <w:pPr>
              <w:keepNext/>
              <w:rPr>
                <w:b/>
                <w:color w:val="000000"/>
                <w:sz w:val="16"/>
              </w:rPr>
            </w:pPr>
          </w:p>
        </w:tc>
        <w:tc>
          <w:tcPr>
            <w:tcW w:w="414" w:type="pct"/>
            <w:tcBorders>
              <w:top w:val="nil"/>
              <w:left w:val="nil"/>
              <w:bottom w:val="nil"/>
              <w:right w:val="nil"/>
              <w:tl2br w:val="nil"/>
              <w:tr2bl w:val="nil"/>
            </w:tcBorders>
            <w:noWrap/>
            <w:vAlign w:val="bottom"/>
          </w:tcPr>
          <w:p w:rsidR="009534E2" w:rsidRDefault="009534E2">
            <w:pPr>
              <w:keepNext/>
              <w:jc w:val="center"/>
              <w:rPr>
                <w:b/>
                <w:color w:val="000000"/>
                <w:sz w:val="16"/>
              </w:rPr>
            </w:pPr>
          </w:p>
        </w:tc>
        <w:tc>
          <w:tcPr>
            <w:tcW w:w="98" w:type="pct"/>
            <w:tcBorders>
              <w:top w:val="nil"/>
              <w:left w:val="nil"/>
              <w:bottom w:val="nil"/>
              <w:right w:val="nil"/>
              <w:tl2br w:val="nil"/>
              <w:tr2bl w:val="nil"/>
            </w:tcBorders>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sz w:val="16"/>
              </w:rPr>
            </w:pPr>
            <w:r>
              <w:rPr>
                <w:rFonts w:ascii="Times New Roman" w:hAnsi="Times New Roman" w:eastAsia="Times New Roman" w:cs="Times New Roman"/>
                <w:b/>
                <w:color w:val="000000"/>
                <w:sz w:val="16"/>
              </w:rPr>
              <w:t xml:space="preserve"> 69,580</w:t>
            </w:r>
          </w:p>
        </w:tc>
        <w:tc>
          <w:tcPr>
            <w:tcW w:w="98" w:type="pct"/>
            <w:tcBorders>
              <w:top w:val="nil"/>
              <w:left w:val="nil"/>
              <w:bottom w:val="nil"/>
              <w:right w:val="nil"/>
              <w:tl2br w:val="nil"/>
              <w:tr2bl w:val="nil"/>
            </w:tcBorders>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sz w:val="16"/>
              </w:rPr>
            </w:pPr>
            <w:r>
              <w:rPr>
                <w:rFonts w:ascii="Times New Roman" w:hAnsi="Times New Roman" w:eastAsia="Times New Roman" w:cs="Times New Roman"/>
                <w:b/>
                <w:color w:val="000000"/>
                <w:sz w:val="16"/>
              </w:rPr>
              <w:t xml:space="preserve"> 93,080</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b/>
                <w:color w:val="000000"/>
                <w:sz w:val="16"/>
              </w:rPr>
            </w:pPr>
            <w:bookmarkStart w:name="_3b065246_091e_4818_b543_de527b21a677" w:id="830"/>
            <w:bookmarkEnd w:id="829"/>
            <w:r>
              <w:rPr>
                <w:rFonts w:ascii="Times New Roman" w:hAnsi="Times New Roman" w:eastAsia="Times New Roman" w:cs="Times New Roman"/>
                <w:b/>
                <w:color w:val="000000"/>
                <w:sz w:val="16"/>
              </w:rPr>
              <w:t>Total assets</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b/>
                <w:color w:val="000000"/>
                <w:sz w:val="16"/>
              </w:rPr>
            </w:pPr>
          </w:p>
        </w:tc>
        <w:tc>
          <w:tcPr>
            <w:tcW w:w="414" w:type="pct"/>
            <w:tcBorders>
              <w:top w:val="nil"/>
              <w:left w:val="nil"/>
              <w:bottom w:val="nil"/>
              <w:right w:val="nil"/>
              <w:tl2br w:val="nil"/>
              <w:tr2bl w:val="nil"/>
            </w:tcBorders>
            <w:shd w:val="clear" w:color="auto" w:fill="CCEEFF"/>
            <w:noWrap/>
            <w:vAlign w:val="bottom"/>
          </w:tcPr>
          <w:p w:rsidR="009534E2" w:rsidRDefault="009534E2">
            <w:pPr>
              <w:keepNext/>
              <w:jc w:val="center"/>
              <w:rPr>
                <w:b/>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b/>
                <w:color w:val="000000"/>
                <w:sz w:val="16"/>
              </w:rPr>
            </w:pPr>
            <w:r>
              <w:rPr>
                <w:rFonts w:ascii="Times New Roman" w:hAnsi="Times New Roman" w:eastAsia="Times New Roman" w:cs="Times New Roman"/>
                <w:b/>
                <w:color w:val="000000"/>
                <w:sz w:val="16"/>
              </w:rPr>
              <w:t xml:space="preserve"> 83,925</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b/>
                <w:color w:val="000000"/>
                <w:sz w:val="16"/>
              </w:rPr>
            </w:pPr>
            <w:r>
              <w:rPr>
                <w:rFonts w:ascii="Times New Roman" w:hAnsi="Times New Roman" w:eastAsia="Times New Roman" w:cs="Times New Roman"/>
                <w:b/>
                <w:color w:val="000000"/>
                <w:sz w:val="16"/>
              </w:rPr>
              <w:t xml:space="preserve"> 111,926</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b/>
                <w:color w:val="000000"/>
                <w:sz w:val="16"/>
              </w:rPr>
            </w:pPr>
            <w:bookmarkStart w:name="_b915909a_3c23_4727_a7d1_92864f07ed97" w:id="831"/>
            <w:bookmarkEnd w:id="830"/>
            <w:r>
              <w:rPr>
                <w:rFonts w:ascii="Times New Roman" w:hAnsi="Times New Roman" w:eastAsia="Times New Roman" w:cs="Times New Roman"/>
                <w:b/>
                <w:color w:val="000000"/>
                <w:sz w:val="16"/>
              </w:rPr>
              <w:t>Equity and liabilities</w:t>
            </w:r>
          </w:p>
        </w:tc>
        <w:tc>
          <w:tcPr>
            <w:tcW w:w="98" w:type="pct"/>
            <w:tcBorders>
              <w:top w:val="nil"/>
              <w:left w:val="nil"/>
              <w:bottom w:val="nil"/>
              <w:right w:val="nil"/>
              <w:tl2br w:val="nil"/>
              <w:tr2bl w:val="nil"/>
            </w:tcBorders>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noWrap/>
            <w:vAlign w:val="bottom"/>
          </w:tcPr>
          <w:p w:rsidR="009534E2" w:rsidRDefault="009534E2">
            <w:pPr>
              <w:keepNext/>
              <w:rPr>
                <w:color w:val="000000"/>
                <w:sz w:val="16"/>
              </w:rPr>
            </w:pPr>
          </w:p>
        </w:tc>
        <w:tc>
          <w:tcPr>
            <w:tcW w:w="450" w:type="pct"/>
            <w:tcBorders>
              <w:top w:val="nil"/>
              <w:left w:val="nil"/>
              <w:bottom w:val="nil"/>
              <w:right w:val="nil"/>
              <w:tl2br w:val="nil"/>
              <w:tr2bl w:val="nil"/>
            </w:tcBorders>
            <w:noWrap/>
            <w:vAlign w:val="bottom"/>
          </w:tcPr>
          <w:p w:rsidR="009534E2" w:rsidRDefault="009534E2">
            <w:pPr>
              <w:keepNext/>
              <w:jc w:val="right"/>
              <w:rPr>
                <w:color w:val="000000"/>
                <w:sz w:val="16"/>
              </w:rPr>
            </w:pPr>
          </w:p>
        </w:tc>
        <w:tc>
          <w:tcPr>
            <w:tcW w:w="98" w:type="pct"/>
            <w:tcBorders>
              <w:top w:val="nil"/>
              <w:left w:val="nil"/>
              <w:bottom w:val="nil"/>
              <w:right w:val="nil"/>
              <w:tl2br w:val="nil"/>
              <w:tr2bl w:val="nil"/>
            </w:tcBorders>
            <w:noWrap/>
            <w:vAlign w:val="bottom"/>
          </w:tcPr>
          <w:p w:rsidR="009534E2" w:rsidRDefault="009534E2">
            <w:pPr>
              <w:keepNext/>
              <w:rPr>
                <w:color w:val="000000"/>
                <w:sz w:val="16"/>
              </w:rPr>
            </w:pPr>
          </w:p>
        </w:tc>
        <w:tc>
          <w:tcPr>
            <w:tcW w:w="450" w:type="pct"/>
            <w:tcBorders>
              <w:top w:val="nil"/>
              <w:left w:val="nil"/>
              <w:bottom w:val="nil"/>
              <w:right w:val="nil"/>
              <w:tl2br w:val="nil"/>
              <w:tr2bl w:val="nil"/>
            </w:tcBorders>
            <w:noWrap/>
            <w:vAlign w:val="bottom"/>
          </w:tcPr>
          <w:p w:rsidR="009534E2" w:rsidRDefault="009534E2">
            <w:pPr>
              <w:keepNext/>
              <w:jc w:val="right"/>
              <w:rPr>
                <w:color w:val="000000"/>
                <w:sz w:val="16"/>
              </w:rPr>
            </w:pP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b/>
                <w:color w:val="000000"/>
                <w:sz w:val="16"/>
              </w:rPr>
            </w:pPr>
            <w:bookmarkStart w:name="_11c175d0_1973_4b70_9998_9571f0193260" w:id="832"/>
            <w:bookmarkEnd w:id="831"/>
            <w:r>
              <w:rPr>
                <w:rFonts w:ascii="Times New Roman" w:hAnsi="Times New Roman" w:eastAsia="Times New Roman" w:cs="Times New Roman"/>
                <w:b/>
                <w:color w:val="000000"/>
                <w:sz w:val="16"/>
              </w:rPr>
              <w:t>Equity attributable to equity holders of the parent</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shd w:val="clear" w:color="auto" w:fill="CCEEFF"/>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50" w:type="pct"/>
            <w:tcBorders>
              <w:top w:val="nil"/>
              <w:left w:val="nil"/>
              <w:bottom w:val="nil"/>
              <w:right w:val="nil"/>
              <w:tl2br w:val="nil"/>
              <w:tr2bl w:val="nil"/>
            </w:tcBorders>
            <w:shd w:val="clear" w:color="auto" w:fill="CCEEFF"/>
            <w:noWrap/>
            <w:vAlign w:val="bottom"/>
          </w:tcPr>
          <w:p w:rsidR="009534E2" w:rsidRDefault="009534E2">
            <w:pPr>
              <w:keepNext/>
              <w:jc w:val="right"/>
              <w:rPr>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50" w:type="pct"/>
            <w:tcBorders>
              <w:top w:val="nil"/>
              <w:left w:val="nil"/>
              <w:bottom w:val="nil"/>
              <w:right w:val="nil"/>
              <w:tl2br w:val="nil"/>
              <w:tr2bl w:val="nil"/>
            </w:tcBorders>
            <w:shd w:val="clear" w:color="auto" w:fill="CCEEFF"/>
            <w:noWrap/>
            <w:vAlign w:val="bottom"/>
          </w:tcPr>
          <w:p w:rsidR="009534E2" w:rsidRDefault="009534E2">
            <w:pPr>
              <w:keepNext/>
              <w:jc w:val="right"/>
              <w:rPr>
                <w:color w:val="000000"/>
                <w:sz w:val="16"/>
              </w:rPr>
            </w:pP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color w:val="000000"/>
                <w:sz w:val="16"/>
              </w:rPr>
            </w:pPr>
            <w:bookmarkStart w:name="_4d4bf4e9_61ff_4678_8520_5ab642da2ef6" w:id="833"/>
            <w:bookmarkEnd w:id="832"/>
            <w:r>
              <w:rPr>
                <w:rFonts w:ascii="Times New Roman" w:hAnsi="Times New Roman" w:eastAsia="Times New Roman" w:cs="Times New Roman"/>
                <w:color w:val="000000"/>
                <w:sz w:val="16"/>
              </w:rPr>
              <w:t>Share capital</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18</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color w:val="000000"/>
                <w:sz w:val="16"/>
              </w:rPr>
            </w:pPr>
            <w:bookmarkStart w:name="_a4b128be_dfaa_4446_ba02_135c5cb0e2a3" w:id="834"/>
            <w:bookmarkEnd w:id="833"/>
            <w:r>
              <w:rPr>
                <w:rFonts w:ascii="Times New Roman" w:hAnsi="Times New Roman" w:eastAsia="Times New Roman" w:cs="Times New Roman"/>
                <w:color w:val="000000"/>
                <w:sz w:val="16"/>
              </w:rPr>
              <w:t>Additional paid-in capital</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shd w:val="clear" w:color="auto" w:fill="CCEEFF"/>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1,876</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1,876</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color w:val="000000"/>
                <w:sz w:val="16"/>
              </w:rPr>
            </w:pPr>
            <w:bookmarkStart w:name="_acc97ef8_ddef_4989_a95b_7d3724cc0e70" w:id="835"/>
            <w:bookmarkEnd w:id="834"/>
            <w:r>
              <w:rPr>
                <w:rFonts w:ascii="Times New Roman" w:hAnsi="Times New Roman" w:eastAsia="Times New Roman" w:cs="Times New Roman"/>
                <w:color w:val="000000"/>
                <w:sz w:val="16"/>
              </w:rPr>
              <w:t>Share premium</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18</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12,068</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12,068</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color w:val="000000"/>
                <w:sz w:val="16"/>
              </w:rPr>
            </w:pPr>
            <w:bookmarkStart w:name="_355b1e70_b9e2_40da_9887_648a25b6609b" w:id="836"/>
            <w:bookmarkEnd w:id="835"/>
            <w:r>
              <w:rPr>
                <w:rFonts w:ascii="Times New Roman" w:hAnsi="Times New Roman" w:eastAsia="Times New Roman" w:cs="Times New Roman"/>
                <w:color w:val="000000"/>
                <w:sz w:val="16"/>
              </w:rPr>
              <w:t>Other reserves</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shd w:val="clear" w:color="auto" w:fill="CCEEFF"/>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2,376</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2,696</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color w:val="000000"/>
                <w:sz w:val="16"/>
              </w:rPr>
            </w:pPr>
            <w:bookmarkStart w:name="_1990330b_de28_4740_a6d9_a3002b31ac10" w:id="837"/>
            <w:bookmarkEnd w:id="836"/>
            <w:r>
              <w:rPr>
                <w:rFonts w:ascii="Times New Roman" w:hAnsi="Times New Roman" w:eastAsia="Times New Roman" w:cs="Times New Roman"/>
                <w:color w:val="000000"/>
                <w:sz w:val="16"/>
              </w:rPr>
              <w:t>Retained earnings</w:t>
            </w:r>
          </w:p>
        </w:tc>
        <w:tc>
          <w:tcPr>
            <w:tcW w:w="98" w:type="pct"/>
            <w:tcBorders>
              <w:top w:val="nil"/>
              <w:left w:val="nil"/>
              <w:bottom w:val="nil"/>
              <w:right w:val="nil"/>
              <w:tl2br w:val="nil"/>
              <w:tr2bl w:val="nil"/>
            </w:tcBorders>
            <w:noWrap/>
            <w:vAlign w:val="bottom"/>
          </w:tcPr>
          <w:p w:rsidR="009534E2" w:rsidRDefault="009534E2">
            <w:pPr>
              <w:keepNext/>
              <w:rPr>
                <w:b/>
                <w:color w:val="000000"/>
                <w:sz w:val="16"/>
              </w:rPr>
            </w:pPr>
          </w:p>
        </w:tc>
        <w:tc>
          <w:tcPr>
            <w:tcW w:w="414" w:type="pct"/>
            <w:tcBorders>
              <w:top w:val="nil"/>
              <w:left w:val="nil"/>
              <w:bottom w:val="nil"/>
              <w:right w:val="nil"/>
              <w:tl2br w:val="nil"/>
              <w:tr2bl w:val="nil"/>
            </w:tcBorders>
            <w:noWrap/>
            <w:vAlign w:val="bottom"/>
          </w:tcPr>
          <w:p w:rsidR="009534E2" w:rsidRDefault="009534E2">
            <w:pPr>
              <w:keepNext/>
              <w:jc w:val="center"/>
              <w:rPr>
                <w:b/>
                <w:color w:val="000000"/>
                <w:sz w:val="16"/>
              </w:rPr>
            </w:pP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26,822</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39,941</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color w:val="000000"/>
                <w:sz w:val="16"/>
              </w:rPr>
            </w:pPr>
            <w:bookmarkStart w:name="_faa7c59e_1efa_44ea_bd4f_5a7fbddcc4fb" w:id="838"/>
            <w:bookmarkEnd w:id="837"/>
            <w:r>
              <w:rPr>
                <w:rFonts w:ascii="Times New Roman" w:hAnsi="Times New Roman" w:eastAsia="Times New Roman" w:cs="Times New Roman"/>
                <w:color w:val="000000"/>
                <w:sz w:val="16"/>
              </w:rPr>
              <w:t>Translation reserve</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shd w:val="clear" w:color="auto" w:fill="CCEEFF"/>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542</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401</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b/>
                <w:color w:val="000000"/>
                <w:sz w:val="16"/>
              </w:rPr>
            </w:pPr>
            <w:bookmarkStart w:name="_b5336ef1_6048_4868_b544_ba49bd0b32f6" w:id="839"/>
            <w:bookmarkEnd w:id="838"/>
            <w:r>
              <w:rPr>
                <w:rFonts w:ascii="Times New Roman" w:hAnsi="Times New Roman" w:eastAsia="Times New Roman" w:cs="Times New Roman"/>
                <w:b/>
                <w:color w:val="000000"/>
                <w:sz w:val="16"/>
              </w:rPr>
              <w:t>Total equity attributable to equity holders of the parent</w:t>
            </w:r>
          </w:p>
        </w:tc>
        <w:tc>
          <w:tcPr>
            <w:tcW w:w="98" w:type="pct"/>
            <w:tcBorders>
              <w:top w:val="nil"/>
              <w:left w:val="nil"/>
              <w:bottom w:val="nil"/>
              <w:right w:val="nil"/>
              <w:tl2br w:val="nil"/>
              <w:tr2bl w:val="nil"/>
            </w:tcBorders>
            <w:noWrap/>
            <w:vAlign w:val="bottom"/>
          </w:tcPr>
          <w:p w:rsidR="009534E2" w:rsidRDefault="009534E2">
            <w:pPr>
              <w:keepNext/>
              <w:rPr>
                <w:b/>
                <w:color w:val="000000"/>
                <w:sz w:val="16"/>
              </w:rPr>
            </w:pPr>
          </w:p>
        </w:tc>
        <w:tc>
          <w:tcPr>
            <w:tcW w:w="414" w:type="pct"/>
            <w:tcBorders>
              <w:top w:val="nil"/>
              <w:left w:val="nil"/>
              <w:bottom w:val="nil"/>
              <w:right w:val="nil"/>
              <w:tl2br w:val="nil"/>
              <w:tr2bl w:val="nil"/>
            </w:tcBorders>
            <w:noWrap/>
            <w:vAlign w:val="bottom"/>
          </w:tcPr>
          <w:p w:rsidR="009534E2" w:rsidRDefault="009534E2">
            <w:pPr>
              <w:keepNext/>
              <w:jc w:val="center"/>
              <w:rPr>
                <w:b/>
                <w:color w:val="000000"/>
                <w:sz w:val="16"/>
              </w:rPr>
            </w:pPr>
          </w:p>
        </w:tc>
        <w:tc>
          <w:tcPr>
            <w:tcW w:w="98" w:type="pct"/>
            <w:tcBorders>
              <w:top w:val="nil"/>
              <w:left w:val="nil"/>
              <w:bottom w:val="nil"/>
              <w:right w:val="nil"/>
              <w:tl2br w:val="nil"/>
              <w:tr2bl w:val="nil"/>
            </w:tcBorders>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b/>
                <w:color w:val="000000"/>
                <w:sz w:val="16"/>
              </w:rPr>
            </w:pPr>
            <w:r>
              <w:rPr>
                <w:rFonts w:ascii="Times New Roman" w:hAnsi="Times New Roman" w:eastAsia="Times New Roman" w:cs="Times New Roman"/>
                <w:b/>
                <w:color w:val="000000"/>
                <w:sz w:val="16"/>
              </w:rPr>
              <w:t xml:space="preserve"> 43,685</w:t>
            </w:r>
          </w:p>
        </w:tc>
        <w:tc>
          <w:tcPr>
            <w:tcW w:w="98" w:type="pct"/>
            <w:tcBorders>
              <w:top w:val="nil"/>
              <w:left w:val="nil"/>
              <w:bottom w:val="nil"/>
              <w:right w:val="nil"/>
              <w:tl2br w:val="nil"/>
              <w:tr2bl w:val="nil"/>
            </w:tcBorders>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b/>
                <w:color w:val="000000"/>
                <w:sz w:val="16"/>
              </w:rPr>
            </w:pPr>
            <w:r>
              <w:rPr>
                <w:rFonts w:ascii="Times New Roman" w:hAnsi="Times New Roman" w:eastAsia="Times New Roman" w:cs="Times New Roman"/>
                <w:b/>
                <w:color w:val="000000"/>
                <w:sz w:val="16"/>
              </w:rPr>
              <w:t xml:space="preserve"> 56,983</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color w:val="000000"/>
                <w:sz w:val="16"/>
              </w:rPr>
            </w:pPr>
            <w:bookmarkStart w:name="_f0a08e43_6d61_44e2_b1d6_fc4cdd14d739" w:id="840"/>
            <w:bookmarkEnd w:id="839"/>
            <w:r>
              <w:rPr>
                <w:rFonts w:ascii="Times New Roman" w:hAnsi="Times New Roman" w:eastAsia="Times New Roman" w:cs="Times New Roman"/>
                <w:color w:val="000000"/>
                <w:sz w:val="16"/>
              </w:rPr>
              <w:t>Non-controlling interests</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b/>
                <w:color w:val="000000"/>
                <w:sz w:val="16"/>
              </w:rPr>
            </w:pPr>
          </w:p>
        </w:tc>
        <w:tc>
          <w:tcPr>
            <w:tcW w:w="414" w:type="pct"/>
            <w:tcBorders>
              <w:top w:val="nil"/>
              <w:left w:val="nil"/>
              <w:bottom w:val="nil"/>
              <w:right w:val="nil"/>
              <w:tl2br w:val="nil"/>
              <w:tr2bl w:val="nil"/>
            </w:tcBorders>
            <w:shd w:val="clear" w:color="auto" w:fill="CCEEFF"/>
            <w:noWrap/>
            <w:vAlign w:val="bottom"/>
          </w:tcPr>
          <w:p w:rsidR="009534E2" w:rsidRDefault="009534E2">
            <w:pPr>
              <w:keepNext/>
              <w:jc w:val="center"/>
              <w:rPr>
                <w:b/>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155</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912</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b/>
                <w:color w:val="000000"/>
                <w:sz w:val="16"/>
              </w:rPr>
            </w:pPr>
            <w:bookmarkStart w:name="_c6da7c75_4155_44db_9e9e_b8af6a0d3d96" w:id="841"/>
            <w:bookmarkEnd w:id="840"/>
            <w:r>
              <w:rPr>
                <w:rFonts w:ascii="Times New Roman" w:hAnsi="Times New Roman" w:eastAsia="Times New Roman" w:cs="Times New Roman"/>
                <w:b/>
                <w:color w:val="000000"/>
                <w:sz w:val="16"/>
              </w:rPr>
              <w:t>Total equity</w:t>
            </w:r>
          </w:p>
        </w:tc>
        <w:tc>
          <w:tcPr>
            <w:tcW w:w="98" w:type="pct"/>
            <w:tcBorders>
              <w:top w:val="nil"/>
              <w:left w:val="nil"/>
              <w:bottom w:val="nil"/>
              <w:right w:val="nil"/>
              <w:tl2br w:val="nil"/>
              <w:tr2bl w:val="nil"/>
            </w:tcBorders>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sz w:val="16"/>
              </w:rPr>
            </w:pPr>
            <w:r>
              <w:rPr>
                <w:rFonts w:ascii="Times New Roman" w:hAnsi="Times New Roman" w:eastAsia="Times New Roman" w:cs="Times New Roman"/>
                <w:b/>
                <w:color w:val="000000"/>
                <w:sz w:val="16"/>
              </w:rPr>
              <w:t xml:space="preserve"> 43,840</w:t>
            </w:r>
          </w:p>
        </w:tc>
        <w:tc>
          <w:tcPr>
            <w:tcW w:w="98" w:type="pct"/>
            <w:tcBorders>
              <w:top w:val="nil"/>
              <w:left w:val="nil"/>
              <w:bottom w:val="nil"/>
              <w:right w:val="nil"/>
              <w:tl2br w:val="nil"/>
              <w:tr2bl w:val="nil"/>
            </w:tcBorders>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sz w:val="16"/>
              </w:rPr>
            </w:pPr>
            <w:r>
              <w:rPr>
                <w:rFonts w:ascii="Times New Roman" w:hAnsi="Times New Roman" w:eastAsia="Times New Roman" w:cs="Times New Roman"/>
                <w:b/>
                <w:color w:val="000000"/>
                <w:sz w:val="16"/>
              </w:rPr>
              <w:t xml:space="preserve"> 57,895</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b/>
                <w:color w:val="000000"/>
                <w:sz w:val="16"/>
              </w:rPr>
            </w:pPr>
            <w:bookmarkStart w:name="_03ee36e1_b328_4406_b9de_4da2c9ab033e" w:id="842"/>
            <w:bookmarkEnd w:id="841"/>
            <w:r>
              <w:rPr>
                <w:rFonts w:ascii="Times New Roman" w:hAnsi="Times New Roman" w:eastAsia="Times New Roman" w:cs="Times New Roman"/>
                <w:b/>
                <w:color w:val="000000"/>
                <w:sz w:val="16"/>
              </w:rPr>
              <w:t>Non-current liabilities</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shd w:val="clear" w:color="auto" w:fill="CCEEFF"/>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50" w:type="pct"/>
            <w:tcBorders>
              <w:top w:val="nil"/>
              <w:left w:val="nil"/>
              <w:bottom w:val="nil"/>
              <w:right w:val="nil"/>
              <w:tl2br w:val="nil"/>
              <w:tr2bl w:val="nil"/>
            </w:tcBorders>
            <w:shd w:val="clear" w:color="auto" w:fill="CCEEFF"/>
            <w:noWrap/>
            <w:vAlign w:val="bottom"/>
          </w:tcPr>
          <w:p w:rsidR="009534E2" w:rsidRDefault="009534E2">
            <w:pPr>
              <w:keepNext/>
              <w:jc w:val="right"/>
              <w:rPr>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50" w:type="pct"/>
            <w:tcBorders>
              <w:top w:val="nil"/>
              <w:left w:val="nil"/>
              <w:bottom w:val="nil"/>
              <w:right w:val="nil"/>
              <w:tl2br w:val="nil"/>
              <w:tr2bl w:val="nil"/>
            </w:tcBorders>
            <w:shd w:val="clear" w:color="auto" w:fill="CCEEFF"/>
            <w:noWrap/>
            <w:vAlign w:val="bottom"/>
          </w:tcPr>
          <w:p w:rsidR="009534E2" w:rsidRDefault="009534E2">
            <w:pPr>
              <w:keepNext/>
              <w:jc w:val="right"/>
              <w:rPr>
                <w:color w:val="000000"/>
                <w:sz w:val="16"/>
              </w:rPr>
            </w:pP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color w:val="000000"/>
                <w:sz w:val="16"/>
              </w:rPr>
            </w:pPr>
            <w:bookmarkStart w:name="_35225972_c435_413d_aa3e_84f6b1f48231" w:id="843"/>
            <w:bookmarkEnd w:id="842"/>
            <w:r>
              <w:rPr>
                <w:rFonts w:ascii="Times New Roman" w:hAnsi="Times New Roman" w:eastAsia="Times New Roman" w:cs="Times New Roman"/>
                <w:color w:val="000000"/>
                <w:sz w:val="16"/>
              </w:rPr>
              <w:t>Long-term debt</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19</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4,648</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color w:val="000000"/>
                <w:sz w:val="16"/>
              </w:rPr>
            </w:pPr>
            <w:bookmarkStart w:name="_42262470_0148_43d7_a190_7d54064e8206" w:id="844"/>
            <w:bookmarkEnd w:id="843"/>
            <w:r>
              <w:rPr>
                <w:rFonts w:ascii="Times New Roman" w:hAnsi="Times New Roman" w:eastAsia="Times New Roman" w:cs="Times New Roman"/>
                <w:color w:val="000000"/>
                <w:sz w:val="16"/>
              </w:rPr>
              <w:t>Long-term deferred income</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shd w:val="clear" w:color="auto" w:fill="CCEEFF"/>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717</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1,154</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color w:val="000000"/>
                <w:sz w:val="16"/>
              </w:rPr>
            </w:pPr>
            <w:bookmarkStart w:name="_0c07ffc4_1180_4f52_b562_d6648ad40311" w:id="845"/>
            <w:bookmarkEnd w:id="844"/>
            <w:r>
              <w:rPr>
                <w:rFonts w:ascii="Times New Roman" w:hAnsi="Times New Roman" w:eastAsia="Times New Roman" w:cs="Times New Roman"/>
                <w:color w:val="000000"/>
                <w:sz w:val="16"/>
              </w:rPr>
              <w:t>Long-term lease liabilities</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22</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334</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133</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color w:val="000000"/>
                <w:sz w:val="16"/>
              </w:rPr>
            </w:pPr>
            <w:bookmarkStart w:name="_255f9d1a_a9c2_4996_bf6c_b313eaf462d6" w:id="846"/>
            <w:bookmarkEnd w:id="845"/>
            <w:r>
              <w:rPr>
                <w:rFonts w:ascii="Times New Roman" w:hAnsi="Times New Roman" w:eastAsia="Times New Roman" w:cs="Times New Roman"/>
                <w:color w:val="000000"/>
                <w:sz w:val="16"/>
              </w:rPr>
              <w:t>Other non-current liabilities</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b/>
                <w:color w:val="000000"/>
                <w:sz w:val="16"/>
              </w:rPr>
            </w:pPr>
          </w:p>
        </w:tc>
        <w:tc>
          <w:tcPr>
            <w:tcW w:w="414" w:type="pct"/>
            <w:tcBorders>
              <w:top w:val="nil"/>
              <w:left w:val="nil"/>
              <w:bottom w:val="nil"/>
              <w:right w:val="nil"/>
              <w:tl2br w:val="nil"/>
              <w:tr2bl w:val="nil"/>
            </w:tcBorders>
            <w:shd w:val="clear" w:color="auto" w:fill="CCEEFF"/>
            <w:noWrap/>
            <w:vAlign w:val="bottom"/>
          </w:tcPr>
          <w:p w:rsidR="009534E2" w:rsidRDefault="009534E2">
            <w:pPr>
              <w:keepNext/>
              <w:jc w:val="center"/>
              <w:rPr>
                <w:b/>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80</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156</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color w:val="000000"/>
                <w:sz w:val="16"/>
              </w:rPr>
            </w:pPr>
            <w:bookmarkStart w:name="_43f07c48_e136_4074_8a80_75d960eefd2e" w:id="847"/>
            <w:bookmarkEnd w:id="846"/>
            <w:r>
              <w:rPr>
                <w:rFonts w:ascii="Times New Roman" w:hAnsi="Times New Roman" w:eastAsia="Times New Roman" w:cs="Times New Roman"/>
                <w:color w:val="000000"/>
                <w:sz w:val="16"/>
              </w:rPr>
              <w:t>Deferred tax liabilities</w:t>
            </w:r>
          </w:p>
        </w:tc>
        <w:tc>
          <w:tcPr>
            <w:tcW w:w="98" w:type="pct"/>
            <w:tcBorders>
              <w:top w:val="nil"/>
              <w:left w:val="nil"/>
              <w:bottom w:val="nil"/>
              <w:right w:val="nil"/>
              <w:tl2br w:val="nil"/>
              <w:tr2bl w:val="nil"/>
            </w:tcBorders>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27</w:t>
            </w:r>
          </w:p>
        </w:tc>
        <w:tc>
          <w:tcPr>
            <w:tcW w:w="98" w:type="pct"/>
            <w:tcBorders>
              <w:top w:val="nil"/>
              <w:left w:val="nil"/>
              <w:bottom w:val="nil"/>
              <w:right w:val="nil"/>
              <w:tl2br w:val="nil"/>
              <w:tr2bl w:val="nil"/>
            </w:tcBorders>
            <w:noWrap/>
            <w:vAlign w:val="bottom"/>
          </w:tcPr>
          <w:p w:rsidR="009534E2" w:rsidRDefault="009534E2">
            <w:pPr>
              <w:keepNext/>
              <w:rPr>
                <w:color w:val="000000"/>
                <w:sz w:val="16"/>
              </w:rPr>
            </w:pPr>
          </w:p>
        </w:tc>
        <w:tc>
          <w:tcPr>
            <w:tcW w:w="450"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1,376</w:t>
            </w:r>
          </w:p>
        </w:tc>
        <w:tc>
          <w:tcPr>
            <w:tcW w:w="98" w:type="pct"/>
            <w:tcBorders>
              <w:top w:val="nil"/>
              <w:left w:val="nil"/>
              <w:bottom w:val="nil"/>
              <w:right w:val="nil"/>
              <w:tl2br w:val="nil"/>
              <w:tr2bl w:val="nil"/>
            </w:tcBorders>
            <w:noWrap/>
            <w:vAlign w:val="bottom"/>
          </w:tcPr>
          <w:p w:rsidR="009534E2" w:rsidRDefault="009534E2">
            <w:pPr>
              <w:keepNext/>
              <w:rPr>
                <w:color w:val="000000"/>
                <w:sz w:val="16"/>
              </w:rPr>
            </w:pPr>
          </w:p>
        </w:tc>
        <w:tc>
          <w:tcPr>
            <w:tcW w:w="450"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1,847</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b/>
                <w:color w:val="000000"/>
                <w:sz w:val="16"/>
              </w:rPr>
            </w:pPr>
            <w:bookmarkStart w:name="_65357b0a_3e74_400a_94d2_fc6cea5e54a4" w:id="848"/>
            <w:bookmarkEnd w:id="847"/>
            <w:r>
              <w:rPr>
                <w:rFonts w:ascii="Times New Roman" w:hAnsi="Times New Roman" w:eastAsia="Times New Roman" w:cs="Times New Roman"/>
                <w:b/>
                <w:color w:val="000000"/>
                <w:sz w:val="16"/>
              </w:rPr>
              <w:t>Total non-current liabilities</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shd w:val="clear" w:color="auto" w:fill="CCEEFF"/>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b/>
                <w:color w:val="000000"/>
                <w:sz w:val="16"/>
              </w:rPr>
            </w:pPr>
            <w:r>
              <w:rPr>
                <w:rFonts w:ascii="Times New Roman" w:hAnsi="Times New Roman" w:eastAsia="Times New Roman" w:cs="Times New Roman"/>
                <w:b/>
                <w:color w:val="000000"/>
                <w:sz w:val="16"/>
              </w:rPr>
              <w:t xml:space="preserve"> 7,155</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b/>
                <w:color w:val="000000"/>
                <w:sz w:val="16"/>
              </w:rPr>
            </w:pPr>
            <w:r>
              <w:rPr>
                <w:rFonts w:ascii="Times New Roman" w:hAnsi="Times New Roman" w:eastAsia="Times New Roman" w:cs="Times New Roman"/>
                <w:b/>
                <w:color w:val="000000"/>
                <w:sz w:val="16"/>
              </w:rPr>
              <w:t xml:space="preserve"> 3,290</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b/>
                <w:color w:val="000000"/>
                <w:sz w:val="16"/>
              </w:rPr>
            </w:pPr>
            <w:bookmarkStart w:name="_f03e5ee4_0604_41bd_8e47_75a41a93e29f" w:id="849"/>
            <w:bookmarkEnd w:id="848"/>
            <w:r>
              <w:rPr>
                <w:rFonts w:ascii="Times New Roman" w:hAnsi="Times New Roman" w:eastAsia="Times New Roman" w:cs="Times New Roman"/>
                <w:b/>
                <w:color w:val="000000"/>
                <w:sz w:val="16"/>
              </w:rPr>
              <w:t>Current liabilities</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9534E2">
            <w:pPr>
              <w:keepNext/>
              <w:jc w:val="right"/>
              <w:rPr>
                <w:color w:val="000000"/>
                <w:sz w:val="16"/>
              </w:rPr>
            </w:pP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9534E2">
            <w:pPr>
              <w:keepNext/>
              <w:jc w:val="right"/>
              <w:rPr>
                <w:color w:val="000000"/>
                <w:sz w:val="16"/>
              </w:rPr>
            </w:pP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color w:val="000000"/>
                <w:sz w:val="16"/>
              </w:rPr>
            </w:pPr>
            <w:bookmarkStart w:name="_bd8b9541_6d6c_408b_8491_886dc7aa27e9" w:id="850"/>
            <w:bookmarkEnd w:id="849"/>
            <w:r>
              <w:rPr>
                <w:rFonts w:ascii="Times New Roman" w:hAnsi="Times New Roman" w:eastAsia="Times New Roman" w:cs="Times New Roman"/>
                <w:color w:val="000000"/>
                <w:sz w:val="16"/>
              </w:rPr>
              <w:t>Trade and other payables</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20</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23,365</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33,048</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color w:val="000000"/>
                <w:sz w:val="16"/>
              </w:rPr>
            </w:pPr>
            <w:bookmarkStart w:name="_a6cefa40_56be_43ec_b0b3_59e1b68e1999" w:id="851"/>
            <w:bookmarkEnd w:id="850"/>
            <w:r>
              <w:rPr>
                <w:rFonts w:ascii="Times New Roman" w:hAnsi="Times New Roman" w:eastAsia="Times New Roman" w:cs="Times New Roman"/>
                <w:color w:val="000000"/>
                <w:sz w:val="16"/>
              </w:rPr>
              <w:t>Customer accounts and amounts due to banks</w:t>
            </w:r>
          </w:p>
        </w:tc>
        <w:tc>
          <w:tcPr>
            <w:tcW w:w="98" w:type="pct"/>
            <w:tcBorders>
              <w:top w:val="nil"/>
              <w:left w:val="nil"/>
              <w:bottom w:val="nil"/>
              <w:right w:val="nil"/>
              <w:tl2br w:val="nil"/>
              <w:tr2bl w:val="nil"/>
            </w:tcBorders>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21</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7,635</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11,203</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color w:val="000000"/>
                <w:sz w:val="16"/>
              </w:rPr>
            </w:pPr>
            <w:bookmarkStart w:name="_d1c70da1_a5ed_461b_8a7e_43ff9257038a" w:id="852"/>
            <w:bookmarkEnd w:id="851"/>
            <w:r>
              <w:rPr>
                <w:rFonts w:ascii="Times New Roman" w:hAnsi="Times New Roman" w:eastAsia="Times New Roman" w:cs="Times New Roman"/>
                <w:color w:val="000000"/>
                <w:sz w:val="16"/>
              </w:rPr>
              <w:t>Short-term debt</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19</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86</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color w:val="000000"/>
                <w:sz w:val="16"/>
              </w:rPr>
            </w:pP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3,922</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color w:val="000000"/>
                <w:sz w:val="16"/>
              </w:rPr>
            </w:pPr>
            <w:bookmarkStart w:name="_d1a4fa9e_71f0_4023_a716_418789b465e6" w:id="853"/>
            <w:bookmarkEnd w:id="852"/>
            <w:r>
              <w:rPr>
                <w:rFonts w:ascii="Times New Roman" w:hAnsi="Times New Roman" w:eastAsia="Times New Roman" w:cs="Times New Roman"/>
                <w:color w:val="000000"/>
                <w:sz w:val="16"/>
              </w:rPr>
              <w:t>Short-term lease liabilities</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14" w:type="pct"/>
            <w:tcBorders>
              <w:top w:val="nil"/>
              <w:left w:val="nil"/>
              <w:bottom w:val="nil"/>
              <w:right w:val="nil"/>
              <w:tl2br w:val="nil"/>
              <w:tr2bl w:val="nil"/>
            </w:tcBorders>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22</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308</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nil"/>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300</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color w:val="000000"/>
                <w:sz w:val="16"/>
              </w:rPr>
            </w:pPr>
            <w:bookmarkStart w:name="_613d0d39_a74a_46af_b69e_59b4c4cd66f3" w:id="854"/>
            <w:bookmarkEnd w:id="853"/>
            <w:r>
              <w:rPr>
                <w:rFonts w:ascii="Times New Roman" w:hAnsi="Times New Roman" w:eastAsia="Times New Roman" w:cs="Times New Roman"/>
                <w:color w:val="000000"/>
                <w:sz w:val="16"/>
              </w:rPr>
              <w:t>VAT and other taxes payable</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b/>
                <w:color w:val="000000"/>
                <w:sz w:val="16"/>
              </w:rPr>
            </w:pPr>
          </w:p>
        </w:tc>
        <w:tc>
          <w:tcPr>
            <w:tcW w:w="414" w:type="pct"/>
            <w:tcBorders>
              <w:top w:val="nil"/>
              <w:left w:val="nil"/>
              <w:bottom w:val="nil"/>
              <w:right w:val="nil"/>
              <w:tl2br w:val="nil"/>
              <w:tr2bl w:val="nil"/>
            </w:tcBorders>
            <w:shd w:val="clear" w:color="auto" w:fill="CCEEFF"/>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178</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747</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color w:val="000000"/>
                <w:sz w:val="16"/>
              </w:rPr>
            </w:pPr>
            <w:bookmarkStart w:name="_b425f0ce_2a3f_4d29_bbc7_96d97c41712c" w:id="855"/>
            <w:bookmarkEnd w:id="854"/>
            <w:r>
              <w:rPr>
                <w:rFonts w:ascii="Times New Roman" w:hAnsi="Times New Roman" w:eastAsia="Times New Roman" w:cs="Times New Roman"/>
                <w:color w:val="000000"/>
                <w:sz w:val="16"/>
              </w:rPr>
              <w:t>Other current liabilities</w:t>
            </w:r>
          </w:p>
        </w:tc>
        <w:tc>
          <w:tcPr>
            <w:tcW w:w="98" w:type="pct"/>
            <w:tcBorders>
              <w:top w:val="nil"/>
              <w:left w:val="nil"/>
              <w:bottom w:val="nil"/>
              <w:right w:val="nil"/>
              <w:tl2br w:val="nil"/>
              <w:tr2bl w:val="nil"/>
            </w:tcBorders>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noWrap/>
            <w:vAlign w:val="bottom"/>
          </w:tcPr>
          <w:p w:rsidR="009534E2" w:rsidRDefault="003369EB">
            <w:pPr>
              <w:keepNext/>
              <w:jc w:val="center"/>
              <w:rPr>
                <w:color w:val="000000"/>
                <w:sz w:val="16"/>
              </w:rPr>
            </w:pPr>
            <w:r>
              <w:rPr>
                <w:rFonts w:ascii="Times New Roman" w:hAnsi="Times New Roman" w:eastAsia="Times New Roman" w:cs="Times New Roman"/>
                <w:color w:val="000000"/>
                <w:sz w:val="16"/>
              </w:rPr>
              <w:t>16</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1,358</w:t>
            </w:r>
          </w:p>
        </w:tc>
        <w:tc>
          <w:tcPr>
            <w:tcW w:w="98" w:type="pct"/>
            <w:tcBorders>
              <w:top w:val="nil"/>
              <w:left w:val="nil"/>
              <w:bottom w:val="nil"/>
              <w:right w:val="nil"/>
              <w:tl2br w:val="nil"/>
              <w:tr2bl w:val="nil"/>
            </w:tcBorders>
            <w:noWrap/>
            <w:vAlign w:val="bottom"/>
          </w:tcPr>
          <w:p w:rsidR="009534E2" w:rsidRDefault="003369EB">
            <w:pPr>
              <w:keepNext/>
              <w:rPr>
                <w:color w:val="000000"/>
                <w:sz w:val="16"/>
              </w:rPr>
            </w:pPr>
            <w:r>
              <w:rPr>
                <w:rFonts w:ascii="Times New Roman" w:hAnsi="Times New Roman" w:eastAsia="Times New Roman" w:cs="Times New Roman"/>
                <w:color w:val="000000"/>
                <w:sz w:val="16"/>
              </w:rPr>
              <w:t> </w:t>
            </w:r>
          </w:p>
        </w:tc>
        <w:tc>
          <w:tcPr>
            <w:tcW w:w="450"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sz w:val="16"/>
              </w:rPr>
            </w:pPr>
            <w:r>
              <w:rPr>
                <w:rFonts w:ascii="Times New Roman" w:hAnsi="Times New Roman" w:eastAsia="Times New Roman" w:cs="Times New Roman"/>
                <w:color w:val="000000"/>
                <w:sz w:val="16"/>
              </w:rPr>
              <w:t xml:space="preserve"> 1,521</w:t>
            </w:r>
          </w:p>
        </w:tc>
      </w:tr>
      <w:tr w:rsidR="009534E2">
        <w:trPr>
          <w:jc w:val="center"/>
        </w:trPr>
        <w:tc>
          <w:tcPr>
            <w:tcW w:w="3391" w:type="pct"/>
            <w:tcBorders>
              <w:top w:val="nil"/>
              <w:left w:val="nil"/>
              <w:bottom w:val="nil"/>
              <w:right w:val="nil"/>
              <w:tl2br w:val="nil"/>
              <w:tr2bl w:val="nil"/>
            </w:tcBorders>
            <w:shd w:val="clear" w:color="auto" w:fill="CCEEFF"/>
            <w:vAlign w:val="center"/>
          </w:tcPr>
          <w:p w:rsidR="009534E2" w:rsidRDefault="003369EB">
            <w:pPr>
              <w:keepNext/>
              <w:rPr>
                <w:b/>
                <w:color w:val="000000"/>
                <w:sz w:val="16"/>
              </w:rPr>
            </w:pPr>
            <w:bookmarkStart w:name="_a0f467cd_f6a0_413d_ada8_f6045784c4a4" w:id="856"/>
            <w:bookmarkEnd w:id="855"/>
            <w:r>
              <w:rPr>
                <w:rFonts w:ascii="Times New Roman" w:hAnsi="Times New Roman" w:eastAsia="Times New Roman" w:cs="Times New Roman"/>
                <w:b/>
                <w:color w:val="000000"/>
                <w:sz w:val="16"/>
              </w:rPr>
              <w:t>Total current liabilities</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b/>
                <w:color w:val="000000"/>
                <w:sz w:val="16"/>
              </w:rPr>
            </w:pPr>
          </w:p>
        </w:tc>
        <w:tc>
          <w:tcPr>
            <w:tcW w:w="414" w:type="pct"/>
            <w:tcBorders>
              <w:top w:val="nil"/>
              <w:left w:val="nil"/>
              <w:bottom w:val="nil"/>
              <w:right w:val="nil"/>
              <w:tl2br w:val="nil"/>
              <w:tr2bl w:val="nil"/>
            </w:tcBorders>
            <w:shd w:val="clear" w:color="auto" w:fill="CCEEFF"/>
            <w:noWrap/>
            <w:vAlign w:val="bottom"/>
          </w:tcPr>
          <w:p w:rsidR="009534E2" w:rsidRDefault="009534E2">
            <w:pPr>
              <w:keepNext/>
              <w:jc w:val="center"/>
              <w:rPr>
                <w:b/>
                <w:color w:val="000000"/>
                <w:sz w:val="16"/>
              </w:rPr>
            </w:pP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b/>
                <w:color w:val="000000"/>
                <w:sz w:val="16"/>
              </w:rPr>
            </w:pPr>
            <w:r>
              <w:rPr>
                <w:rFonts w:ascii="Times New Roman" w:hAnsi="Times New Roman" w:eastAsia="Times New Roman" w:cs="Times New Roman"/>
                <w:b/>
                <w:color w:val="000000"/>
                <w:sz w:val="16"/>
              </w:rPr>
              <w:t xml:space="preserve"> 32,930</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50"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b/>
                <w:color w:val="000000"/>
                <w:sz w:val="16"/>
              </w:rPr>
            </w:pPr>
            <w:r>
              <w:rPr>
                <w:rFonts w:ascii="Times New Roman" w:hAnsi="Times New Roman" w:eastAsia="Times New Roman" w:cs="Times New Roman"/>
                <w:b/>
                <w:color w:val="000000"/>
                <w:sz w:val="16"/>
              </w:rPr>
              <w:t xml:space="preserve"> 50,741</w:t>
            </w:r>
          </w:p>
        </w:tc>
      </w:tr>
      <w:tr w:rsidR="009534E2">
        <w:trPr>
          <w:jc w:val="center"/>
        </w:trPr>
        <w:tc>
          <w:tcPr>
            <w:tcW w:w="3391" w:type="pct"/>
            <w:tcBorders>
              <w:top w:val="nil"/>
              <w:left w:val="nil"/>
              <w:bottom w:val="nil"/>
              <w:right w:val="nil"/>
              <w:tl2br w:val="nil"/>
              <w:tr2bl w:val="nil"/>
            </w:tcBorders>
            <w:vAlign w:val="center"/>
          </w:tcPr>
          <w:p w:rsidR="009534E2" w:rsidRDefault="003369EB">
            <w:pPr>
              <w:keepNext/>
              <w:rPr>
                <w:b/>
                <w:color w:val="000000"/>
                <w:sz w:val="16"/>
              </w:rPr>
            </w:pPr>
            <w:bookmarkStart w:name="_e87754bf_a0a3_42c7_b4df_e9610658d4d1" w:id="857"/>
            <w:bookmarkEnd w:id="856"/>
            <w:r>
              <w:rPr>
                <w:rFonts w:ascii="Times New Roman" w:hAnsi="Times New Roman" w:eastAsia="Times New Roman" w:cs="Times New Roman"/>
                <w:b/>
                <w:color w:val="000000"/>
                <w:sz w:val="16"/>
              </w:rPr>
              <w:t>Total equity and liabilities</w:t>
            </w:r>
          </w:p>
        </w:tc>
        <w:tc>
          <w:tcPr>
            <w:tcW w:w="98" w:type="pct"/>
            <w:tcBorders>
              <w:top w:val="nil"/>
              <w:left w:val="nil"/>
              <w:bottom w:val="nil"/>
              <w:right w:val="nil"/>
              <w:tl2br w:val="nil"/>
              <w:tr2bl w:val="nil"/>
            </w:tcBorders>
            <w:noWrap/>
            <w:vAlign w:val="bottom"/>
          </w:tcPr>
          <w:p w:rsidR="009534E2" w:rsidRDefault="009534E2">
            <w:pPr>
              <w:keepNext/>
              <w:rPr>
                <w:color w:val="000000"/>
                <w:sz w:val="16"/>
              </w:rPr>
            </w:pPr>
          </w:p>
        </w:tc>
        <w:tc>
          <w:tcPr>
            <w:tcW w:w="414" w:type="pct"/>
            <w:tcBorders>
              <w:top w:val="nil"/>
              <w:left w:val="nil"/>
              <w:bottom w:val="nil"/>
              <w:right w:val="nil"/>
              <w:tl2br w:val="nil"/>
              <w:tr2bl w:val="nil"/>
            </w:tcBorders>
            <w:noWrap/>
            <w:vAlign w:val="bottom"/>
          </w:tcPr>
          <w:p w:rsidR="009534E2" w:rsidRDefault="009534E2">
            <w:pPr>
              <w:keepNext/>
              <w:jc w:val="center"/>
              <w:rPr>
                <w:color w:val="000000"/>
                <w:sz w:val="16"/>
              </w:rPr>
            </w:pPr>
          </w:p>
        </w:tc>
        <w:tc>
          <w:tcPr>
            <w:tcW w:w="98" w:type="pct"/>
            <w:tcBorders>
              <w:top w:val="nil"/>
              <w:left w:val="nil"/>
              <w:bottom w:val="nil"/>
              <w:right w:val="nil"/>
              <w:tl2br w:val="nil"/>
              <w:tr2bl w:val="nil"/>
            </w:tcBorders>
            <w:noWrap/>
            <w:vAlign w:val="bottom"/>
          </w:tcPr>
          <w:p w:rsidR="009534E2" w:rsidRDefault="009534E2">
            <w:pPr>
              <w:keepNext/>
              <w:rPr>
                <w:color w:val="000000"/>
                <w:sz w:val="16"/>
              </w:rPr>
            </w:pPr>
          </w:p>
        </w:tc>
        <w:tc>
          <w:tcPr>
            <w:tcW w:w="450" w:type="pct"/>
            <w:tcBorders>
              <w:top w:val="nil"/>
              <w:left w:val="nil"/>
              <w:bottom w:val="double" w:color="000000" w:sz="4" w:space="0"/>
              <w:right w:val="nil"/>
              <w:tl2br w:val="nil"/>
              <w:tr2bl w:val="nil"/>
            </w:tcBorders>
            <w:noWrap/>
            <w:vAlign w:val="bottom"/>
          </w:tcPr>
          <w:p w:rsidR="009534E2" w:rsidRDefault="003369EB">
            <w:pPr>
              <w:keepNext/>
              <w:ind w:right="60"/>
              <w:jc w:val="right"/>
              <w:rPr>
                <w:b/>
                <w:color w:val="000000"/>
                <w:sz w:val="16"/>
              </w:rPr>
            </w:pPr>
            <w:r>
              <w:rPr>
                <w:rFonts w:ascii="Times New Roman" w:hAnsi="Times New Roman" w:eastAsia="Times New Roman" w:cs="Times New Roman"/>
                <w:b/>
                <w:color w:val="000000"/>
                <w:sz w:val="16"/>
              </w:rPr>
              <w:t xml:space="preserve"> 83,925</w:t>
            </w:r>
          </w:p>
        </w:tc>
        <w:tc>
          <w:tcPr>
            <w:tcW w:w="98" w:type="pct"/>
            <w:tcBorders>
              <w:top w:val="nil"/>
              <w:left w:val="nil"/>
              <w:bottom w:val="nil"/>
              <w:right w:val="nil"/>
              <w:tl2br w:val="nil"/>
              <w:tr2bl w:val="nil"/>
            </w:tcBorders>
            <w:noWrap/>
            <w:vAlign w:val="bottom"/>
          </w:tcPr>
          <w:p w:rsidR="009534E2" w:rsidRDefault="009534E2">
            <w:pPr>
              <w:keepNext/>
              <w:rPr>
                <w:color w:val="000000"/>
                <w:sz w:val="16"/>
              </w:rPr>
            </w:pPr>
          </w:p>
        </w:tc>
        <w:tc>
          <w:tcPr>
            <w:tcW w:w="450" w:type="pct"/>
            <w:tcBorders>
              <w:top w:val="nil"/>
              <w:left w:val="nil"/>
              <w:bottom w:val="double" w:color="000000" w:sz="4" w:space="0"/>
              <w:right w:val="nil"/>
              <w:tl2br w:val="nil"/>
              <w:tr2bl w:val="nil"/>
            </w:tcBorders>
            <w:noWrap/>
            <w:vAlign w:val="bottom"/>
          </w:tcPr>
          <w:p w:rsidR="009534E2" w:rsidRDefault="003369EB">
            <w:pPr>
              <w:keepNext/>
              <w:ind w:right="60"/>
              <w:jc w:val="right"/>
              <w:rPr>
                <w:b/>
                <w:color w:val="000000"/>
                <w:sz w:val="16"/>
              </w:rPr>
            </w:pPr>
            <w:r>
              <w:rPr>
                <w:rFonts w:ascii="Times New Roman" w:hAnsi="Times New Roman" w:eastAsia="Times New Roman" w:cs="Times New Roman"/>
                <w:b/>
                <w:color w:val="000000"/>
                <w:sz w:val="16"/>
              </w:rPr>
              <w:t xml:space="preserve"> 111,926</w:t>
            </w:r>
          </w:p>
        </w:tc>
      </w:tr>
      <w:bookmarkEnd w:id="808"/>
      <w:bookmarkEnd w:id="857"/>
    </w:tbl>
    <w:p w:rsidR="009534E2" w:rsidRDefault="009534E2">
      <w:pPr>
        <w:rPr>
          <w:rFonts w:asciiTheme="majorHAnsi" w:hAnsiTheme="majorHAnsi" w:cstheme="majorHAnsi"/>
          <w:sz w:val="12"/>
        </w:rPr>
      </w:pPr>
    </w:p>
    <w:p w:rsidR="009534E2" w:rsidRDefault="003369EB">
      <w:pPr>
        <w:pStyle w:val="BodyText"/>
        <w:spacing w:after="0"/>
        <w:jc w:val="center"/>
        <w:rPr>
          <w:rFonts w:asciiTheme="majorHAnsi" w:hAnsiTheme="majorHAnsi" w:cstheme="majorHAnsi"/>
          <w:i/>
          <w:lang w:val="ru-RU" w:eastAsia="ru-RU"/>
        </w:rPr>
      </w:pPr>
      <w:r>
        <w:rPr>
          <w:rFonts w:asciiTheme="majorHAnsi" w:hAnsiTheme="majorHAnsi" w:cstheme="majorHAnsi"/>
          <w:i/>
          <w:lang w:val="ru-RU" w:eastAsia="ru-RU"/>
        </w:rPr>
        <w:t>The accompanying notes form an integral part of these consolidated financial statements.</w:t>
      </w:r>
    </w:p>
    <w:p w:rsidR="009534E2" w:rsidRDefault="003369EB">
      <w:pPr>
        <w:rPr>
          <w:rFonts w:eastAsia="Times New Roman" w:asciiTheme="majorHAnsi" w:hAnsiTheme="majorHAnsi" w:cstheme="majorHAnsi"/>
        </w:rPr>
      </w:pPr>
      <w:r>
        <w:rPr>
          <w:rFonts w:eastAsia="Times New Roman" w:asciiTheme="majorHAnsi" w:hAnsiTheme="majorHAnsi" w:cstheme="majorHAnsi"/>
        </w:rPr>
        <w:br w:type="page"/>
      </w:r>
    </w:p>
    <w:p w:rsidR="009534E2" w:rsidRDefault="003369EB">
      <w:pPr>
        <w:pStyle w:val="BodyText"/>
        <w:keepNext/>
        <w:jc w:val="center"/>
        <w:rPr>
          <w:rFonts w:asciiTheme="majorHAnsi" w:hAnsiTheme="majorHAnsi" w:cstheme="majorHAnsi"/>
          <w:lang w:val="ru-RU" w:eastAsia="ru-RU"/>
        </w:rPr>
      </w:pPr>
      <w:r>
        <w:rPr>
          <w:rFonts w:asciiTheme="majorHAnsi" w:hAnsiTheme="majorHAnsi" w:cstheme="majorHAnsi"/>
          <w:lang w:val="ru-RU" w:eastAsia="ru-RU"/>
        </w:rPr>
        <w:t>QIWI plc</w:t>
      </w:r>
    </w:p>
    <w:p w:rsidR="009534E2" w:rsidRDefault="003369EB">
      <w:pPr>
        <w:pStyle w:val="BodyText"/>
        <w:keepNext/>
        <w:jc w:val="center"/>
        <w:rPr>
          <w:rFonts w:asciiTheme="majorHAnsi" w:hAnsiTheme="majorHAnsi" w:cstheme="majorHAnsi"/>
          <w:lang w:val="ru-RU" w:eastAsia="ru-RU"/>
        </w:rPr>
      </w:pPr>
      <w:r>
        <w:rPr>
          <w:rFonts w:asciiTheme="majorHAnsi" w:hAnsiTheme="majorHAnsi" w:cstheme="majorHAnsi"/>
          <w:lang w:val="ru-RU" w:eastAsia="ru-RU"/>
        </w:rPr>
        <w:t>Consolidated statement of comprehensive income</w:t>
      </w:r>
      <w:bookmarkStart w:name="Consolidatedstatementofcomprehensiveinco" w:id="858"/>
      <w:bookmarkEnd w:id="858"/>
    </w:p>
    <w:p w:rsidR="009534E2" w:rsidRDefault="003369EB">
      <w:pPr>
        <w:pStyle w:val="BodyText"/>
        <w:keepNext/>
        <w:jc w:val="center"/>
        <w:rPr>
          <w:rFonts w:asciiTheme="majorHAnsi" w:hAnsiTheme="majorHAnsi" w:cstheme="majorHAnsi"/>
          <w:lang w:eastAsia="ru-RU"/>
        </w:rPr>
      </w:pPr>
      <w:r>
        <w:rPr>
          <w:rFonts w:asciiTheme="majorHAnsi" w:hAnsiTheme="majorHAnsi" w:cstheme="majorHAnsi"/>
          <w:lang w:val="ru-RU" w:eastAsia="ru-RU"/>
        </w:rPr>
        <w:t>for the year ended December 31, 20</w:t>
      </w:r>
      <w:r>
        <w:rPr>
          <w:rFonts w:asciiTheme="majorHAnsi" w:hAnsiTheme="majorHAnsi" w:cstheme="majorHAnsi"/>
          <w:lang w:eastAsia="ru-RU"/>
        </w:rPr>
        <w:t>22</w:t>
      </w:r>
    </w:p>
    <w:p w:rsidR="009534E2" w:rsidRDefault="003369EB">
      <w:pPr>
        <w:pStyle w:val="BodyText"/>
        <w:keepNext/>
        <w:spacing w:after="0"/>
        <w:jc w:val="center"/>
        <w:rPr>
          <w:rFonts w:asciiTheme="majorHAnsi" w:hAnsiTheme="majorHAnsi" w:cstheme="majorHAnsi"/>
          <w:i/>
          <w:lang w:val="ru-RU" w:eastAsia="ru-RU"/>
        </w:rPr>
      </w:pPr>
      <w:r>
        <w:rPr>
          <w:rFonts w:asciiTheme="majorHAnsi" w:hAnsiTheme="majorHAnsi" w:cstheme="majorHAnsi"/>
          <w:i/>
          <w:lang w:val="ru-RU" w:eastAsia="ru-RU"/>
        </w:rPr>
        <w:t>(in millions of Rubles, except per share data)</w:t>
      </w:r>
    </w:p>
    <w:p w:rsidR="009534E2" w:rsidRDefault="009534E2">
      <w:pPr>
        <w:keepNext/>
        <w:rPr>
          <w:rFonts w:asciiTheme="majorHAnsi" w:hAnsiTheme="majorHAnsi" w:cstheme="majorHAnsi"/>
          <w:lang w:val="ru-RU"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737"/>
        <w:gridCol w:w="214"/>
        <w:gridCol w:w="685"/>
        <w:gridCol w:w="214"/>
        <w:gridCol w:w="842"/>
        <w:gridCol w:w="214"/>
        <w:gridCol w:w="842"/>
        <w:gridCol w:w="214"/>
        <w:gridCol w:w="838"/>
      </w:tblGrid>
      <w:tr w:rsidR="009534E2">
        <w:trPr>
          <w:trHeight w:val="20" w:hRule="exact"/>
          <w:jc w:val="center"/>
        </w:trPr>
        <w:tc>
          <w:tcPr>
            <w:tcW w:w="3119" w:type="pct"/>
            <w:tcBorders>
              <w:top w:val="nil"/>
              <w:left w:val="nil"/>
              <w:bottom w:val="nil"/>
              <w:right w:val="nil"/>
            </w:tcBorders>
            <w:vAlign w:val="bottom"/>
          </w:tcPr>
          <w:p w:rsidR="009534E2" w:rsidRDefault="009534E2">
            <w:pPr>
              <w:keepNext/>
              <w:spacing w:after="1"/>
              <w:rPr>
                <w:sz w:val="2"/>
              </w:rPr>
            </w:pPr>
            <w:bookmarkStart w:name="_2a4108fb_7027_4147_86d3_657af434f88a" w:colFirst="0" w:colLast="0" w:id="859"/>
            <w:bookmarkStart w:name="_32c8c587_e8af_4085_a52e_654b579267b4" w:colFirst="1" w:colLast="1" w:id="860"/>
            <w:bookmarkStart w:name="_351b9ab2_d84a_4abd_97e5_52037655bb25" w:colFirst="2" w:colLast="2" w:id="861"/>
            <w:bookmarkStart w:name="_d539eab4_4caf_428e_9e1f_d900081ef344" w:colFirst="3" w:colLast="3" w:id="862"/>
            <w:bookmarkStart w:name="_b9c4dec7_2058_436c_b969_ebefa38f2ba1" w:colFirst="4" w:colLast="4" w:id="863"/>
            <w:bookmarkStart w:name="_013295be_f451_41ac_8c3f_116060bc2f06" w:colFirst="5" w:colLast="5" w:id="864"/>
            <w:bookmarkStart w:name="_9df87fb3_d221_4280_994a_c343acb1ce36" w:colFirst="6" w:colLast="6" w:id="865"/>
            <w:bookmarkStart w:name="_9be96767_1da3_40ec_9ed8_30a0cb925aa1" w:colFirst="7" w:colLast="7" w:id="866"/>
            <w:bookmarkStart w:name="_fbcf1493_cabb_49ad_9009_b1490145bbd2" w:colFirst="8" w:colLast="8" w:id="867"/>
            <w:bookmarkStart w:name="_dacc9bee_0c24_42c2_a06f_bb16071cf39f" w:id="868"/>
          </w:p>
        </w:tc>
        <w:tc>
          <w:tcPr>
            <w:tcW w:w="99" w:type="pct"/>
            <w:tcBorders>
              <w:top w:val="nil"/>
              <w:left w:val="nil"/>
              <w:bottom w:val="nil"/>
              <w:right w:val="nil"/>
            </w:tcBorders>
            <w:noWrap/>
            <w:vAlign w:val="bottom"/>
          </w:tcPr>
          <w:p w:rsidR="009534E2" w:rsidRDefault="009534E2">
            <w:pPr>
              <w:keepNext/>
              <w:spacing w:after="1"/>
              <w:rPr>
                <w:sz w:val="2"/>
              </w:rPr>
            </w:pPr>
          </w:p>
        </w:tc>
        <w:tc>
          <w:tcPr>
            <w:tcW w:w="317" w:type="pct"/>
            <w:tcBorders>
              <w:top w:val="nil"/>
              <w:left w:val="nil"/>
              <w:bottom w:val="nil"/>
              <w:right w:val="nil"/>
            </w:tcBorders>
            <w:noWrap/>
            <w:vAlign w:val="bottom"/>
          </w:tcPr>
          <w:p w:rsidR="009534E2" w:rsidRDefault="009534E2">
            <w:pPr>
              <w:keepNext/>
              <w:spacing w:after="1"/>
              <w:rPr>
                <w:sz w:val="2"/>
              </w:rPr>
            </w:pPr>
          </w:p>
        </w:tc>
        <w:tc>
          <w:tcPr>
            <w:tcW w:w="99" w:type="pct"/>
            <w:tcBorders>
              <w:top w:val="nil"/>
              <w:left w:val="nil"/>
              <w:bottom w:val="nil"/>
              <w:right w:val="nil"/>
            </w:tcBorders>
            <w:noWrap/>
            <w:vAlign w:val="bottom"/>
          </w:tcPr>
          <w:p w:rsidR="009534E2" w:rsidRDefault="009534E2">
            <w:pPr>
              <w:keepNext/>
              <w:spacing w:after="1"/>
              <w:rPr>
                <w:sz w:val="2"/>
              </w:rPr>
            </w:pPr>
          </w:p>
        </w:tc>
        <w:tc>
          <w:tcPr>
            <w:tcW w:w="390" w:type="pct"/>
            <w:tcBorders>
              <w:top w:val="nil"/>
              <w:left w:val="nil"/>
              <w:bottom w:val="nil"/>
              <w:right w:val="nil"/>
            </w:tcBorders>
            <w:noWrap/>
            <w:vAlign w:val="bottom"/>
          </w:tcPr>
          <w:p w:rsidR="009534E2" w:rsidRDefault="009534E2">
            <w:pPr>
              <w:keepNext/>
              <w:spacing w:after="1"/>
              <w:rPr>
                <w:sz w:val="2"/>
              </w:rPr>
            </w:pPr>
          </w:p>
        </w:tc>
        <w:tc>
          <w:tcPr>
            <w:tcW w:w="99" w:type="pct"/>
            <w:tcBorders>
              <w:top w:val="nil"/>
              <w:left w:val="nil"/>
              <w:bottom w:val="nil"/>
              <w:right w:val="nil"/>
            </w:tcBorders>
            <w:noWrap/>
            <w:vAlign w:val="bottom"/>
          </w:tcPr>
          <w:p w:rsidR="009534E2" w:rsidRDefault="009534E2">
            <w:pPr>
              <w:keepNext/>
              <w:spacing w:after="1"/>
              <w:rPr>
                <w:sz w:val="2"/>
              </w:rPr>
            </w:pPr>
          </w:p>
        </w:tc>
        <w:tc>
          <w:tcPr>
            <w:tcW w:w="390" w:type="pct"/>
            <w:tcBorders>
              <w:top w:val="nil"/>
              <w:left w:val="nil"/>
              <w:bottom w:val="nil"/>
              <w:right w:val="nil"/>
            </w:tcBorders>
            <w:noWrap/>
            <w:vAlign w:val="bottom"/>
          </w:tcPr>
          <w:p w:rsidR="009534E2" w:rsidRDefault="009534E2">
            <w:pPr>
              <w:keepNext/>
              <w:spacing w:after="1"/>
              <w:rPr>
                <w:sz w:val="2"/>
              </w:rPr>
            </w:pPr>
          </w:p>
        </w:tc>
        <w:tc>
          <w:tcPr>
            <w:tcW w:w="99" w:type="pct"/>
            <w:tcBorders>
              <w:top w:val="nil"/>
              <w:left w:val="nil"/>
              <w:bottom w:val="nil"/>
              <w:right w:val="nil"/>
            </w:tcBorders>
            <w:noWrap/>
            <w:vAlign w:val="bottom"/>
          </w:tcPr>
          <w:p w:rsidR="009534E2" w:rsidRDefault="009534E2">
            <w:pPr>
              <w:keepNext/>
              <w:spacing w:after="1"/>
              <w:rPr>
                <w:sz w:val="2"/>
              </w:rPr>
            </w:pPr>
          </w:p>
        </w:tc>
        <w:tc>
          <w:tcPr>
            <w:tcW w:w="388" w:type="pct"/>
            <w:tcBorders>
              <w:top w:val="nil"/>
              <w:left w:val="nil"/>
              <w:bottom w:val="nil"/>
              <w:right w:val="nil"/>
            </w:tcBorders>
            <w:noWrap/>
            <w:vAlign w:val="bottom"/>
          </w:tcPr>
          <w:p w:rsidR="009534E2" w:rsidRDefault="009534E2">
            <w:pPr>
              <w:keepNext/>
              <w:spacing w:after="1"/>
              <w:rPr>
                <w:sz w:val="2"/>
              </w:rPr>
            </w:pPr>
          </w:p>
        </w:tc>
      </w:tr>
      <w:tr w:rsidR="009534E2">
        <w:trPr>
          <w:jc w:val="center"/>
        </w:trPr>
        <w:tc>
          <w:tcPr>
            <w:tcW w:w="3119" w:type="pct"/>
            <w:tcBorders>
              <w:top w:val="nil"/>
              <w:left w:val="nil"/>
              <w:bottom w:val="nil"/>
              <w:right w:val="nil"/>
              <w:tl2br w:val="nil"/>
              <w:tr2bl w:val="nil"/>
            </w:tcBorders>
            <w:shd w:val="clear" w:color="auto" w:fill="auto"/>
            <w:vAlign w:val="bottom"/>
          </w:tcPr>
          <w:p w:rsidR="009534E2" w:rsidRDefault="009534E2">
            <w:pPr>
              <w:keepNext/>
              <w:spacing w:after="1"/>
              <w:rPr>
                <w:color w:val="000000"/>
                <w:sz w:val="16"/>
              </w:rPr>
            </w:pPr>
            <w:bookmarkStart w:name="_095433da_0789_4841_9233_44b788655979" w:id="869"/>
            <w:bookmarkEnd w:id="859"/>
            <w:bookmarkEnd w:id="860"/>
            <w:bookmarkEnd w:id="861"/>
            <w:bookmarkEnd w:id="862"/>
            <w:bookmarkEnd w:id="863"/>
            <w:bookmarkEnd w:id="864"/>
            <w:bookmarkEnd w:id="865"/>
            <w:bookmarkEnd w:id="866"/>
            <w:bookmarkEnd w:id="867"/>
          </w:p>
        </w:tc>
        <w:tc>
          <w:tcPr>
            <w:tcW w:w="99" w:type="pct"/>
            <w:tcBorders>
              <w:top w:val="nil"/>
              <w:left w:val="nil"/>
              <w:bottom w:val="nil"/>
              <w:right w:val="nil"/>
              <w:tl2br w:val="nil"/>
              <w:tr2bl w:val="nil"/>
            </w:tcBorders>
            <w:shd w:val="clear" w:color="auto" w:fill="auto"/>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auto"/>
            <w:noWrap/>
            <w:vAlign w:val="bottom"/>
          </w:tcPr>
          <w:p w:rsidR="009534E2" w:rsidRDefault="009534E2">
            <w:pPr>
              <w:keepNext/>
              <w:spacing w:after="1"/>
              <w:rPr>
                <w:color w:val="000000"/>
                <w:sz w:val="16"/>
              </w:rPr>
            </w:pPr>
          </w:p>
        </w:tc>
        <w:tc>
          <w:tcPr>
            <w:tcW w:w="1366" w:type="pct"/>
            <w:gridSpan w:val="5"/>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Year ended December 31</w:t>
            </w:r>
          </w:p>
        </w:tc>
      </w:tr>
      <w:tr w:rsidR="009534E2">
        <w:trPr>
          <w:jc w:val="center"/>
        </w:trPr>
        <w:tc>
          <w:tcPr>
            <w:tcW w:w="3119" w:type="pct"/>
            <w:tcBorders>
              <w:top w:val="nil"/>
              <w:left w:val="nil"/>
              <w:bottom w:val="nil"/>
              <w:right w:val="nil"/>
              <w:tl2br w:val="nil"/>
              <w:tr2bl w:val="nil"/>
            </w:tcBorders>
            <w:shd w:val="clear" w:color="auto" w:fill="auto"/>
            <w:vAlign w:val="bottom"/>
          </w:tcPr>
          <w:p w:rsidR="009534E2" w:rsidRDefault="009534E2">
            <w:pPr>
              <w:keepNext/>
              <w:spacing w:after="1"/>
              <w:rPr>
                <w:color w:val="000000"/>
                <w:sz w:val="16"/>
              </w:rPr>
            </w:pPr>
            <w:bookmarkStart w:name="_1aee8aef_2ff7_4d99_aa2d_7105af793d84" w:id="870"/>
            <w:bookmarkEnd w:id="869"/>
          </w:p>
        </w:tc>
        <w:tc>
          <w:tcPr>
            <w:tcW w:w="9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17"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Notes</w:t>
            </w:r>
          </w:p>
        </w:tc>
        <w:tc>
          <w:tcPr>
            <w:tcW w:w="9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2020</w:t>
            </w:r>
          </w:p>
        </w:tc>
        <w:tc>
          <w:tcPr>
            <w:tcW w:w="9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2021</w:t>
            </w:r>
          </w:p>
        </w:tc>
        <w:tc>
          <w:tcPr>
            <w:tcW w:w="9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88"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2022</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b/>
                <w:i/>
                <w:color w:val="000000"/>
                <w:sz w:val="16"/>
              </w:rPr>
            </w:pPr>
            <w:bookmarkStart w:name="_d79dba66_d894_4c11_a5c2_0d0b300ba1f1" w:id="871"/>
            <w:bookmarkEnd w:id="870"/>
            <w:r>
              <w:rPr>
                <w:rFonts w:ascii="Times New Roman" w:hAnsi="Times New Roman" w:eastAsia="Times New Roman" w:cs="Times New Roman"/>
                <w:b/>
                <w:i/>
                <w:color w:val="000000"/>
                <w:sz w:val="16"/>
              </w:rPr>
              <w:t>Continuing operations</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b/>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b/>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b/>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88"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b/>
                <w:color w:val="000000"/>
                <w:sz w:val="16"/>
              </w:rPr>
            </w:pP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b/>
                <w:color w:val="000000"/>
                <w:sz w:val="16"/>
              </w:rPr>
            </w:pPr>
            <w:bookmarkStart w:name="_b507666b_1680_457d_b87c_caa02bfde256" w:id="872"/>
            <w:bookmarkEnd w:id="871"/>
            <w:r>
              <w:rPr>
                <w:rFonts w:ascii="Times New Roman" w:hAnsi="Times New Roman" w:eastAsia="Times New Roman" w:cs="Times New Roman"/>
                <w:b/>
                <w:color w:val="000000"/>
                <w:sz w:val="16"/>
              </w:rPr>
              <w:t>Revenue:</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40,622</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41,135</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51,502</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ind w:left="120"/>
              <w:rPr>
                <w:color w:val="000000"/>
                <w:sz w:val="16"/>
              </w:rPr>
            </w:pPr>
            <w:bookmarkStart w:name="_79ce64fd_45f7_467c_896b_fd06f208bcbd" w:id="873"/>
            <w:bookmarkEnd w:id="872"/>
            <w:r>
              <w:rPr>
                <w:rFonts w:ascii="Times New Roman" w:hAnsi="Times New Roman" w:eastAsia="Times New Roman" w:cs="Times New Roman"/>
                <w:color w:val="000000"/>
                <w:sz w:val="16"/>
              </w:rPr>
              <w:t>Payment processing fees</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34,326</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33,397</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37,689</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ind w:left="120"/>
              <w:rPr>
                <w:color w:val="000000"/>
                <w:sz w:val="16"/>
              </w:rPr>
            </w:pPr>
            <w:bookmarkStart w:name="_820dc979_b192_4997_8cdd_0072646fe60f" w:id="874"/>
            <w:bookmarkEnd w:id="873"/>
            <w:r>
              <w:rPr>
                <w:rFonts w:ascii="Times New Roman" w:hAnsi="Times New Roman" w:eastAsia="Times New Roman" w:cs="Times New Roman"/>
                <w:color w:val="000000"/>
                <w:sz w:val="16"/>
              </w:rPr>
              <w:t>Interest revenue calculated using the effective interest rate</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23</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2,390</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3,453</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6,764</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ind w:left="120"/>
              <w:rPr>
                <w:color w:val="000000"/>
                <w:sz w:val="16"/>
              </w:rPr>
            </w:pPr>
            <w:bookmarkStart w:name="_aa3362f0_3bf4_4ea0_9b77_1ae9dcf3351e" w:id="875"/>
            <w:bookmarkEnd w:id="874"/>
            <w:r>
              <w:rPr>
                <w:rFonts w:ascii="Times New Roman" w:hAnsi="Times New Roman" w:eastAsia="Times New Roman" w:cs="Times New Roman"/>
                <w:color w:val="000000"/>
                <w:sz w:val="16"/>
              </w:rPr>
              <w:t>Fees from inactive accounts and unclaimed payments</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1,952</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1,771</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1,686</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ind w:left="120"/>
              <w:rPr>
                <w:color w:val="000000"/>
                <w:sz w:val="16"/>
              </w:rPr>
            </w:pPr>
            <w:bookmarkStart w:name="_8826274d_5356_43ab_8d7f_bc79b6394d6b" w:id="876"/>
            <w:bookmarkEnd w:id="875"/>
            <w:r>
              <w:rPr>
                <w:rFonts w:ascii="Times New Roman" w:hAnsi="Times New Roman" w:eastAsia="Times New Roman" w:cs="Times New Roman"/>
                <w:color w:val="000000"/>
                <w:sz w:val="16"/>
              </w:rPr>
              <w:t>Other revenue</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23</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1,954</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2,514</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5,363</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b/>
                <w:color w:val="000000"/>
                <w:sz w:val="16"/>
              </w:rPr>
            </w:pPr>
            <w:bookmarkStart w:name="_658900c3_c7d9_4741_9f26_917c9c067492" w:id="877"/>
            <w:bookmarkEnd w:id="876"/>
            <w:r>
              <w:rPr>
                <w:rFonts w:ascii="Times New Roman" w:hAnsi="Times New Roman" w:eastAsia="Times New Roman" w:cs="Times New Roman"/>
                <w:b/>
                <w:color w:val="000000"/>
                <w:sz w:val="16"/>
              </w:rPr>
              <w:t>Operating costs and expenses:</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b/>
                <w:color w:val="000000"/>
                <w:sz w:val="16"/>
              </w:rPr>
            </w:pPr>
            <w:r>
              <w:rPr>
                <w:rFonts w:ascii="Times New Roman" w:hAnsi="Times New Roman" w:eastAsia="Times New Roman" w:cs="Times New Roman"/>
                <w:b/>
                <w:color w:val="000000"/>
                <w:sz w:val="16"/>
              </w:rPr>
              <w:t xml:space="preserve"> (26,558)</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b/>
                <w:color w:val="000000"/>
                <w:sz w:val="16"/>
              </w:rPr>
            </w:pPr>
            <w:r>
              <w:rPr>
                <w:rFonts w:ascii="Times New Roman" w:hAnsi="Times New Roman" w:eastAsia="Times New Roman" w:cs="Times New Roman"/>
                <w:b/>
                <w:color w:val="000000"/>
                <w:sz w:val="16"/>
              </w:rPr>
              <w:t xml:space="preserve"> (29,130)</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b/>
                <w:color w:val="000000"/>
                <w:sz w:val="16"/>
              </w:rPr>
            </w:pPr>
            <w:r>
              <w:rPr>
                <w:rFonts w:ascii="Times New Roman" w:hAnsi="Times New Roman" w:eastAsia="Times New Roman" w:cs="Times New Roman"/>
                <w:b/>
                <w:color w:val="000000"/>
                <w:sz w:val="16"/>
              </w:rPr>
              <w:t xml:space="preserve"> (32,914)</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ind w:left="120"/>
              <w:rPr>
                <w:color w:val="000000"/>
                <w:sz w:val="16"/>
              </w:rPr>
            </w:pPr>
            <w:bookmarkStart w:name="_d29f085a_d3f7_4920_b544_18ae84a15063" w:id="878"/>
            <w:bookmarkEnd w:id="877"/>
            <w:r>
              <w:rPr>
                <w:rFonts w:ascii="Times New Roman" w:hAnsi="Times New Roman" w:eastAsia="Times New Roman" w:cs="Times New Roman"/>
                <w:color w:val="000000"/>
                <w:sz w:val="16"/>
              </w:rPr>
              <w:t>Cost of revenue (exclusive of items shown separately below)</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24</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(16,494)</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(18,022)</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(17,365)</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ind w:left="120"/>
              <w:rPr>
                <w:color w:val="000000"/>
                <w:sz w:val="16"/>
              </w:rPr>
            </w:pPr>
            <w:bookmarkStart w:name="_6ce10c2b_0188_4e33_8af4_e310cf7ee0c9" w:id="879"/>
            <w:bookmarkEnd w:id="878"/>
            <w:r>
              <w:rPr>
                <w:rFonts w:ascii="Times New Roman" w:hAnsi="Times New Roman" w:eastAsia="Times New Roman" w:cs="Times New Roman"/>
                <w:color w:val="000000"/>
                <w:sz w:val="16"/>
              </w:rPr>
              <w:t>Selling, general and administrative expenses</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25</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(2,733)</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(3,228)</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(3,767)</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ind w:left="120"/>
              <w:rPr>
                <w:color w:val="000000"/>
                <w:sz w:val="16"/>
              </w:rPr>
            </w:pPr>
            <w:bookmarkStart w:name="_d6615c45_873d_4cec_ac41_adc4549a4813" w:id="880"/>
            <w:bookmarkEnd w:id="879"/>
            <w:r>
              <w:rPr>
                <w:rFonts w:ascii="Times New Roman" w:hAnsi="Times New Roman" w:eastAsia="Times New Roman" w:cs="Times New Roman"/>
                <w:color w:val="000000"/>
                <w:sz w:val="16"/>
              </w:rPr>
              <w:t>Personnel expenses</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(6,108)</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(6,390)</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(8,269)</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ind w:left="120"/>
              <w:rPr>
                <w:color w:val="000000"/>
                <w:sz w:val="16"/>
              </w:rPr>
            </w:pPr>
            <w:bookmarkStart w:name="_b883a2cd_b31f_4c2d_9b74_49024edb89e5" w:id="881"/>
            <w:bookmarkEnd w:id="880"/>
            <w:r>
              <w:rPr>
                <w:rFonts w:ascii="Times New Roman" w:hAnsi="Times New Roman" w:eastAsia="Times New Roman" w:cs="Times New Roman"/>
                <w:color w:val="000000"/>
                <w:sz w:val="16"/>
              </w:rPr>
              <w:t>Depreciation and amortization</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9,10</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(1,101)</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(1,130)</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(1,085)</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ind w:left="120"/>
              <w:rPr>
                <w:color w:val="000000"/>
                <w:sz w:val="16"/>
              </w:rPr>
            </w:pPr>
            <w:bookmarkStart w:name="_1a1c0fa3_c6bc_416e_8d3d_49204ac34349" w:id="882"/>
            <w:bookmarkEnd w:id="881"/>
            <w:r>
              <w:rPr>
                <w:rFonts w:ascii="Times New Roman" w:hAnsi="Times New Roman" w:eastAsia="Times New Roman" w:cs="Times New Roman"/>
                <w:color w:val="000000"/>
                <w:sz w:val="16"/>
              </w:rPr>
              <w:t>Credit loss expense</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12,13,14</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(90)</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(336)</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(2,381)</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ind w:left="120"/>
              <w:rPr>
                <w:color w:val="000000"/>
                <w:sz w:val="16"/>
              </w:rPr>
            </w:pPr>
            <w:bookmarkStart w:name="_0f739613_2464_4d52_87e0_535bddac6d13" w:id="883"/>
            <w:bookmarkEnd w:id="882"/>
            <w:r>
              <w:rPr>
                <w:rFonts w:ascii="Times New Roman" w:hAnsi="Times New Roman" w:eastAsia="Times New Roman" w:cs="Times New Roman"/>
                <w:color w:val="000000"/>
                <w:sz w:val="16"/>
              </w:rPr>
              <w:t>Impairment of non-current assets</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(32)</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(24)</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(47)</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b/>
                <w:color w:val="000000"/>
                <w:sz w:val="16"/>
              </w:rPr>
            </w:pPr>
            <w:bookmarkStart w:name="_6d524e8a_b4aa_4866_be09_3a276342c983" w:id="884"/>
            <w:bookmarkEnd w:id="883"/>
            <w:r>
              <w:rPr>
                <w:rFonts w:ascii="Times New Roman" w:hAnsi="Times New Roman" w:eastAsia="Times New Roman" w:cs="Times New Roman"/>
                <w:b/>
                <w:color w:val="000000"/>
                <w:sz w:val="16"/>
              </w:rPr>
              <w:t>Profit from operations</w:t>
            </w:r>
          </w:p>
        </w:tc>
        <w:tc>
          <w:tcPr>
            <w:tcW w:w="99" w:type="pct"/>
            <w:tcBorders>
              <w:top w:val="nil"/>
              <w:left w:val="nil"/>
              <w:bottom w:val="nil"/>
              <w:right w:val="nil"/>
              <w:tl2br w:val="nil"/>
              <w:tr2bl w:val="nil"/>
            </w:tcBorders>
            <w:noWrap/>
            <w:vAlign w:val="bottom"/>
          </w:tcPr>
          <w:p w:rsidR="009534E2" w:rsidRDefault="009534E2">
            <w:pPr>
              <w:keepNext/>
              <w:spacing w:after="1"/>
              <w:rPr>
                <w:b/>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b/>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14,064</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12,005</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88"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18,588</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ind w:left="120"/>
              <w:rPr>
                <w:color w:val="000000"/>
                <w:sz w:val="16"/>
              </w:rPr>
            </w:pPr>
            <w:bookmarkStart w:name="_98d06757_3170_45c6_90b0_ea08e2738f60" w:id="885"/>
            <w:bookmarkEnd w:id="884"/>
            <w:r>
              <w:rPr>
                <w:rFonts w:ascii="Times New Roman" w:hAnsi="Times New Roman" w:eastAsia="Times New Roman" w:cs="Times New Roman"/>
                <w:color w:val="000000"/>
                <w:sz w:val="16"/>
              </w:rPr>
              <w:t>Gain on disposal of an associate</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6</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8,177</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ind w:left="120"/>
              <w:rPr>
                <w:color w:val="000000"/>
                <w:sz w:val="16"/>
              </w:rPr>
            </w:pPr>
            <w:bookmarkStart w:name="_19223a0a_ec66_4319_a7bb_2514cd7ce479" w:id="886"/>
            <w:bookmarkEnd w:id="885"/>
            <w:r>
              <w:rPr>
                <w:rFonts w:ascii="Times New Roman" w:hAnsi="Times New Roman" w:eastAsia="Times New Roman" w:cs="Times New Roman"/>
                <w:color w:val="000000"/>
                <w:sz w:val="16"/>
              </w:rPr>
              <w:t>Share of gain/(loss) of an associate and a joint venture</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17</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663</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306</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(39)</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ind w:left="120"/>
              <w:rPr>
                <w:color w:val="000000"/>
                <w:sz w:val="16"/>
              </w:rPr>
            </w:pPr>
            <w:bookmarkStart w:name="_3ebdacd0_3552_4d77_b846_dd54f429bd62" w:id="887"/>
            <w:bookmarkStart w:name="_215fe327_3e6a_48b9_a290_e6059f71f297" w:colFirst="6" w:colLast="6" w:id="888"/>
            <w:bookmarkStart w:name="_3f34db59_5f8c_4247_afb4_04caa0bfd7f7" w:colFirst="8" w:colLast="8" w:id="889"/>
            <w:bookmarkEnd w:id="886"/>
            <w:r>
              <w:rPr>
                <w:rFonts w:ascii="Times New Roman" w:hAnsi="Times New Roman" w:eastAsia="Times New Roman" w:cs="Times New Roman"/>
                <w:color w:val="000000"/>
                <w:sz w:val="16"/>
              </w:rPr>
              <w:t>Foreign exchange gain/(loss), net</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(199)</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(29)</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(650)</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ind w:left="120"/>
              <w:rPr>
                <w:color w:val="000000"/>
                <w:sz w:val="16"/>
              </w:rPr>
            </w:pPr>
            <w:bookmarkStart w:name="_fba19a83_7e87_499c_abe5_424b0d3e5197" w:id="890"/>
            <w:bookmarkEnd w:id="887"/>
            <w:bookmarkEnd w:id="888"/>
            <w:bookmarkEnd w:id="889"/>
            <w:r>
              <w:rPr>
                <w:rFonts w:ascii="Times New Roman" w:hAnsi="Times New Roman" w:eastAsia="Times New Roman" w:cs="Times New Roman"/>
                <w:color w:val="000000"/>
                <w:sz w:val="16"/>
              </w:rPr>
              <w:t>Interest income</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40</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168</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109</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ind w:left="120"/>
              <w:rPr>
                <w:color w:val="000000"/>
                <w:sz w:val="16"/>
              </w:rPr>
            </w:pPr>
            <w:bookmarkStart w:name="_5c3bc333_e5ef_48d5_9457_1a1e327f91a2" w:id="891"/>
            <w:bookmarkEnd w:id="890"/>
            <w:r>
              <w:rPr>
                <w:rFonts w:ascii="Times New Roman" w:hAnsi="Times New Roman" w:eastAsia="Times New Roman" w:cs="Times New Roman"/>
                <w:color w:val="000000"/>
                <w:sz w:val="16"/>
              </w:rPr>
              <w:t>Interest expenses</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(108)</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(76)</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(51)</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ind w:left="120"/>
              <w:rPr>
                <w:color w:val="000000"/>
                <w:sz w:val="16"/>
              </w:rPr>
            </w:pPr>
            <w:bookmarkStart w:name="_fce2e642_b8a9_4bf2_a879_299494805b57" w:id="892"/>
            <w:bookmarkEnd w:id="891"/>
            <w:r>
              <w:rPr>
                <w:rFonts w:ascii="Times New Roman" w:hAnsi="Times New Roman" w:eastAsia="Times New Roman" w:cs="Times New Roman"/>
                <w:color w:val="000000"/>
                <w:sz w:val="16"/>
              </w:rPr>
              <w:t>Other income</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3</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159</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276</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ind w:left="120"/>
              <w:rPr>
                <w:color w:val="000000"/>
                <w:sz w:val="16"/>
              </w:rPr>
            </w:pPr>
            <w:bookmarkStart w:name="_874b56f3_c731_4d3b_8f78_4e02b3baacc4" w:id="893"/>
            <w:bookmarkEnd w:id="892"/>
            <w:r>
              <w:rPr>
                <w:rFonts w:ascii="Times New Roman" w:hAnsi="Times New Roman" w:eastAsia="Times New Roman" w:cs="Times New Roman"/>
                <w:color w:val="000000"/>
                <w:sz w:val="16"/>
              </w:rPr>
              <w:t>Other expenses</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(98)</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(94)</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(49)</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b/>
                <w:color w:val="000000"/>
                <w:sz w:val="16"/>
              </w:rPr>
            </w:pPr>
            <w:bookmarkStart w:name="_fd1411d2_6221_4302_ae8f_88f732512331" w:id="894"/>
            <w:bookmarkEnd w:id="893"/>
            <w:r>
              <w:rPr>
                <w:rFonts w:ascii="Times New Roman" w:hAnsi="Times New Roman" w:eastAsia="Times New Roman" w:cs="Times New Roman"/>
                <w:b/>
                <w:color w:val="000000"/>
                <w:sz w:val="16"/>
              </w:rPr>
              <w:t>Profit before tax from continuing operations</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14,365</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20,616</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18,184</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ind w:left="120"/>
              <w:rPr>
                <w:color w:val="000000"/>
                <w:sz w:val="16"/>
              </w:rPr>
            </w:pPr>
            <w:bookmarkStart w:name="_0e4c38b9_c96e_4fcb_9e60_4ed1a15bd235" w:id="895"/>
            <w:bookmarkEnd w:id="894"/>
            <w:r>
              <w:rPr>
                <w:rFonts w:ascii="Times New Roman" w:hAnsi="Times New Roman" w:eastAsia="Times New Roman" w:cs="Times New Roman"/>
                <w:color w:val="000000"/>
                <w:sz w:val="16"/>
              </w:rPr>
              <w:t>Income tax expense</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27</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(3,119)</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(3,080)</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(4,429)</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b/>
                <w:color w:val="000000"/>
                <w:sz w:val="16"/>
              </w:rPr>
            </w:pPr>
            <w:bookmarkStart w:name="_0236bbf7_3689_4d53_84b3_56097739bec2" w:id="896"/>
            <w:bookmarkEnd w:id="895"/>
            <w:r>
              <w:rPr>
                <w:rFonts w:ascii="Times New Roman" w:hAnsi="Times New Roman" w:eastAsia="Times New Roman" w:cs="Times New Roman"/>
                <w:b/>
                <w:color w:val="000000"/>
                <w:sz w:val="16"/>
              </w:rPr>
              <w:t>Net profit from continuing operations</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b/>
                <w:color w:val="000000"/>
                <w:sz w:val="16"/>
              </w:rPr>
            </w:pP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11,246</w:t>
            </w:r>
          </w:p>
        </w:tc>
        <w:tc>
          <w:tcPr>
            <w:tcW w:w="99" w:type="pct"/>
            <w:tcBorders>
              <w:top w:val="nil"/>
              <w:left w:val="nil"/>
              <w:bottom w:val="nil"/>
              <w:right w:val="nil"/>
              <w:tl2br w:val="nil"/>
              <w:tr2bl w:val="nil"/>
            </w:tcBorders>
            <w:noWrap/>
            <w:vAlign w:val="bottom"/>
          </w:tcPr>
          <w:p w:rsidR="009534E2" w:rsidRDefault="009534E2">
            <w:pPr>
              <w:keepNext/>
              <w:spacing w:after="1"/>
              <w:rPr>
                <w:b/>
                <w:color w:val="000000"/>
                <w:sz w:val="16"/>
              </w:rPr>
            </w:pP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17,536</w:t>
            </w:r>
          </w:p>
        </w:tc>
        <w:tc>
          <w:tcPr>
            <w:tcW w:w="99" w:type="pct"/>
            <w:tcBorders>
              <w:top w:val="nil"/>
              <w:left w:val="nil"/>
              <w:bottom w:val="nil"/>
              <w:right w:val="nil"/>
              <w:tl2br w:val="nil"/>
              <w:tr2bl w:val="nil"/>
            </w:tcBorders>
            <w:noWrap/>
            <w:vAlign w:val="bottom"/>
          </w:tcPr>
          <w:p w:rsidR="009534E2" w:rsidRDefault="009534E2">
            <w:pPr>
              <w:keepNext/>
              <w:spacing w:after="1"/>
              <w:rPr>
                <w:b/>
                <w:color w:val="000000"/>
                <w:sz w:val="16"/>
              </w:rPr>
            </w:pPr>
          </w:p>
        </w:tc>
        <w:tc>
          <w:tcPr>
            <w:tcW w:w="388"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13,755</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b/>
                <w:i/>
                <w:color w:val="000000"/>
                <w:sz w:val="16"/>
              </w:rPr>
            </w:pPr>
            <w:bookmarkStart w:name="_8ce50649_c33d_44ee_a90f_a25c76f6d698" w:id="897"/>
            <w:bookmarkEnd w:id="896"/>
            <w:r>
              <w:rPr>
                <w:rFonts w:ascii="Times New Roman" w:hAnsi="Times New Roman" w:eastAsia="Times New Roman" w:cs="Times New Roman"/>
                <w:b/>
                <w:i/>
                <w:color w:val="000000"/>
                <w:sz w:val="16"/>
              </w:rPr>
              <w:t xml:space="preserve">Discontinued operations </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88"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6"/>
              </w:rPr>
            </w:pP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ind w:left="120"/>
              <w:rPr>
                <w:color w:val="000000"/>
                <w:sz w:val="16"/>
              </w:rPr>
            </w:pPr>
            <w:bookmarkStart w:name="_e7db8e41_9c10_4182_b3a0_54c45cb81c61" w:id="898"/>
            <w:bookmarkEnd w:id="897"/>
            <w:r>
              <w:rPr>
                <w:rFonts w:ascii="Times New Roman" w:hAnsi="Times New Roman" w:eastAsia="Times New Roman" w:cs="Times New Roman"/>
                <w:color w:val="000000"/>
                <w:sz w:val="16"/>
              </w:rPr>
              <w:t xml:space="preserve">Loss after tax from discontinued operations </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6</w:t>
            </w:r>
          </w:p>
        </w:tc>
        <w:tc>
          <w:tcPr>
            <w:tcW w:w="99" w:type="pct"/>
            <w:tcBorders>
              <w:top w:val="nil"/>
              <w:left w:val="nil"/>
              <w:bottom w:val="nil"/>
              <w:right w:val="nil"/>
              <w:tl2br w:val="nil"/>
              <w:tr2bl w:val="nil"/>
            </w:tcBorders>
            <w:noWrap/>
            <w:vAlign w:val="bottom"/>
          </w:tcPr>
          <w:p w:rsidR="009534E2" w:rsidRDefault="009534E2">
            <w:pPr>
              <w:keepNext/>
              <w:spacing w:after="1"/>
              <w:rPr>
                <w:b/>
                <w:color w:val="000000"/>
                <w:sz w:val="16"/>
              </w:rPr>
            </w:pP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(2,308)</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b/>
                <w:color w:val="000000"/>
                <w:sz w:val="16"/>
              </w:rPr>
            </w:pPr>
            <w:bookmarkStart w:name="_ad5e2cc1_3ef5_477a_8ef2_f74b10fe304f" w:id="899"/>
            <w:bookmarkEnd w:id="898"/>
            <w:r>
              <w:rPr>
                <w:rFonts w:ascii="Times New Roman" w:hAnsi="Times New Roman" w:eastAsia="Times New Roman" w:cs="Times New Roman"/>
                <w:b/>
                <w:color w:val="000000"/>
                <w:sz w:val="16"/>
              </w:rPr>
              <w:t>Net profit</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8,938</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17,536</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8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13,755</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b/>
                <w:color w:val="000000"/>
                <w:sz w:val="16"/>
              </w:rPr>
            </w:pPr>
            <w:bookmarkStart w:name="_46977158_2280_4710_91ba_62f49ccd9dac" w:id="900"/>
            <w:bookmarkEnd w:id="899"/>
            <w:r>
              <w:rPr>
                <w:rFonts w:ascii="Times New Roman" w:hAnsi="Times New Roman" w:eastAsia="Times New Roman" w:cs="Times New Roman"/>
                <w:b/>
                <w:color w:val="000000"/>
                <w:sz w:val="16"/>
              </w:rPr>
              <w:t>Attributable to:</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ind w:left="120"/>
              <w:rPr>
                <w:color w:val="000000"/>
                <w:sz w:val="16"/>
              </w:rPr>
            </w:pPr>
            <w:bookmarkStart w:name="_d23a5d69_3b64_42b2_b5ff_825fea4291dc" w:id="901"/>
            <w:bookmarkEnd w:id="900"/>
            <w:r>
              <w:rPr>
                <w:rFonts w:ascii="Times New Roman" w:hAnsi="Times New Roman" w:eastAsia="Times New Roman" w:cs="Times New Roman"/>
                <w:color w:val="000000"/>
                <w:sz w:val="16"/>
              </w:rPr>
              <w:t>Equity holders of the parent</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8,842</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17,399</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13,119</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ind w:left="120"/>
              <w:rPr>
                <w:color w:val="000000"/>
                <w:sz w:val="16"/>
              </w:rPr>
            </w:pPr>
            <w:bookmarkStart w:name="_4b19ffa9_2766_49bd_b913_deda50bf1ef3" w:id="902"/>
            <w:bookmarkEnd w:id="901"/>
            <w:r>
              <w:rPr>
                <w:rFonts w:ascii="Times New Roman" w:hAnsi="Times New Roman" w:eastAsia="Times New Roman" w:cs="Times New Roman"/>
                <w:color w:val="000000"/>
                <w:sz w:val="16"/>
              </w:rPr>
              <w:t>Non-controlling interests</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96</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137</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636</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b/>
                <w:color w:val="000000"/>
                <w:sz w:val="16"/>
              </w:rPr>
            </w:pPr>
            <w:bookmarkStart w:name="_7cfe3518_a6b0_4241_8037_53d9f5ba9c6e" w:id="903"/>
            <w:bookmarkEnd w:id="902"/>
            <w:r>
              <w:rPr>
                <w:rFonts w:ascii="Times New Roman" w:hAnsi="Times New Roman" w:eastAsia="Times New Roman" w:cs="Times New Roman"/>
                <w:b/>
                <w:color w:val="000000"/>
                <w:sz w:val="16"/>
              </w:rPr>
              <w:t>Other comprehensive income</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6"/>
              </w:rPr>
            </w:pP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i/>
                <w:color w:val="000000"/>
                <w:sz w:val="16"/>
              </w:rPr>
            </w:pPr>
            <w:bookmarkStart w:name="_e5e37930_4ced_4b23_930b_e78b211e9d24" w:id="904"/>
            <w:bookmarkEnd w:id="903"/>
            <w:r>
              <w:rPr>
                <w:rFonts w:ascii="Times New Roman" w:hAnsi="Times New Roman" w:eastAsia="Times New Roman" w:cs="Times New Roman"/>
                <w:i/>
                <w:color w:val="000000"/>
                <w:sz w:val="16"/>
              </w:rPr>
              <w:t>Other comprehensive income to be reclassified to profit or loss in subsequent periods:</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u w:val="single"/>
              </w:rPr>
            </w:pPr>
            <w:bookmarkStart w:name="_7acd8272_1443_4b2f_a137_5cc3e0800f0f" w:id="905"/>
            <w:bookmarkEnd w:id="904"/>
            <w:r>
              <w:rPr>
                <w:rFonts w:ascii="Times New Roman" w:hAnsi="Times New Roman" w:eastAsia="Times New Roman" w:cs="Times New Roman"/>
                <w:color w:val="000000"/>
                <w:sz w:val="16"/>
                <w:u w:val="single"/>
              </w:rPr>
              <w:t>Foreign currency translation</w:t>
            </w:r>
            <w:r>
              <w:rPr>
                <w:rFonts w:ascii="Times New Roman" w:hAnsi="Times New Roman" w:eastAsia="Times New Roman" w:cs="Times New Roman"/>
                <w:color w:val="000000"/>
                <w:sz w:val="16"/>
              </w:rPr>
              <w:t>:</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6"/>
              </w:rPr>
            </w:pP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ind w:left="120"/>
              <w:rPr>
                <w:color w:val="000000"/>
                <w:sz w:val="16"/>
              </w:rPr>
            </w:pPr>
            <w:bookmarkStart w:name="_51ca68d2_8081_4f9f_8e1b_c5d59a952ea5" w:id="906"/>
            <w:bookmarkEnd w:id="905"/>
            <w:r>
              <w:rPr>
                <w:rFonts w:ascii="Times New Roman" w:hAnsi="Times New Roman" w:eastAsia="Times New Roman" w:cs="Times New Roman"/>
                <w:color w:val="000000"/>
                <w:sz w:val="16"/>
              </w:rPr>
              <w:t>Exchange differences on translation of foreign operations</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229</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(12)</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(142)</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ind w:left="120"/>
              <w:rPr>
                <w:color w:val="000000"/>
                <w:sz w:val="16"/>
              </w:rPr>
            </w:pPr>
            <w:bookmarkStart w:name="_6e9a5a48_28a5_41c6_ba50_225abacb7542" w:id="907"/>
            <w:bookmarkEnd w:id="906"/>
            <w:r>
              <w:rPr>
                <w:rFonts w:ascii="Times New Roman" w:hAnsi="Times New Roman" w:eastAsia="Times New Roman" w:cs="Times New Roman"/>
                <w:color w:val="000000"/>
                <w:sz w:val="16"/>
              </w:rPr>
              <w:t>Net loss recycled to profit or loss upon disposal</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45</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u w:val="single"/>
              </w:rPr>
            </w:pPr>
            <w:bookmarkStart w:name="_b38eab3d_0624_4040_9363_662ea0c3491c" w:id="908"/>
            <w:bookmarkEnd w:id="907"/>
            <w:r>
              <w:rPr>
                <w:rFonts w:ascii="Times New Roman" w:hAnsi="Times New Roman" w:eastAsia="Times New Roman" w:cs="Times New Roman"/>
                <w:color w:val="000000"/>
                <w:sz w:val="16"/>
                <w:u w:val="single"/>
              </w:rPr>
              <w:t>Debt securities at fair value through other comprehensive income (FVOCI):</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ind w:left="120"/>
              <w:rPr>
                <w:color w:val="000000"/>
                <w:sz w:val="16"/>
              </w:rPr>
            </w:pPr>
            <w:bookmarkStart w:name="_ba742c40_6fd0_4bed_b864_c64db40e85e3" w:id="909"/>
            <w:bookmarkEnd w:id="908"/>
            <w:r>
              <w:rPr>
                <w:rFonts w:ascii="Times New Roman" w:hAnsi="Times New Roman" w:eastAsia="Times New Roman" w:cs="Times New Roman"/>
                <w:color w:val="000000"/>
                <w:sz w:val="16"/>
              </w:rPr>
              <w:t>Net gain/(loss) arising during the period, net of tax</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32</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(204)</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220</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ind w:left="120"/>
              <w:rPr>
                <w:color w:val="000000"/>
                <w:sz w:val="16"/>
              </w:rPr>
            </w:pPr>
            <w:bookmarkStart w:name="_85fa7587_169e_42eb_8888_5fa24285d18e" w:id="910"/>
            <w:bookmarkEnd w:id="909"/>
            <w:r>
              <w:rPr>
                <w:rFonts w:ascii="Times New Roman" w:hAnsi="Times New Roman" w:eastAsia="Times New Roman" w:cs="Times New Roman"/>
                <w:color w:val="000000"/>
                <w:sz w:val="16"/>
              </w:rPr>
              <w:t>Net gains recycled to profit or loss upon disposal</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(47)</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u w:val="single"/>
              </w:rPr>
            </w:pPr>
            <w:bookmarkStart w:name="_515df5ae_301b_45a5_97eb_675edf715c64" w:id="911"/>
            <w:bookmarkEnd w:id="910"/>
            <w:r>
              <w:rPr>
                <w:rFonts w:ascii="Times New Roman" w:hAnsi="Times New Roman" w:eastAsia="Times New Roman" w:cs="Times New Roman"/>
                <w:color w:val="000000"/>
                <w:sz w:val="16"/>
                <w:u w:val="single"/>
              </w:rPr>
              <w:t>Share of other comprehensive Income of an associate</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16</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b/>
                <w:color w:val="000000"/>
                <w:sz w:val="16"/>
              </w:rPr>
            </w:pPr>
            <w:bookmarkStart w:name="_ca353cdf_6846_4471_bf22_297fd47a9d5f" w:id="912"/>
            <w:bookmarkEnd w:id="911"/>
            <w:r>
              <w:rPr>
                <w:rFonts w:ascii="Times New Roman" w:hAnsi="Times New Roman" w:eastAsia="Times New Roman" w:cs="Times New Roman"/>
                <w:b/>
                <w:color w:val="000000"/>
                <w:sz w:val="16"/>
              </w:rPr>
              <w:t>Total other comprehensive income/(loss), net of tax</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259</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jc w:val="right"/>
              <w:rPr>
                <w:b/>
                <w:color w:val="000000"/>
                <w:sz w:val="16"/>
              </w:rPr>
            </w:pPr>
            <w:r>
              <w:rPr>
                <w:rFonts w:ascii="Times New Roman" w:hAnsi="Times New Roman" w:eastAsia="Times New Roman" w:cs="Times New Roman"/>
                <w:b/>
                <w:color w:val="000000"/>
                <w:sz w:val="16"/>
              </w:rPr>
              <w:t xml:space="preserve"> (218)</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94</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b/>
                <w:color w:val="000000"/>
                <w:sz w:val="16"/>
              </w:rPr>
            </w:pPr>
            <w:bookmarkStart w:name="_fa404b04_fc11_4b38_8e7a_470b4f8b3399" w:id="913"/>
            <w:bookmarkEnd w:id="912"/>
            <w:r>
              <w:rPr>
                <w:rFonts w:ascii="Times New Roman" w:hAnsi="Times New Roman" w:eastAsia="Times New Roman" w:cs="Times New Roman"/>
                <w:b/>
                <w:color w:val="000000"/>
                <w:sz w:val="16"/>
              </w:rPr>
              <w:t>Total comprehensive income, net of tax</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9,197</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17,318</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13,849</w:t>
            </w:r>
          </w:p>
        </w:tc>
      </w:tr>
      <w:tr w:rsidR="009534E2">
        <w:trPr>
          <w:jc w:val="center"/>
        </w:trPr>
        <w:tc>
          <w:tcPr>
            <w:tcW w:w="3119" w:type="pct"/>
            <w:tcBorders>
              <w:top w:val="nil"/>
              <w:left w:val="nil"/>
              <w:bottom w:val="nil"/>
              <w:right w:val="nil"/>
              <w:tl2br w:val="nil"/>
              <w:tr2bl w:val="nil"/>
            </w:tcBorders>
            <w:noWrap/>
            <w:vAlign w:val="bottom"/>
          </w:tcPr>
          <w:p w:rsidR="009534E2" w:rsidRDefault="003369EB">
            <w:pPr>
              <w:keepNext/>
              <w:spacing w:after="1"/>
              <w:rPr>
                <w:b/>
                <w:color w:val="000000"/>
                <w:sz w:val="16"/>
              </w:rPr>
            </w:pPr>
            <w:bookmarkStart w:name="_0b648a7f_233f_4d2e_90cc_39f9c7c2588d" w:id="914"/>
            <w:bookmarkEnd w:id="913"/>
            <w:r>
              <w:rPr>
                <w:rFonts w:ascii="Times New Roman" w:hAnsi="Times New Roman" w:eastAsia="Times New Roman" w:cs="Times New Roman"/>
                <w:b/>
                <w:color w:val="000000"/>
                <w:sz w:val="16"/>
              </w:rPr>
              <w:t>Attributable to:</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r>
      <w:tr w:rsidR="009534E2">
        <w:trPr>
          <w:jc w:val="center"/>
        </w:trPr>
        <w:tc>
          <w:tcPr>
            <w:tcW w:w="3119" w:type="pct"/>
            <w:tcBorders>
              <w:top w:val="nil"/>
              <w:left w:val="nil"/>
              <w:bottom w:val="nil"/>
              <w:right w:val="nil"/>
              <w:tl2br w:val="nil"/>
              <w:tr2bl w:val="nil"/>
            </w:tcBorders>
            <w:shd w:val="clear" w:color="auto" w:fill="CCEEFF"/>
            <w:noWrap/>
            <w:vAlign w:val="bottom"/>
          </w:tcPr>
          <w:p w:rsidR="009534E2" w:rsidRDefault="003369EB">
            <w:pPr>
              <w:keepNext/>
              <w:spacing w:after="1"/>
              <w:ind w:left="120"/>
              <w:rPr>
                <w:color w:val="000000"/>
                <w:sz w:val="16"/>
              </w:rPr>
            </w:pPr>
            <w:bookmarkStart w:name="_7f6f1f40_3d8e_4ed0_8411_f3074da79744" w:id="915"/>
            <w:bookmarkEnd w:id="914"/>
            <w:r>
              <w:rPr>
                <w:rFonts w:ascii="Times New Roman" w:hAnsi="Times New Roman" w:eastAsia="Times New Roman" w:cs="Times New Roman"/>
                <w:color w:val="000000"/>
                <w:sz w:val="16"/>
              </w:rPr>
              <w:t>Equity holders of the parent</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9,092</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17,181</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13,214</w:t>
            </w:r>
          </w:p>
        </w:tc>
      </w:tr>
      <w:tr w:rsidR="009534E2">
        <w:trPr>
          <w:jc w:val="center"/>
        </w:trPr>
        <w:tc>
          <w:tcPr>
            <w:tcW w:w="3119" w:type="pct"/>
            <w:tcBorders>
              <w:top w:val="nil"/>
              <w:left w:val="nil"/>
              <w:bottom w:val="nil"/>
              <w:right w:val="nil"/>
              <w:tl2br w:val="nil"/>
              <w:tr2bl w:val="nil"/>
            </w:tcBorders>
            <w:noWrap/>
            <w:vAlign w:val="bottom"/>
          </w:tcPr>
          <w:p w:rsidR="009534E2" w:rsidRDefault="003369EB">
            <w:pPr>
              <w:keepNext/>
              <w:spacing w:after="1"/>
              <w:ind w:left="120"/>
              <w:rPr>
                <w:color w:val="000000"/>
                <w:sz w:val="16"/>
              </w:rPr>
            </w:pPr>
            <w:bookmarkStart w:name="_c416742f_3919_4843_b40f_754d48185a88" w:id="916"/>
            <w:bookmarkEnd w:id="915"/>
            <w:r>
              <w:rPr>
                <w:rFonts w:ascii="Times New Roman" w:hAnsi="Times New Roman" w:eastAsia="Times New Roman" w:cs="Times New Roman"/>
                <w:color w:val="000000"/>
                <w:sz w:val="16"/>
              </w:rPr>
              <w:t>Non-controlling interests</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105</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137</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635</w:t>
            </w:r>
          </w:p>
        </w:tc>
      </w:tr>
      <w:tr w:rsidR="009534E2">
        <w:trPr>
          <w:jc w:val="center"/>
        </w:trPr>
        <w:tc>
          <w:tcPr>
            <w:tcW w:w="311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6"/>
              </w:rPr>
            </w:pPr>
            <w:bookmarkStart w:name="_0c8a5100_8aa5_494c_b7aa_958b90722c96" w:id="917"/>
            <w:bookmarkEnd w:id="916"/>
            <w:r>
              <w:rPr>
                <w:rFonts w:ascii="Times New Roman" w:hAnsi="Times New Roman" w:eastAsia="Times New Roman" w:cs="Times New Roman"/>
                <w:b/>
                <w:color w:val="000000"/>
                <w:sz w:val="16"/>
              </w:rPr>
              <w:t>Earnings per share:</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6"/>
              </w:rPr>
            </w:pPr>
          </w:p>
        </w:tc>
      </w:tr>
      <w:tr w:rsidR="009534E2">
        <w:trPr>
          <w:jc w:val="center"/>
        </w:trPr>
        <w:tc>
          <w:tcPr>
            <w:tcW w:w="3119" w:type="pct"/>
            <w:tcBorders>
              <w:top w:val="nil"/>
              <w:left w:val="nil"/>
              <w:bottom w:val="nil"/>
              <w:right w:val="nil"/>
              <w:tl2br w:val="nil"/>
              <w:tr2bl w:val="nil"/>
            </w:tcBorders>
            <w:noWrap/>
            <w:vAlign w:val="bottom"/>
          </w:tcPr>
          <w:p w:rsidR="009534E2" w:rsidRDefault="003369EB">
            <w:pPr>
              <w:keepNext/>
              <w:spacing w:after="1"/>
              <w:ind w:left="120"/>
              <w:rPr>
                <w:color w:val="000000"/>
                <w:sz w:val="16"/>
              </w:rPr>
            </w:pPr>
            <w:bookmarkStart w:name="_a6fa794b_90ff_4e44_90a4_549c900a4635" w:id="918"/>
            <w:bookmarkEnd w:id="917"/>
            <w:r>
              <w:rPr>
                <w:rFonts w:ascii="Times New Roman" w:hAnsi="Times New Roman" w:eastAsia="Times New Roman" w:cs="Times New Roman"/>
                <w:color w:val="000000"/>
                <w:sz w:val="16"/>
              </w:rPr>
              <w:t>Basic, profit attributable to ordinary equity holders of the parent</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8</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142.04</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278.68</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209.50</w:t>
            </w:r>
          </w:p>
        </w:tc>
      </w:tr>
      <w:tr w:rsidR="009534E2">
        <w:trPr>
          <w:jc w:val="center"/>
        </w:trPr>
        <w:tc>
          <w:tcPr>
            <w:tcW w:w="3119" w:type="pct"/>
            <w:tcBorders>
              <w:top w:val="nil"/>
              <w:left w:val="nil"/>
              <w:bottom w:val="nil"/>
              <w:right w:val="nil"/>
              <w:tl2br w:val="nil"/>
              <w:tr2bl w:val="nil"/>
            </w:tcBorders>
            <w:shd w:val="clear" w:color="auto" w:fill="CCEEFF"/>
            <w:noWrap/>
            <w:vAlign w:val="bottom"/>
          </w:tcPr>
          <w:p w:rsidR="009534E2" w:rsidRDefault="003369EB">
            <w:pPr>
              <w:keepNext/>
              <w:spacing w:after="1"/>
              <w:ind w:left="120"/>
              <w:rPr>
                <w:color w:val="000000"/>
                <w:sz w:val="16"/>
              </w:rPr>
            </w:pPr>
            <w:bookmarkStart w:name="_e36b3bb3_2074_4aa5_a93e_82eeb70ed99a" w:id="919"/>
            <w:bookmarkEnd w:id="918"/>
            <w:r>
              <w:rPr>
                <w:rFonts w:ascii="Times New Roman" w:hAnsi="Times New Roman" w:eastAsia="Times New Roman" w:cs="Times New Roman"/>
                <w:color w:val="000000"/>
                <w:sz w:val="16"/>
              </w:rPr>
              <w:t>Diluted, profit attributable to ordinary equity holders of the parent</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8</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141.66</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278.59</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209.50</w:t>
            </w:r>
          </w:p>
        </w:tc>
      </w:tr>
      <w:tr w:rsidR="009534E2">
        <w:trPr>
          <w:jc w:val="center"/>
        </w:trPr>
        <w:tc>
          <w:tcPr>
            <w:tcW w:w="3119" w:type="pct"/>
            <w:tcBorders>
              <w:top w:val="nil"/>
              <w:left w:val="nil"/>
              <w:bottom w:val="nil"/>
              <w:right w:val="nil"/>
              <w:tl2br w:val="nil"/>
              <w:tr2bl w:val="nil"/>
            </w:tcBorders>
            <w:noWrap/>
            <w:vAlign w:val="bottom"/>
          </w:tcPr>
          <w:p w:rsidR="009534E2" w:rsidRDefault="003369EB">
            <w:pPr>
              <w:keepNext/>
              <w:spacing w:after="1"/>
              <w:rPr>
                <w:b/>
                <w:color w:val="000000"/>
                <w:sz w:val="16"/>
              </w:rPr>
            </w:pPr>
            <w:bookmarkStart w:name="_82f7353e_8529_4099_a052_9cbb56f732f3" w:id="920"/>
            <w:bookmarkEnd w:id="919"/>
            <w:r>
              <w:rPr>
                <w:rFonts w:ascii="Times New Roman" w:hAnsi="Times New Roman" w:eastAsia="Times New Roman" w:cs="Times New Roman"/>
                <w:b/>
                <w:color w:val="000000"/>
                <w:sz w:val="16"/>
              </w:rPr>
              <w:t>Earnings per share for continuing operations</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r>
      <w:tr w:rsidR="009534E2">
        <w:trPr>
          <w:jc w:val="center"/>
        </w:trPr>
        <w:tc>
          <w:tcPr>
            <w:tcW w:w="3119" w:type="pct"/>
            <w:tcBorders>
              <w:top w:val="nil"/>
              <w:left w:val="nil"/>
              <w:bottom w:val="nil"/>
              <w:right w:val="nil"/>
              <w:tl2br w:val="nil"/>
              <w:tr2bl w:val="nil"/>
            </w:tcBorders>
            <w:shd w:val="clear" w:color="auto" w:fill="CCEEFF"/>
            <w:noWrap/>
            <w:vAlign w:val="bottom"/>
          </w:tcPr>
          <w:p w:rsidR="009534E2" w:rsidRDefault="003369EB">
            <w:pPr>
              <w:keepNext/>
              <w:spacing w:after="1"/>
              <w:ind w:left="120"/>
              <w:rPr>
                <w:color w:val="000000"/>
                <w:sz w:val="16"/>
              </w:rPr>
            </w:pPr>
            <w:bookmarkStart w:name="_51811dd4_564f_4455_9a96_21edde384955" w:id="921"/>
            <w:bookmarkEnd w:id="920"/>
            <w:r>
              <w:rPr>
                <w:rFonts w:ascii="Times New Roman" w:hAnsi="Times New Roman" w:eastAsia="Times New Roman" w:cs="Times New Roman"/>
                <w:color w:val="000000"/>
                <w:sz w:val="16"/>
              </w:rPr>
              <w:t>Basic, profit from continuing operations attributable to ordinary equity holders of the parent</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179.11</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278.68</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209.50</w:t>
            </w:r>
          </w:p>
        </w:tc>
      </w:tr>
      <w:tr w:rsidR="009534E2">
        <w:trPr>
          <w:jc w:val="center"/>
        </w:trPr>
        <w:tc>
          <w:tcPr>
            <w:tcW w:w="3119" w:type="pct"/>
            <w:tcBorders>
              <w:top w:val="nil"/>
              <w:left w:val="nil"/>
              <w:bottom w:val="nil"/>
              <w:right w:val="nil"/>
              <w:tl2br w:val="nil"/>
              <w:tr2bl w:val="nil"/>
            </w:tcBorders>
            <w:noWrap/>
            <w:vAlign w:val="bottom"/>
          </w:tcPr>
          <w:p w:rsidR="009534E2" w:rsidRDefault="003369EB">
            <w:pPr>
              <w:keepNext/>
              <w:spacing w:after="1"/>
              <w:ind w:left="120"/>
              <w:rPr>
                <w:color w:val="000000"/>
                <w:sz w:val="16"/>
              </w:rPr>
            </w:pPr>
            <w:bookmarkStart w:name="_15180870_72ce_4684_8e66_aac2440db15b" w:id="922"/>
            <w:bookmarkEnd w:id="921"/>
            <w:r>
              <w:rPr>
                <w:rFonts w:ascii="Times New Roman" w:hAnsi="Times New Roman" w:eastAsia="Times New Roman" w:cs="Times New Roman"/>
                <w:color w:val="000000"/>
                <w:sz w:val="16"/>
              </w:rPr>
              <w:t>Diluted, profit from continuing operations attributable to ordinary equity holders of the parent</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178.64</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278.59</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209.50</w:t>
            </w:r>
          </w:p>
        </w:tc>
      </w:tr>
      <w:bookmarkEnd w:id="868"/>
      <w:bookmarkEnd w:id="922"/>
    </w:tbl>
    <w:p w:rsidR="009534E2" w:rsidRDefault="009534E2">
      <w:pPr>
        <w:pStyle w:val="BodyText"/>
        <w:spacing w:after="0"/>
        <w:rPr>
          <w:rFonts w:asciiTheme="majorHAnsi" w:hAnsiTheme="majorHAnsi" w:cstheme="majorHAnsi"/>
          <w:lang w:val="ru-RU" w:eastAsia="ru-RU"/>
        </w:rPr>
      </w:pPr>
    </w:p>
    <w:p w:rsidR="009534E2" w:rsidRDefault="003369EB">
      <w:pPr>
        <w:pStyle w:val="BodyText"/>
        <w:spacing w:after="0"/>
        <w:jc w:val="center"/>
        <w:rPr>
          <w:rFonts w:asciiTheme="majorHAnsi" w:hAnsiTheme="majorHAnsi" w:cstheme="majorHAnsi"/>
          <w:i/>
          <w:lang w:val="ru-RU" w:eastAsia="ru-RU"/>
        </w:rPr>
      </w:pPr>
      <w:r>
        <w:rPr>
          <w:rFonts w:asciiTheme="majorHAnsi" w:hAnsiTheme="majorHAnsi" w:cstheme="majorHAnsi"/>
          <w:i/>
          <w:lang w:val="ru-RU" w:eastAsia="ru-RU"/>
        </w:rPr>
        <w:t>The accompanying notes form an integral part of these consolidated financial statements.</w:t>
      </w:r>
    </w:p>
    <w:p w:rsidR="009534E2" w:rsidRDefault="003369EB">
      <w:pPr>
        <w:rPr>
          <w:rFonts w:eastAsia="Times New Roman" w:asciiTheme="majorHAnsi" w:hAnsiTheme="majorHAnsi" w:cstheme="majorHAnsi"/>
        </w:rPr>
      </w:pPr>
      <w:r>
        <w:rPr>
          <w:rFonts w:eastAsia="Times New Roman" w:asciiTheme="majorHAnsi" w:hAnsiTheme="majorHAnsi" w:cstheme="majorHAnsi"/>
        </w:rPr>
        <w:br w:type="page"/>
      </w:r>
    </w:p>
    <w:p w:rsidR="009534E2" w:rsidRDefault="003369EB">
      <w:pPr>
        <w:keepNext/>
        <w:spacing w:after="120"/>
        <w:jc w:val="center"/>
        <w:rPr>
          <w:rFonts w:asciiTheme="majorHAnsi" w:hAnsiTheme="majorHAnsi" w:cstheme="majorHAnsi"/>
          <w:lang w:val="ru-RU" w:eastAsia="ru-RU"/>
        </w:rPr>
      </w:pPr>
      <w:r>
        <w:rPr>
          <w:rFonts w:asciiTheme="majorHAnsi" w:hAnsiTheme="majorHAnsi" w:cstheme="majorHAnsi"/>
          <w:lang w:val="ru-RU" w:eastAsia="ru-RU"/>
        </w:rPr>
        <w:t>QIWI plc</w:t>
      </w:r>
    </w:p>
    <w:p w:rsidR="009534E2" w:rsidRDefault="003369EB">
      <w:pPr>
        <w:keepNext/>
        <w:spacing w:after="120"/>
        <w:jc w:val="center"/>
        <w:rPr>
          <w:rFonts w:asciiTheme="majorHAnsi" w:hAnsiTheme="majorHAnsi" w:cstheme="majorHAnsi"/>
          <w:lang w:val="ru-RU" w:eastAsia="ru-RU"/>
        </w:rPr>
      </w:pPr>
      <w:r>
        <w:rPr>
          <w:rFonts w:asciiTheme="majorHAnsi" w:hAnsiTheme="majorHAnsi" w:cstheme="majorHAnsi"/>
          <w:lang w:val="ru-RU" w:eastAsia="ru-RU"/>
        </w:rPr>
        <w:t>Consolidated statement of cash flows</w:t>
      </w:r>
      <w:bookmarkStart w:name="Consolidatedstatementofcashflows_181102" w:id="923"/>
      <w:bookmarkEnd w:id="923"/>
    </w:p>
    <w:p w:rsidR="009534E2" w:rsidRDefault="003369EB">
      <w:pPr>
        <w:keepNext/>
        <w:spacing w:after="120"/>
        <w:jc w:val="center"/>
        <w:rPr>
          <w:rFonts w:asciiTheme="majorHAnsi" w:hAnsiTheme="majorHAnsi" w:cstheme="majorHAnsi"/>
          <w:lang w:eastAsia="ru-RU"/>
        </w:rPr>
      </w:pPr>
      <w:r>
        <w:rPr>
          <w:rFonts w:asciiTheme="majorHAnsi" w:hAnsiTheme="majorHAnsi" w:cstheme="majorHAnsi"/>
          <w:lang w:val="ru-RU" w:eastAsia="ru-RU"/>
        </w:rPr>
        <w:t>for the year ended December 31, 20</w:t>
      </w:r>
      <w:r>
        <w:rPr>
          <w:rFonts w:asciiTheme="majorHAnsi" w:hAnsiTheme="majorHAnsi" w:cstheme="majorHAnsi"/>
          <w:lang w:eastAsia="ru-RU"/>
        </w:rPr>
        <w:t>22</w:t>
      </w:r>
    </w:p>
    <w:p w:rsidR="009534E2" w:rsidRDefault="003369EB">
      <w:pPr>
        <w:keepNext/>
        <w:keepLines/>
        <w:jc w:val="center"/>
        <w:rPr>
          <w:rFonts w:asciiTheme="majorHAnsi" w:hAnsiTheme="majorHAnsi" w:cstheme="majorHAnsi"/>
          <w:i/>
          <w:lang w:val="ru-RU" w:eastAsia="ru-RU"/>
        </w:rPr>
      </w:pPr>
      <w:r>
        <w:rPr>
          <w:rFonts w:asciiTheme="majorHAnsi" w:hAnsiTheme="majorHAnsi" w:cstheme="majorHAnsi"/>
          <w:i/>
          <w:lang w:val="ru-RU" w:eastAsia="ru-RU"/>
        </w:rPr>
        <w:t>(in millions of Rubles)</w:t>
      </w:r>
    </w:p>
    <w:p w:rsidR="009534E2" w:rsidRDefault="009534E2">
      <w:pPr>
        <w:keepNext/>
        <w:keepLines/>
        <w:rPr>
          <w:rFonts w:asciiTheme="majorHAnsi" w:hAnsiTheme="majorHAnsi" w:cstheme="majorHAnsi"/>
          <w:sz w:val="14"/>
          <w:szCs w:val="14"/>
          <w:lang w:val="ru-RU"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737"/>
        <w:gridCol w:w="214"/>
        <w:gridCol w:w="685"/>
        <w:gridCol w:w="214"/>
        <w:gridCol w:w="842"/>
        <w:gridCol w:w="214"/>
        <w:gridCol w:w="842"/>
        <w:gridCol w:w="214"/>
        <w:gridCol w:w="838"/>
      </w:tblGrid>
      <w:tr w:rsidR="009534E2">
        <w:trPr>
          <w:trHeight w:val="20" w:hRule="exact"/>
          <w:jc w:val="center"/>
        </w:trPr>
        <w:tc>
          <w:tcPr>
            <w:tcW w:w="3119" w:type="pct"/>
            <w:tcBorders>
              <w:top w:val="nil"/>
              <w:left w:val="nil"/>
              <w:bottom w:val="nil"/>
              <w:right w:val="nil"/>
            </w:tcBorders>
            <w:vAlign w:val="bottom"/>
          </w:tcPr>
          <w:p w:rsidR="009534E2" w:rsidRDefault="009534E2">
            <w:pPr>
              <w:keepNext/>
              <w:spacing w:after="1"/>
              <w:rPr>
                <w:sz w:val="2"/>
              </w:rPr>
            </w:pPr>
            <w:bookmarkStart w:name="_f878c868_5641_4db4_aadb_0b4c0583de7e" w:id="924"/>
            <w:bookmarkStart w:name="_a2ebcbce_3d8b_424b_bf14_1bccd0947ade" w:colFirst="0" w:colLast="0" w:id="925"/>
            <w:bookmarkStart w:name="_c4c51f37_d244_422f_9b61_d903d3782eea" w:colFirst="1" w:colLast="1" w:id="926"/>
            <w:bookmarkStart w:name="_31b480bd_7e4a_4ed2_b97d_dad2530d7d9d" w:colFirst="2" w:colLast="2" w:id="927"/>
            <w:bookmarkStart w:name="_bf470245_7406_4685_87d1_1ba61fc3a78e" w:colFirst="3" w:colLast="3" w:id="928"/>
            <w:bookmarkStart w:name="_5a77143c_ec44_4677_9319_7ac88bca0216" w:colFirst="4" w:colLast="4" w:id="929"/>
            <w:bookmarkStart w:name="_feeec443_bd83_4336_9da8_10a35c8ed801" w:colFirst="5" w:colLast="5" w:id="930"/>
            <w:bookmarkStart w:name="_1f814dc8_b17a_46f8_931a_017fd8dfab2f" w:colFirst="6" w:colLast="6" w:id="931"/>
            <w:bookmarkStart w:name="_a5a6dd91_d538_494d_830b_3f139513fde1" w:colFirst="7" w:colLast="7" w:id="932"/>
            <w:bookmarkStart w:name="_5c511bee_f6c6_4c87_9a4c_a2b134c1252c" w:colFirst="8" w:colLast="8" w:id="933"/>
            <w:bookmarkStart w:name="_68b0e53c_f2aa_40f9_ab9d_1e585b7cf582" w:id="934"/>
            <w:bookmarkEnd w:id="924"/>
          </w:p>
        </w:tc>
        <w:tc>
          <w:tcPr>
            <w:tcW w:w="99" w:type="pct"/>
            <w:tcBorders>
              <w:top w:val="nil"/>
              <w:left w:val="nil"/>
              <w:bottom w:val="nil"/>
              <w:right w:val="nil"/>
            </w:tcBorders>
            <w:noWrap/>
            <w:vAlign w:val="bottom"/>
          </w:tcPr>
          <w:p w:rsidR="009534E2" w:rsidRDefault="009534E2">
            <w:pPr>
              <w:keepNext/>
              <w:spacing w:after="1"/>
              <w:rPr>
                <w:sz w:val="2"/>
              </w:rPr>
            </w:pPr>
          </w:p>
        </w:tc>
        <w:tc>
          <w:tcPr>
            <w:tcW w:w="317" w:type="pct"/>
            <w:tcBorders>
              <w:top w:val="nil"/>
              <w:left w:val="nil"/>
              <w:bottom w:val="nil"/>
              <w:right w:val="nil"/>
            </w:tcBorders>
            <w:noWrap/>
            <w:vAlign w:val="bottom"/>
          </w:tcPr>
          <w:p w:rsidR="009534E2" w:rsidRDefault="009534E2">
            <w:pPr>
              <w:keepNext/>
              <w:spacing w:after="1"/>
              <w:rPr>
                <w:sz w:val="2"/>
              </w:rPr>
            </w:pPr>
          </w:p>
        </w:tc>
        <w:tc>
          <w:tcPr>
            <w:tcW w:w="99" w:type="pct"/>
            <w:tcBorders>
              <w:top w:val="nil"/>
              <w:left w:val="nil"/>
              <w:bottom w:val="nil"/>
              <w:right w:val="nil"/>
            </w:tcBorders>
            <w:noWrap/>
            <w:vAlign w:val="bottom"/>
          </w:tcPr>
          <w:p w:rsidR="009534E2" w:rsidRDefault="009534E2">
            <w:pPr>
              <w:keepNext/>
              <w:spacing w:after="1"/>
              <w:rPr>
                <w:sz w:val="2"/>
              </w:rPr>
            </w:pPr>
          </w:p>
        </w:tc>
        <w:tc>
          <w:tcPr>
            <w:tcW w:w="390" w:type="pct"/>
            <w:tcBorders>
              <w:top w:val="nil"/>
              <w:left w:val="nil"/>
              <w:bottom w:val="nil"/>
              <w:right w:val="nil"/>
            </w:tcBorders>
            <w:noWrap/>
            <w:vAlign w:val="bottom"/>
          </w:tcPr>
          <w:p w:rsidR="009534E2" w:rsidRDefault="009534E2">
            <w:pPr>
              <w:keepNext/>
              <w:spacing w:after="1"/>
              <w:rPr>
                <w:sz w:val="2"/>
              </w:rPr>
            </w:pPr>
          </w:p>
        </w:tc>
        <w:tc>
          <w:tcPr>
            <w:tcW w:w="99" w:type="pct"/>
            <w:tcBorders>
              <w:top w:val="nil"/>
              <w:left w:val="nil"/>
              <w:bottom w:val="nil"/>
              <w:right w:val="nil"/>
            </w:tcBorders>
            <w:noWrap/>
            <w:vAlign w:val="bottom"/>
          </w:tcPr>
          <w:p w:rsidR="009534E2" w:rsidRDefault="009534E2">
            <w:pPr>
              <w:keepNext/>
              <w:spacing w:after="1"/>
              <w:rPr>
                <w:sz w:val="2"/>
              </w:rPr>
            </w:pPr>
          </w:p>
        </w:tc>
        <w:tc>
          <w:tcPr>
            <w:tcW w:w="390" w:type="pct"/>
            <w:tcBorders>
              <w:top w:val="nil"/>
              <w:left w:val="nil"/>
              <w:bottom w:val="nil"/>
              <w:right w:val="nil"/>
            </w:tcBorders>
            <w:noWrap/>
            <w:vAlign w:val="bottom"/>
          </w:tcPr>
          <w:p w:rsidR="009534E2" w:rsidRDefault="009534E2">
            <w:pPr>
              <w:keepNext/>
              <w:spacing w:after="1"/>
              <w:rPr>
                <w:sz w:val="2"/>
              </w:rPr>
            </w:pPr>
          </w:p>
        </w:tc>
        <w:tc>
          <w:tcPr>
            <w:tcW w:w="99" w:type="pct"/>
            <w:tcBorders>
              <w:top w:val="nil"/>
              <w:left w:val="nil"/>
              <w:bottom w:val="nil"/>
              <w:right w:val="nil"/>
            </w:tcBorders>
            <w:noWrap/>
            <w:vAlign w:val="bottom"/>
          </w:tcPr>
          <w:p w:rsidR="009534E2" w:rsidRDefault="009534E2">
            <w:pPr>
              <w:keepNext/>
              <w:spacing w:after="1"/>
              <w:rPr>
                <w:sz w:val="2"/>
              </w:rPr>
            </w:pPr>
          </w:p>
        </w:tc>
        <w:tc>
          <w:tcPr>
            <w:tcW w:w="388" w:type="pct"/>
            <w:tcBorders>
              <w:top w:val="nil"/>
              <w:left w:val="nil"/>
              <w:bottom w:val="nil"/>
              <w:right w:val="nil"/>
            </w:tcBorders>
            <w:noWrap/>
            <w:vAlign w:val="bottom"/>
          </w:tcPr>
          <w:p w:rsidR="009534E2" w:rsidRDefault="009534E2">
            <w:pPr>
              <w:keepNext/>
              <w:spacing w:after="1"/>
              <w:rPr>
                <w:sz w:val="2"/>
              </w:rPr>
            </w:pPr>
          </w:p>
        </w:tc>
      </w:tr>
      <w:tr w:rsidR="009534E2">
        <w:trPr>
          <w:jc w:val="center"/>
        </w:trPr>
        <w:tc>
          <w:tcPr>
            <w:tcW w:w="3119"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1a249d7a_6cca_4e56_961b_d631a9815ce3" w:id="935"/>
            <w:bookmarkEnd w:id="925"/>
            <w:bookmarkEnd w:id="926"/>
            <w:bookmarkEnd w:id="927"/>
            <w:bookmarkEnd w:id="928"/>
            <w:bookmarkEnd w:id="929"/>
            <w:bookmarkEnd w:id="930"/>
            <w:bookmarkEnd w:id="931"/>
            <w:bookmarkEnd w:id="932"/>
            <w:bookmarkEnd w:id="933"/>
          </w:p>
        </w:tc>
        <w:tc>
          <w:tcPr>
            <w:tcW w:w="9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31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9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1366" w:type="pct"/>
            <w:gridSpan w:val="5"/>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Year ended December 31</w:t>
            </w:r>
          </w:p>
        </w:tc>
      </w:tr>
      <w:tr w:rsidR="009534E2">
        <w:trPr>
          <w:jc w:val="center"/>
        </w:trPr>
        <w:tc>
          <w:tcPr>
            <w:tcW w:w="3119"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a63e2346_5b3c_4ba9_be11_7c7b701fd176" w:id="936"/>
            <w:bookmarkEnd w:id="935"/>
          </w:p>
        </w:tc>
        <w:tc>
          <w:tcPr>
            <w:tcW w:w="9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17"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Notes</w:t>
            </w:r>
          </w:p>
        </w:tc>
        <w:tc>
          <w:tcPr>
            <w:tcW w:w="9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2020</w:t>
            </w:r>
          </w:p>
        </w:tc>
        <w:tc>
          <w:tcPr>
            <w:tcW w:w="9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2021</w:t>
            </w:r>
          </w:p>
        </w:tc>
        <w:tc>
          <w:tcPr>
            <w:tcW w:w="9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88"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2022</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b/>
                <w:color w:val="000000"/>
                <w:sz w:val="16"/>
              </w:rPr>
            </w:pPr>
            <w:bookmarkStart w:name="_fb3541f8_7b26_4101_adaa_b1d18b046315" w:id="937"/>
            <w:bookmarkEnd w:id="936"/>
            <w:r>
              <w:rPr>
                <w:rFonts w:ascii="Times New Roman" w:hAnsi="Times New Roman" w:eastAsia="Times New Roman" w:cs="Times New Roman"/>
                <w:b/>
                <w:color w:val="000000"/>
                <w:sz w:val="16"/>
              </w:rPr>
              <w:t>Operating activities</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b/>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88"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6"/>
              </w:rPr>
            </w:pP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36c5e85e_5deb_42f3_87bc_d540ea8fa93d" w:id="938"/>
            <w:bookmarkEnd w:id="937"/>
            <w:r>
              <w:rPr>
                <w:rFonts w:ascii="Times New Roman" w:hAnsi="Times New Roman" w:eastAsia="Times New Roman" w:cs="Times New Roman"/>
                <w:color w:val="000000"/>
                <w:sz w:val="16"/>
              </w:rPr>
              <w:t>Profit before tax from continuing operations</w:t>
            </w:r>
          </w:p>
        </w:tc>
        <w:tc>
          <w:tcPr>
            <w:tcW w:w="99" w:type="pct"/>
            <w:tcBorders>
              <w:top w:val="nil"/>
              <w:left w:val="nil"/>
              <w:bottom w:val="nil"/>
              <w:right w:val="nil"/>
              <w:tl2br w:val="nil"/>
              <w:tr2bl w:val="nil"/>
            </w:tcBorders>
            <w:noWrap/>
            <w:vAlign w:val="bottom"/>
          </w:tcPr>
          <w:p w:rsidR="009534E2" w:rsidRDefault="009534E2">
            <w:pPr>
              <w:keepNext/>
              <w:spacing w:after="1"/>
              <w:rPr>
                <w:b/>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b/>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b/>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14,365</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20,616</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18,184</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64102053_4527_4278_9f7a_8e43be90adf9" w:id="939"/>
            <w:bookmarkEnd w:id="938"/>
            <w:r>
              <w:rPr>
                <w:rFonts w:ascii="Times New Roman" w:hAnsi="Times New Roman" w:eastAsia="Times New Roman" w:cs="Times New Roman"/>
                <w:color w:val="000000"/>
                <w:sz w:val="16"/>
              </w:rPr>
              <w:t>Loss before tax from discontinued operations</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(2,509)</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b/>
                <w:color w:val="000000"/>
                <w:sz w:val="16"/>
              </w:rPr>
            </w:pPr>
            <w:bookmarkStart w:name="_146182a8_6610_483e_bd72_a6a2723abba3" w:id="940"/>
            <w:bookmarkEnd w:id="939"/>
            <w:r>
              <w:rPr>
                <w:rFonts w:ascii="Times New Roman" w:hAnsi="Times New Roman" w:eastAsia="Times New Roman" w:cs="Times New Roman"/>
                <w:b/>
                <w:color w:val="000000"/>
                <w:sz w:val="16"/>
              </w:rPr>
              <w:t>Profit before tax</w:t>
            </w:r>
          </w:p>
        </w:tc>
        <w:tc>
          <w:tcPr>
            <w:tcW w:w="99" w:type="pct"/>
            <w:tcBorders>
              <w:top w:val="nil"/>
              <w:left w:val="nil"/>
              <w:bottom w:val="nil"/>
              <w:right w:val="nil"/>
              <w:tl2br w:val="nil"/>
              <w:tr2bl w:val="nil"/>
            </w:tcBorders>
            <w:noWrap/>
            <w:vAlign w:val="bottom"/>
          </w:tcPr>
          <w:p w:rsidR="009534E2" w:rsidRDefault="009534E2">
            <w:pPr>
              <w:keepNext/>
              <w:spacing w:after="1"/>
              <w:rPr>
                <w:b/>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b/>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11,856</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20,616</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18,184</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i/>
                <w:color w:val="000000"/>
                <w:sz w:val="16"/>
              </w:rPr>
            </w:pPr>
            <w:bookmarkStart w:name="_d79e3a46_bf4e_4892_8f38_279a4f05c8c3" w:id="941"/>
            <w:bookmarkEnd w:id="940"/>
            <w:r>
              <w:rPr>
                <w:rFonts w:ascii="Times New Roman" w:hAnsi="Times New Roman" w:eastAsia="Times New Roman" w:cs="Times New Roman"/>
                <w:i/>
                <w:color w:val="000000"/>
                <w:sz w:val="16"/>
              </w:rPr>
              <w:t>Adjustments to reconcile profit before tax to net cash flows generated from operating activities</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b/>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6"/>
              </w:rPr>
            </w:pP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2bee7386_49f2_42d5_a635_7ef665db3ce8" w:id="942"/>
            <w:bookmarkEnd w:id="941"/>
            <w:r>
              <w:rPr>
                <w:rFonts w:ascii="Times New Roman" w:hAnsi="Times New Roman" w:eastAsia="Times New Roman" w:cs="Times New Roman"/>
                <w:color w:val="000000"/>
                <w:sz w:val="16"/>
              </w:rPr>
              <w:t>Depreciation and amortization</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9,10</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1,266</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1,130</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1,085</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8412173a_14e1_45e1_b54d_195d8e73500d" w:id="943"/>
            <w:bookmarkEnd w:id="942"/>
            <w:r>
              <w:rPr>
                <w:rFonts w:ascii="Times New Roman" w:hAnsi="Times New Roman" w:eastAsia="Times New Roman" w:cs="Times New Roman"/>
                <w:color w:val="000000"/>
                <w:sz w:val="16"/>
              </w:rPr>
              <w:t>Foreign exchange loss/(gain), net</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224</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29</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650</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3fb06935_aca6_40ab_9bf4_d46dff761051" w:id="944"/>
            <w:bookmarkEnd w:id="943"/>
            <w:r>
              <w:rPr>
                <w:rFonts w:ascii="Times New Roman" w:hAnsi="Times New Roman" w:eastAsia="Times New Roman" w:cs="Times New Roman"/>
                <w:color w:val="000000"/>
                <w:sz w:val="16"/>
              </w:rPr>
              <w:t>Interest income, net</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23</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(2,693)</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(3,040)</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(6,368)</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db2bb329_054d_47b9_a5e3_e9952d38d0f5" w:id="945"/>
            <w:bookmarkEnd w:id="944"/>
            <w:r>
              <w:rPr>
                <w:rFonts w:ascii="Times New Roman" w:hAnsi="Times New Roman" w:eastAsia="Times New Roman" w:cs="Times New Roman"/>
                <w:color w:val="000000"/>
                <w:sz w:val="16"/>
              </w:rPr>
              <w:t>Credit loss expense</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870</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336</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2,381</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d3933973_3f46_4785_aab2_5335b292e834" w:id="946"/>
            <w:bookmarkEnd w:id="945"/>
            <w:r>
              <w:rPr>
                <w:rFonts w:ascii="Times New Roman" w:hAnsi="Times New Roman" w:eastAsia="Times New Roman" w:cs="Times New Roman"/>
                <w:color w:val="000000"/>
                <w:sz w:val="16"/>
              </w:rPr>
              <w:t>Share of (gain) / loss of an associate and a joint venture</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(663)</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(306)</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39</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071a8263_4673_4274_8339_fa894a680522" w:id="947"/>
            <w:bookmarkEnd w:id="946"/>
            <w:r>
              <w:rPr>
                <w:rFonts w:ascii="Times New Roman" w:hAnsi="Times New Roman" w:eastAsia="Times New Roman" w:cs="Times New Roman"/>
                <w:color w:val="000000"/>
                <w:sz w:val="16"/>
              </w:rPr>
              <w:t>Loss from sale of Sovest loans’ portfolio</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712</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e0f156ec_6b3f_4990_8813_53c052f977e9" w:id="948"/>
            <w:bookmarkEnd w:id="947"/>
            <w:r>
              <w:rPr>
                <w:rFonts w:ascii="Times New Roman" w:hAnsi="Times New Roman" w:eastAsia="Times New Roman" w:cs="Times New Roman"/>
                <w:color w:val="000000"/>
                <w:sz w:val="16"/>
              </w:rPr>
              <w:t xml:space="preserve">Share-based payments </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 xml:space="preserve"> </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43</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8</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86</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fcd5bfad_af87_4523_9a63_df1f4393ad99" w:id="949"/>
            <w:bookmarkEnd w:id="948"/>
            <w:r>
              <w:rPr>
                <w:rFonts w:ascii="Times New Roman" w:hAnsi="Times New Roman" w:eastAsia="Times New Roman" w:cs="Times New Roman"/>
                <w:color w:val="000000"/>
                <w:sz w:val="16"/>
              </w:rPr>
              <w:t>Gain on disposal of an associate</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6</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(8,177)</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e8312bac_1045_4f85_841d_2074dcb9439f" w:id="950"/>
            <w:bookmarkEnd w:id="949"/>
            <w:r>
              <w:rPr>
                <w:rFonts w:ascii="Times New Roman" w:hAnsi="Times New Roman" w:eastAsia="Times New Roman" w:cs="Times New Roman"/>
                <w:color w:val="000000"/>
                <w:sz w:val="16"/>
              </w:rPr>
              <w:t>Impairment of non-current assets</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10,11</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134</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24</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47</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ea18e724_c7a9_42bd_9a86_298ee6cf531c" w:id="951"/>
            <w:bookmarkEnd w:id="950"/>
            <w:r>
              <w:rPr>
                <w:rFonts w:ascii="Times New Roman" w:hAnsi="Times New Roman" w:eastAsia="Times New Roman" w:cs="Times New Roman"/>
                <w:color w:val="000000"/>
                <w:sz w:val="16"/>
              </w:rPr>
              <w:t>Loss from initial recognition</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27</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a6d4d1b3_f0bc_4b73_aa69_6ee50818ec90" w:id="952"/>
            <w:bookmarkEnd w:id="951"/>
            <w:r>
              <w:rPr>
                <w:rFonts w:ascii="Times New Roman" w:hAnsi="Times New Roman" w:eastAsia="Times New Roman" w:cs="Times New Roman"/>
                <w:color w:val="000000"/>
                <w:sz w:val="16"/>
              </w:rPr>
              <w:t>Other</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(100)</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(140)</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i/>
                <w:color w:val="000000"/>
                <w:sz w:val="16"/>
              </w:rPr>
            </w:pPr>
            <w:bookmarkStart w:name="_12e40901_b5f8_4d84_ac05_5b13a66a9c33" w:id="953"/>
            <w:bookmarkEnd w:id="952"/>
            <w:r>
              <w:rPr>
                <w:rFonts w:ascii="Times New Roman" w:hAnsi="Times New Roman" w:eastAsia="Times New Roman" w:cs="Times New Roman"/>
                <w:i/>
                <w:color w:val="000000"/>
                <w:sz w:val="16"/>
              </w:rPr>
              <w:t>Changes in operating assets and liabilities:</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6"/>
              </w:rPr>
            </w:pP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2cf72a34_05fc_46be_985f_24f003efb7f8" w:id="954"/>
            <w:bookmarkEnd w:id="953"/>
            <w:r>
              <w:rPr>
                <w:rFonts w:ascii="Times New Roman" w:hAnsi="Times New Roman" w:eastAsia="Times New Roman" w:cs="Times New Roman"/>
                <w:color w:val="000000"/>
                <w:sz w:val="16"/>
              </w:rPr>
              <w:t>Decrease/(Increase) in trade and other receivables</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(854)</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394</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(5,636)</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24529ccc_10e4_4893_ab5b_d91fa92c1d38" w:id="955"/>
            <w:bookmarkEnd w:id="954"/>
            <w:r>
              <w:rPr>
                <w:rFonts w:ascii="Times New Roman" w:hAnsi="Times New Roman" w:eastAsia="Times New Roman" w:cs="Times New Roman"/>
                <w:color w:val="000000"/>
                <w:sz w:val="16"/>
              </w:rPr>
              <w:t>Increase in other assets</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b/>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(308)</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(175)</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(1,620)</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2305cef0_7d3d_49b9_b9c2_e5cf54016f5f" w:id="956"/>
            <w:bookmarkEnd w:id="955"/>
            <w:r>
              <w:rPr>
                <w:rFonts w:ascii="Times New Roman" w:hAnsi="Times New Roman" w:eastAsia="Times New Roman" w:cs="Times New Roman"/>
                <w:color w:val="000000"/>
                <w:sz w:val="16"/>
              </w:rPr>
              <w:t>(Decrease)/Increase in customer accounts and amounts due to banks</w:t>
            </w:r>
          </w:p>
        </w:tc>
        <w:tc>
          <w:tcPr>
            <w:tcW w:w="99" w:type="pct"/>
            <w:tcBorders>
              <w:top w:val="nil"/>
              <w:left w:val="nil"/>
              <w:bottom w:val="nil"/>
              <w:right w:val="nil"/>
              <w:tl2br w:val="nil"/>
              <w:tr2bl w:val="nil"/>
            </w:tcBorders>
            <w:noWrap/>
            <w:vAlign w:val="bottom"/>
          </w:tcPr>
          <w:p w:rsidR="009534E2" w:rsidRDefault="009534E2">
            <w:pPr>
              <w:keepNext/>
              <w:spacing w:after="1"/>
              <w:rPr>
                <w:b/>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b/>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(10,240)</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(4,670)</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2,018</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dc32f3a3_de09_4465_a51a_5c2cd79010c4" w:id="957"/>
            <w:bookmarkEnd w:id="956"/>
            <w:r>
              <w:rPr>
                <w:rFonts w:ascii="Times New Roman" w:hAnsi="Times New Roman" w:eastAsia="Times New Roman" w:cs="Times New Roman"/>
                <w:color w:val="000000"/>
                <w:sz w:val="16"/>
              </w:rPr>
              <w:t>(Decrease)/Increase in accounts payable and accruals</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1,242</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(6,228)</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4,251</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9950c70c_0b62_4f89_b174_d4c9edd23422" w:id="958"/>
            <w:bookmarkEnd w:id="957"/>
            <w:r>
              <w:rPr>
                <w:rFonts w:ascii="Times New Roman" w:hAnsi="Times New Roman" w:eastAsia="Times New Roman" w:cs="Times New Roman"/>
                <w:color w:val="000000"/>
                <w:sz w:val="16"/>
              </w:rPr>
              <w:t>Increase in other liabilities</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b/>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1,491</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871</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518fa96b_2ab1_45fc_a68e_eea0ccb28a8e" w:id="959"/>
            <w:bookmarkEnd w:id="958"/>
            <w:r>
              <w:rPr>
                <w:rFonts w:ascii="Times New Roman" w:hAnsi="Times New Roman" w:eastAsia="Times New Roman" w:cs="Times New Roman"/>
                <w:color w:val="000000"/>
                <w:sz w:val="16"/>
              </w:rPr>
              <w:t>Decrease/(Increase) in loans issued as operating activity</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4,023</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(5,720)</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(3,804)</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b/>
                <w:color w:val="000000"/>
                <w:sz w:val="16"/>
              </w:rPr>
            </w:pPr>
            <w:bookmarkStart w:name="_5607ea68_33eb_4c95_b611_8644285efb1a" w:id="960"/>
            <w:bookmarkEnd w:id="959"/>
            <w:r>
              <w:rPr>
                <w:rFonts w:ascii="Times New Roman" w:hAnsi="Times New Roman" w:eastAsia="Times New Roman" w:cs="Times New Roman"/>
                <w:b/>
                <w:color w:val="000000"/>
                <w:sz w:val="16"/>
              </w:rPr>
              <w:t>Cash flows generated from operations</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5,640</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b/>
                <w:color w:val="000000"/>
                <w:sz w:val="16"/>
              </w:rPr>
            </w:pPr>
            <w:r>
              <w:rPr>
                <w:rFonts w:ascii="Times New Roman" w:hAnsi="Times New Roman" w:eastAsia="Times New Roman" w:cs="Times New Roman"/>
                <w:b/>
                <w:color w:val="000000"/>
                <w:sz w:val="16"/>
              </w:rPr>
              <w:t xml:space="preserve"> (4,388)</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12,044</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6d6b6ca5_d606_46ae_9558_9ac5b0aaf613" w:id="961"/>
            <w:bookmarkEnd w:id="960"/>
            <w:r>
              <w:rPr>
                <w:rFonts w:ascii="Times New Roman" w:hAnsi="Times New Roman" w:eastAsia="Times New Roman" w:cs="Times New Roman"/>
                <w:color w:val="000000"/>
                <w:sz w:val="16"/>
              </w:rPr>
              <w:t>Interest received</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3,391</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3,538</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7,192</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fd547c9d_e609_4ad9_85e8_79ae0387278d" w:id="962"/>
            <w:bookmarkEnd w:id="961"/>
            <w:r>
              <w:rPr>
                <w:rFonts w:ascii="Times New Roman" w:hAnsi="Times New Roman" w:eastAsia="Times New Roman" w:cs="Times New Roman"/>
                <w:color w:val="000000"/>
                <w:sz w:val="16"/>
              </w:rPr>
              <w:t>Interest paid</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(508)</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(559)</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(507)</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cf15b267_3ecc_48a1_a337_848eba58c765" w:id="963"/>
            <w:bookmarkEnd w:id="962"/>
            <w:r>
              <w:rPr>
                <w:rFonts w:ascii="Times New Roman" w:hAnsi="Times New Roman" w:eastAsia="Times New Roman" w:cs="Times New Roman"/>
                <w:color w:val="000000"/>
                <w:sz w:val="16"/>
              </w:rPr>
              <w:t>Income tax paid</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(2,421)</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(3,101)</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(3,838)</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b/>
                <w:color w:val="000000"/>
                <w:sz w:val="16"/>
              </w:rPr>
            </w:pPr>
            <w:bookmarkStart w:name="_b6a7251a_5bf6_423e_b7cd_b10017099884" w:id="964"/>
            <w:bookmarkEnd w:id="963"/>
            <w:r>
              <w:rPr>
                <w:rFonts w:ascii="Times New Roman" w:hAnsi="Times New Roman" w:eastAsia="Times New Roman" w:cs="Times New Roman"/>
                <w:b/>
                <w:color w:val="000000"/>
                <w:sz w:val="16"/>
              </w:rPr>
              <w:t>Net cash flow generated from/(used in) operating activities</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6,102</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jc w:val="right"/>
              <w:rPr>
                <w:b/>
                <w:color w:val="000000"/>
                <w:sz w:val="16"/>
              </w:rPr>
            </w:pPr>
            <w:r>
              <w:rPr>
                <w:rFonts w:ascii="Times New Roman" w:hAnsi="Times New Roman" w:eastAsia="Times New Roman" w:cs="Times New Roman"/>
                <w:b/>
                <w:color w:val="000000"/>
                <w:sz w:val="16"/>
              </w:rPr>
              <w:t xml:space="preserve"> (4,510)</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88"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14,891</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b/>
                <w:color w:val="000000"/>
                <w:sz w:val="16"/>
              </w:rPr>
            </w:pPr>
            <w:bookmarkStart w:name="_6a101dbb_64d1_4187_bc49_bda51a2949af" w:id="965"/>
            <w:bookmarkEnd w:id="964"/>
            <w:r>
              <w:rPr>
                <w:rFonts w:ascii="Times New Roman" w:hAnsi="Times New Roman" w:eastAsia="Times New Roman" w:cs="Times New Roman"/>
                <w:b/>
                <w:color w:val="000000"/>
                <w:sz w:val="16"/>
              </w:rPr>
              <w:t>Investing activities</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6"/>
              </w:rPr>
            </w:pP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94c4daf7_9291_43a0_affa_1b30b7992df2" w:id="966"/>
            <w:bookmarkEnd w:id="965"/>
            <w:r>
              <w:rPr>
                <w:rFonts w:ascii="Times New Roman" w:hAnsi="Times New Roman" w:eastAsia="Times New Roman" w:cs="Times New Roman"/>
                <w:color w:val="000000"/>
                <w:sz w:val="16"/>
              </w:rPr>
              <w:t>Proceeds from sale of an associate</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6</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4,947</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8"/>
              </w:rPr>
            </w:pPr>
            <w:r>
              <w:rPr>
                <w:rFonts w:ascii="Times New Roman" w:hAnsi="Times New Roman" w:eastAsia="Times New Roman" w:cs="Times New Roman"/>
                <w:color w:val="000000"/>
                <w:sz w:val="18"/>
              </w:rPr>
              <w:t>4,855</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baeef579_5dc4_43ba_b90f_b8590bda33c1" w:id="967"/>
            <w:bookmarkEnd w:id="966"/>
            <w:r>
              <w:rPr>
                <w:rFonts w:ascii="Times New Roman" w:hAnsi="Times New Roman" w:eastAsia="Times New Roman" w:cs="Times New Roman"/>
                <w:color w:val="000000"/>
                <w:sz w:val="16"/>
              </w:rPr>
              <w:t>Cash paid as investments in associates</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(660)</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8f117094_8dfd_423f_abe8_ac11d0f92682" w:id="968"/>
            <w:bookmarkEnd w:id="967"/>
            <w:r>
              <w:rPr>
                <w:rFonts w:ascii="Times New Roman" w:hAnsi="Times New Roman" w:eastAsia="Times New Roman" w:cs="Times New Roman"/>
                <w:color w:val="000000"/>
                <w:sz w:val="16"/>
              </w:rPr>
              <w:t xml:space="preserve">Cash received upon /(used in) business combination </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(141)</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(501)</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1,012</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36cbb657_07be_42f6_9148_2b275fda68c9" w:id="969"/>
            <w:bookmarkEnd w:id="968"/>
            <w:r>
              <w:rPr>
                <w:rFonts w:ascii="Times New Roman" w:hAnsi="Times New Roman" w:eastAsia="Times New Roman" w:cs="Times New Roman"/>
                <w:color w:val="000000"/>
                <w:sz w:val="16"/>
              </w:rPr>
              <w:t>Purchase of property and equipment</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(260)</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(302)</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(232)</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b649d672_3023_437b_ad0b_e8ccd0f5b096" w:id="970"/>
            <w:bookmarkEnd w:id="969"/>
            <w:r>
              <w:rPr>
                <w:rFonts w:ascii="Times New Roman" w:hAnsi="Times New Roman" w:eastAsia="Times New Roman" w:cs="Times New Roman"/>
                <w:color w:val="000000"/>
                <w:sz w:val="16"/>
              </w:rPr>
              <w:t>Purchase of intangible assets</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(176)</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(213)</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(234)</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0be7b414_0899_46e8_b8b0_cc8b67667675" w:id="971"/>
            <w:bookmarkEnd w:id="970"/>
            <w:r>
              <w:rPr>
                <w:rFonts w:ascii="Times New Roman" w:hAnsi="Times New Roman" w:eastAsia="Times New Roman" w:cs="Times New Roman"/>
                <w:color w:val="000000"/>
                <w:sz w:val="16"/>
              </w:rPr>
              <w:t xml:space="preserve">Proceeds from sale of fixed and intangible assets </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124</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11</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7</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06604193_243c_4a89_be7c_938b846b8652" w:id="972"/>
            <w:bookmarkEnd w:id="971"/>
            <w:r>
              <w:rPr>
                <w:rFonts w:ascii="Times New Roman" w:hAnsi="Times New Roman" w:eastAsia="Times New Roman" w:cs="Times New Roman"/>
                <w:color w:val="000000"/>
                <w:sz w:val="16"/>
              </w:rPr>
              <w:t>Loans issued</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(16)</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(25)</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(29)</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67f3fe36_4249_4c92_a3b6_ab16ef11949f" w:id="973"/>
            <w:bookmarkEnd w:id="972"/>
            <w:r>
              <w:rPr>
                <w:rFonts w:ascii="Times New Roman" w:hAnsi="Times New Roman" w:eastAsia="Times New Roman" w:cs="Times New Roman"/>
                <w:color w:val="000000"/>
                <w:sz w:val="16"/>
              </w:rPr>
              <w:t>Repayment of loans issued</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51</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162</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32</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1795a4b8_f933_4dda_9749_457a28f73e72" w:id="974"/>
            <w:bookmarkEnd w:id="973"/>
            <w:r>
              <w:rPr>
                <w:rFonts w:ascii="Times New Roman" w:hAnsi="Times New Roman" w:eastAsia="Times New Roman" w:cs="Times New Roman"/>
                <w:color w:val="000000"/>
                <w:sz w:val="16"/>
              </w:rPr>
              <w:t xml:space="preserve">Purchase of debt securities </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(4,444)</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(10,584)</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(5,938)</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80ab34ad_2dc2_4132_8e1e_78fbb3dee5b6" w:id="975"/>
            <w:bookmarkEnd w:id="974"/>
            <w:r>
              <w:rPr>
                <w:rFonts w:ascii="Times New Roman" w:hAnsi="Times New Roman" w:eastAsia="Times New Roman" w:cs="Times New Roman"/>
                <w:color w:val="000000"/>
                <w:sz w:val="16"/>
              </w:rPr>
              <w:t>Proceeds from sale and redemption of debt securities</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3,230</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3,737</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2,391</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2d4ee6fa_5476_4d49_9a81_f68841e30979" w:id="976"/>
            <w:bookmarkEnd w:id="975"/>
            <w:r>
              <w:rPr>
                <w:rFonts w:ascii="Times New Roman" w:hAnsi="Times New Roman" w:eastAsia="Times New Roman" w:cs="Times New Roman"/>
                <w:color w:val="000000"/>
                <w:sz w:val="16"/>
              </w:rPr>
              <w:t>Dividends received from an associate</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153</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532</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b/>
                <w:color w:val="000000"/>
                <w:sz w:val="16"/>
              </w:rPr>
            </w:pPr>
            <w:bookmarkStart w:name="_d798ccd7_9e26_4ec8_8d77_5df00859130a" w:id="977"/>
            <w:bookmarkEnd w:id="976"/>
            <w:r>
              <w:rPr>
                <w:rFonts w:ascii="Times New Roman" w:hAnsi="Times New Roman" w:eastAsia="Times New Roman" w:cs="Times New Roman"/>
                <w:b/>
                <w:color w:val="000000"/>
                <w:sz w:val="16"/>
              </w:rPr>
              <w:t>Net cash used in investing activities</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b/>
                <w:color w:val="000000"/>
                <w:sz w:val="16"/>
              </w:rPr>
            </w:pPr>
            <w:r>
              <w:rPr>
                <w:rFonts w:ascii="Times New Roman" w:hAnsi="Times New Roman" w:eastAsia="Times New Roman" w:cs="Times New Roman"/>
                <w:b/>
                <w:color w:val="000000"/>
                <w:sz w:val="16"/>
              </w:rPr>
              <w:t xml:space="preserve"> (1,479)</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b/>
                <w:color w:val="000000"/>
                <w:sz w:val="16"/>
              </w:rPr>
            </w:pPr>
            <w:r>
              <w:rPr>
                <w:rFonts w:ascii="Times New Roman" w:hAnsi="Times New Roman" w:eastAsia="Times New Roman" w:cs="Times New Roman"/>
                <w:b/>
                <w:color w:val="000000"/>
                <w:sz w:val="16"/>
              </w:rPr>
              <w:t xml:space="preserve"> (2,236)</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8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1,204</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b/>
                <w:color w:val="000000"/>
                <w:sz w:val="16"/>
              </w:rPr>
            </w:pPr>
            <w:bookmarkStart w:name="_593a7654_b5dd_493e_920f_b8c35a40c1a1" w:id="978"/>
            <w:bookmarkEnd w:id="977"/>
            <w:r>
              <w:rPr>
                <w:rFonts w:ascii="Times New Roman" w:hAnsi="Times New Roman" w:eastAsia="Times New Roman" w:cs="Times New Roman"/>
                <w:b/>
                <w:color w:val="000000"/>
                <w:sz w:val="16"/>
              </w:rPr>
              <w:t>Financing activities</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88" w:type="pct"/>
            <w:tcBorders>
              <w:top w:val="nil"/>
              <w:left w:val="nil"/>
              <w:bottom w:val="nil"/>
              <w:right w:val="nil"/>
              <w:tl2br w:val="nil"/>
              <w:tr2bl w:val="nil"/>
            </w:tcBorders>
            <w:noWrap/>
            <w:vAlign w:val="bottom"/>
          </w:tcPr>
          <w:p w:rsidR="009534E2" w:rsidRDefault="009534E2">
            <w:pPr>
              <w:keepNext/>
              <w:spacing w:after="1"/>
              <w:jc w:val="right"/>
              <w:rPr>
                <w:color w:val="000000"/>
                <w:sz w:val="16"/>
              </w:rPr>
            </w:pP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d5b711e4_d650_4fa0_9912_b95c593c03ed" w:id="979"/>
            <w:bookmarkEnd w:id="978"/>
            <w:r>
              <w:rPr>
                <w:rFonts w:ascii="Times New Roman" w:hAnsi="Times New Roman" w:eastAsia="Times New Roman" w:cs="Times New Roman"/>
                <w:color w:val="000000"/>
                <w:sz w:val="16"/>
              </w:rPr>
              <w:t>Proceeds/(repayment) from/(of) debt</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19</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4,921</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(1,854)</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(810)</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11b3b20a_66fa_4462_b263_bd63f89731e8" w:id="980"/>
            <w:bookmarkEnd w:id="979"/>
            <w:r>
              <w:rPr>
                <w:rFonts w:ascii="Times New Roman" w:hAnsi="Times New Roman" w:eastAsia="Times New Roman" w:cs="Times New Roman"/>
                <w:color w:val="000000"/>
                <w:sz w:val="16"/>
              </w:rPr>
              <w:t>Payment of principal portion of lease liabilities</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22</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(301)</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(274)</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(233)</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d9a7eab3_e30a_4429_b863_78f32adacb77" w:id="981"/>
            <w:bookmarkEnd w:id="980"/>
            <w:r>
              <w:rPr>
                <w:rFonts w:ascii="Times New Roman" w:hAnsi="Times New Roman" w:eastAsia="Times New Roman" w:cs="Times New Roman"/>
                <w:color w:val="000000"/>
                <w:sz w:val="16"/>
              </w:rPr>
              <w:t>Dividends paid to owners of the Group</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26</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(4,804)</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(5,211)</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color w:val="000000"/>
                <w:sz w:val="16"/>
              </w:rPr>
            </w:pPr>
            <w:bookmarkStart w:name="_33c91e54_805e_4627_9ea7_a4407c159fc2" w:id="982"/>
            <w:bookmarkStart w:name="_59e36a8d_b1b4_401b_8d25_4806430bcb6c" w:colFirst="0" w:colLast="0" w:id="983"/>
            <w:bookmarkEnd w:id="981"/>
            <w:r>
              <w:rPr>
                <w:rFonts w:ascii="Times New Roman" w:hAnsi="Times New Roman" w:eastAsia="Times New Roman" w:cs="Times New Roman"/>
                <w:color w:val="000000"/>
                <w:sz w:val="16"/>
              </w:rPr>
              <w:t>Dividends paid to non-controlling shareholders</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(74)</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(78)</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nil"/>
              <w:right w:val="nil"/>
              <w:tl2br w:val="nil"/>
              <w:tr2bl w:val="nil"/>
            </w:tcBorders>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(173)</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2ce0327a_8241_4cc0_8d64_5918730c332c" w:id="984"/>
            <w:bookmarkEnd w:id="982"/>
            <w:bookmarkEnd w:id="983"/>
            <w:r>
              <w:rPr>
                <w:rFonts w:ascii="Times New Roman" w:hAnsi="Times New Roman" w:eastAsia="Times New Roman" w:cs="Times New Roman"/>
                <w:color w:val="000000"/>
                <w:sz w:val="16"/>
              </w:rPr>
              <w:t>Other</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6"/>
              </w:rPr>
            </w:pP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(29)</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w:t>
            </w:r>
          </w:p>
        </w:tc>
      </w:tr>
      <w:tr w:rsidR="009534E2">
        <w:trPr>
          <w:jc w:val="center"/>
        </w:trPr>
        <w:tc>
          <w:tcPr>
            <w:tcW w:w="3119" w:type="pct"/>
            <w:tcBorders>
              <w:top w:val="nil"/>
              <w:left w:val="nil"/>
              <w:bottom w:val="nil"/>
              <w:right w:val="nil"/>
              <w:tl2br w:val="nil"/>
              <w:tr2bl w:val="nil"/>
            </w:tcBorders>
            <w:vAlign w:val="bottom"/>
          </w:tcPr>
          <w:p w:rsidR="009534E2" w:rsidRDefault="003369EB">
            <w:pPr>
              <w:keepNext/>
              <w:spacing w:after="1"/>
              <w:rPr>
                <w:b/>
                <w:color w:val="000000"/>
                <w:sz w:val="16"/>
              </w:rPr>
            </w:pPr>
            <w:bookmarkStart w:name="_f4d048b0_3aee_467b_81ad_5f09776333dc" w:id="985"/>
            <w:bookmarkStart w:name="_71da82e1_95cb_4e34_a6f9_4b7ba436705f" w:colFirst="4" w:colLast="4" w:id="986"/>
            <w:bookmarkStart w:name="_2d0e3af0_9b1f_4e40_8b9b_df62a61e3526" w:colFirst="6" w:colLast="6" w:id="987"/>
            <w:bookmarkStart w:name="_10b7d498_34c1_4aa7_a6dd_52556ac4e7d8" w:colFirst="8" w:colLast="8" w:id="988"/>
            <w:bookmarkEnd w:id="984"/>
            <w:r>
              <w:rPr>
                <w:rFonts w:ascii="Times New Roman" w:hAnsi="Times New Roman" w:eastAsia="Times New Roman" w:cs="Times New Roman"/>
                <w:b/>
                <w:color w:val="000000"/>
                <w:sz w:val="16"/>
              </w:rPr>
              <w:t>Net cash used in financing activities</w:t>
            </w:r>
          </w:p>
        </w:tc>
        <w:tc>
          <w:tcPr>
            <w:tcW w:w="99" w:type="pct"/>
            <w:tcBorders>
              <w:top w:val="nil"/>
              <w:left w:val="nil"/>
              <w:bottom w:val="nil"/>
              <w:right w:val="nil"/>
              <w:tl2br w:val="nil"/>
              <w:tr2bl w:val="nil"/>
            </w:tcBorders>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jc w:val="right"/>
              <w:rPr>
                <w:b/>
                <w:color w:val="000000"/>
                <w:sz w:val="16"/>
              </w:rPr>
            </w:pPr>
            <w:r>
              <w:rPr>
                <w:rFonts w:ascii="Times New Roman" w:hAnsi="Times New Roman" w:eastAsia="Times New Roman" w:cs="Times New Roman"/>
                <w:b/>
                <w:color w:val="000000"/>
                <w:sz w:val="16"/>
              </w:rPr>
              <w:t xml:space="preserve"> (287)</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jc w:val="right"/>
              <w:rPr>
                <w:b/>
                <w:color w:val="000000"/>
                <w:sz w:val="16"/>
              </w:rPr>
            </w:pPr>
            <w:r>
              <w:rPr>
                <w:rFonts w:ascii="Times New Roman" w:hAnsi="Times New Roman" w:eastAsia="Times New Roman" w:cs="Times New Roman"/>
                <w:b/>
                <w:color w:val="000000"/>
                <w:sz w:val="16"/>
              </w:rPr>
              <w:t xml:space="preserve"> (7,417)</w:t>
            </w:r>
          </w:p>
        </w:tc>
        <w:tc>
          <w:tcPr>
            <w:tcW w:w="99" w:type="pct"/>
            <w:tcBorders>
              <w:top w:val="nil"/>
              <w:left w:val="nil"/>
              <w:bottom w:val="nil"/>
              <w:right w:val="nil"/>
              <w:tl2br w:val="nil"/>
              <w:tr2bl w:val="nil"/>
            </w:tcBorders>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88" w:type="pct"/>
            <w:tcBorders>
              <w:top w:val="nil"/>
              <w:left w:val="nil"/>
              <w:bottom w:val="single" w:color="000000" w:sz="4" w:space="0"/>
              <w:right w:val="nil"/>
              <w:tl2br w:val="nil"/>
              <w:tr2bl w:val="nil"/>
            </w:tcBorders>
            <w:noWrap/>
            <w:vAlign w:val="bottom"/>
          </w:tcPr>
          <w:p w:rsidR="009534E2" w:rsidRDefault="003369EB">
            <w:pPr>
              <w:keepNext/>
              <w:spacing w:after="1"/>
              <w:jc w:val="right"/>
              <w:rPr>
                <w:b/>
                <w:color w:val="000000"/>
                <w:sz w:val="16"/>
              </w:rPr>
            </w:pPr>
            <w:r>
              <w:rPr>
                <w:rFonts w:ascii="Times New Roman" w:hAnsi="Times New Roman" w:eastAsia="Times New Roman" w:cs="Times New Roman"/>
                <w:b/>
                <w:color w:val="000000"/>
                <w:sz w:val="16"/>
              </w:rPr>
              <w:t xml:space="preserve"> (1,216)</w:t>
            </w:r>
          </w:p>
        </w:tc>
      </w:tr>
      <w:tr w:rsidR="009534E2">
        <w:trPr>
          <w:jc w:val="center"/>
        </w:trPr>
        <w:tc>
          <w:tcPr>
            <w:tcW w:w="311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6"/>
              </w:rPr>
            </w:pPr>
            <w:bookmarkStart w:name="_96841647_6ea0_4c6d_807d_1288b5b12d97" w:id="989"/>
            <w:bookmarkStart w:name="_aeba4320_0454_41b8_b8d4_bac66a8632d9" w:colFirst="4" w:colLast="4" w:id="990"/>
            <w:bookmarkStart w:name="_2452b5f7_9490_4fb6_9497_6b1f81384f6c" w:colFirst="6" w:colLast="6" w:id="991"/>
            <w:bookmarkStart w:name="_994922b4_b9e6_40a9_8c57_a135db799712" w:colFirst="8" w:colLast="8" w:id="992"/>
            <w:bookmarkEnd w:id="985"/>
            <w:bookmarkEnd w:id="986"/>
            <w:bookmarkEnd w:id="987"/>
            <w:bookmarkEnd w:id="988"/>
            <w:r>
              <w:rPr>
                <w:rFonts w:ascii="Times New Roman" w:hAnsi="Times New Roman" w:eastAsia="Times New Roman" w:cs="Times New Roman"/>
                <w:color w:val="000000"/>
                <w:sz w:val="16"/>
              </w:rPr>
              <w:t>Effect of exchange rate changes on cash and cash equivalents</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17"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 xml:space="preserve"> 945</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(186)</w:t>
            </w:r>
          </w:p>
        </w:tc>
        <w:tc>
          <w:tcPr>
            <w:tcW w:w="9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r>
              <w:rPr>
                <w:rFonts w:ascii="Times New Roman" w:hAnsi="Times New Roman" w:eastAsia="Times New Roman" w:cs="Times New Roman"/>
                <w:color w:val="000000"/>
                <w:sz w:val="16"/>
              </w:rPr>
              <w:t> </w:t>
            </w:r>
          </w:p>
        </w:tc>
        <w:tc>
          <w:tcPr>
            <w:tcW w:w="38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6"/>
              </w:rPr>
            </w:pPr>
            <w:r>
              <w:rPr>
                <w:rFonts w:ascii="Times New Roman" w:hAnsi="Times New Roman" w:eastAsia="Times New Roman" w:cs="Times New Roman"/>
                <w:color w:val="000000"/>
                <w:sz w:val="16"/>
              </w:rPr>
              <w:t xml:space="preserve"> (450)</w:t>
            </w:r>
          </w:p>
        </w:tc>
      </w:tr>
      <w:tr w:rsidR="009534E2">
        <w:trPr>
          <w:jc w:val="center"/>
        </w:trPr>
        <w:tc>
          <w:tcPr>
            <w:tcW w:w="3119" w:type="pct"/>
            <w:tcBorders>
              <w:top w:val="nil"/>
              <w:left w:val="nil"/>
              <w:bottom w:val="nil"/>
              <w:right w:val="nil"/>
              <w:tl2br w:val="nil"/>
              <w:tr2bl w:val="nil"/>
            </w:tcBorders>
            <w:noWrap/>
            <w:vAlign w:val="bottom"/>
          </w:tcPr>
          <w:p w:rsidR="009534E2" w:rsidRDefault="003369EB">
            <w:pPr>
              <w:keepNext/>
              <w:spacing w:after="1"/>
              <w:rPr>
                <w:b/>
                <w:color w:val="000000"/>
                <w:sz w:val="16"/>
              </w:rPr>
            </w:pPr>
            <w:bookmarkStart w:name="_3b76ffdc_4c35_45aa_87a7_949367ff6ab1" w:id="993"/>
            <w:bookmarkEnd w:id="989"/>
            <w:bookmarkEnd w:id="990"/>
            <w:bookmarkEnd w:id="991"/>
            <w:bookmarkEnd w:id="992"/>
            <w:r>
              <w:rPr>
                <w:rFonts w:ascii="Times New Roman" w:hAnsi="Times New Roman" w:eastAsia="Times New Roman" w:cs="Times New Roman"/>
                <w:b/>
                <w:color w:val="000000"/>
                <w:sz w:val="16"/>
              </w:rPr>
              <w:t>Net increase/(decrease) in cash and cash equivalents</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9534E2">
            <w:pPr>
              <w:keepNext/>
              <w:spacing w:after="1"/>
              <w:jc w:val="center"/>
              <w:rPr>
                <w:color w:val="000000"/>
                <w:sz w:val="16"/>
              </w:rPr>
            </w:pP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5,281</w:t>
            </w:r>
          </w:p>
        </w:tc>
        <w:tc>
          <w:tcPr>
            <w:tcW w:w="99" w:type="pct"/>
            <w:tcBorders>
              <w:top w:val="nil"/>
              <w:left w:val="nil"/>
              <w:bottom w:val="nil"/>
              <w:right w:val="nil"/>
              <w:tl2br w:val="nil"/>
              <w:tr2bl w:val="nil"/>
            </w:tcBorders>
            <w:noWrap/>
            <w:vAlign w:val="bottom"/>
          </w:tcPr>
          <w:p w:rsidR="009534E2" w:rsidRDefault="009534E2">
            <w:pPr>
              <w:keepNext/>
              <w:spacing w:after="1"/>
              <w:rPr>
                <w:b/>
                <w:color w:val="000000"/>
                <w:sz w:val="16"/>
              </w:rPr>
            </w:pP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jc w:val="right"/>
              <w:rPr>
                <w:b/>
                <w:color w:val="000000"/>
                <w:sz w:val="16"/>
              </w:rPr>
            </w:pPr>
            <w:r>
              <w:rPr>
                <w:rFonts w:ascii="Times New Roman" w:hAnsi="Times New Roman" w:eastAsia="Times New Roman" w:cs="Times New Roman"/>
                <w:b/>
                <w:color w:val="000000"/>
                <w:sz w:val="16"/>
              </w:rPr>
              <w:t xml:space="preserve"> (14,349)</w:t>
            </w:r>
          </w:p>
        </w:tc>
        <w:tc>
          <w:tcPr>
            <w:tcW w:w="99" w:type="pct"/>
            <w:tcBorders>
              <w:top w:val="nil"/>
              <w:left w:val="nil"/>
              <w:bottom w:val="nil"/>
              <w:right w:val="nil"/>
              <w:tl2br w:val="nil"/>
              <w:tr2bl w:val="nil"/>
            </w:tcBorders>
            <w:noWrap/>
            <w:vAlign w:val="bottom"/>
          </w:tcPr>
          <w:p w:rsidR="009534E2" w:rsidRDefault="009534E2">
            <w:pPr>
              <w:keepNext/>
              <w:spacing w:after="1"/>
              <w:rPr>
                <w:b/>
                <w:color w:val="000000"/>
                <w:sz w:val="16"/>
              </w:rPr>
            </w:pPr>
          </w:p>
        </w:tc>
        <w:tc>
          <w:tcPr>
            <w:tcW w:w="388"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 xml:space="preserve"> 14,429</w:t>
            </w:r>
          </w:p>
        </w:tc>
      </w:tr>
      <w:tr w:rsidR="009534E2">
        <w:trPr>
          <w:jc w:val="center"/>
        </w:trPr>
        <w:tc>
          <w:tcPr>
            <w:tcW w:w="311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6"/>
              </w:rPr>
            </w:pPr>
            <w:bookmarkStart w:name="_b83ef0b5_216b_4b94_ae68_5539a2c1b349" w:id="994"/>
            <w:bookmarkStart w:name="_4a3c229d_0200_4c49_91ba_fc0300a1ed4e" w:colFirst="4" w:colLast="4" w:id="995"/>
            <w:bookmarkStart w:name="_45a33d37_491d_4d85_99b6_5401de862653" w:colFirst="6" w:colLast="6" w:id="996"/>
            <w:bookmarkStart w:name="_18c425a6_3265_497d_8aa3_e7b814c43844" w:colFirst="8" w:colLast="8" w:id="997"/>
            <w:bookmarkEnd w:id="993"/>
            <w:r>
              <w:rPr>
                <w:rFonts w:ascii="Times New Roman" w:hAnsi="Times New Roman" w:eastAsia="Times New Roman" w:cs="Times New Roman"/>
                <w:color w:val="000000"/>
                <w:sz w:val="16"/>
              </w:rPr>
              <w:t>Cash and cash equivalents at the beginning of year</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14</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42,101</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47,382</w:t>
            </w:r>
          </w:p>
        </w:tc>
        <w:tc>
          <w:tcPr>
            <w:tcW w:w="9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6"/>
              </w:rPr>
            </w:pPr>
          </w:p>
        </w:tc>
        <w:tc>
          <w:tcPr>
            <w:tcW w:w="38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sz w:val="16"/>
              </w:rPr>
            </w:pPr>
            <w:r>
              <w:rPr>
                <w:rFonts w:ascii="Times New Roman" w:hAnsi="Times New Roman" w:eastAsia="Times New Roman" w:cs="Times New Roman"/>
                <w:color w:val="000000"/>
                <w:sz w:val="16"/>
              </w:rPr>
              <w:t>33,033</w:t>
            </w:r>
          </w:p>
        </w:tc>
      </w:tr>
      <w:tr w:rsidR="009534E2">
        <w:trPr>
          <w:jc w:val="center"/>
        </w:trPr>
        <w:tc>
          <w:tcPr>
            <w:tcW w:w="3119" w:type="pct"/>
            <w:tcBorders>
              <w:top w:val="nil"/>
              <w:left w:val="nil"/>
              <w:bottom w:val="nil"/>
              <w:right w:val="nil"/>
              <w:tl2br w:val="nil"/>
              <w:tr2bl w:val="nil"/>
            </w:tcBorders>
            <w:noWrap/>
            <w:vAlign w:val="bottom"/>
          </w:tcPr>
          <w:p w:rsidR="009534E2" w:rsidRDefault="003369EB">
            <w:pPr>
              <w:keepNext/>
              <w:spacing w:after="1"/>
              <w:rPr>
                <w:b/>
                <w:color w:val="000000"/>
                <w:sz w:val="16"/>
              </w:rPr>
            </w:pPr>
            <w:bookmarkStart w:name="_b1671138_0009_495b_9ae0_e757d98f77d8" w:id="998"/>
            <w:bookmarkEnd w:id="994"/>
            <w:bookmarkEnd w:id="995"/>
            <w:bookmarkEnd w:id="996"/>
            <w:bookmarkEnd w:id="997"/>
            <w:r>
              <w:rPr>
                <w:rFonts w:ascii="Times New Roman" w:hAnsi="Times New Roman" w:eastAsia="Times New Roman" w:cs="Times New Roman"/>
                <w:b/>
                <w:color w:val="000000"/>
                <w:sz w:val="16"/>
              </w:rPr>
              <w:t>Cash and cash equivalents at the end of year</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17" w:type="pct"/>
            <w:tcBorders>
              <w:top w:val="nil"/>
              <w:left w:val="nil"/>
              <w:bottom w:val="nil"/>
              <w:right w:val="nil"/>
              <w:tl2br w:val="nil"/>
              <w:tr2bl w:val="nil"/>
            </w:tcBorders>
            <w:noWrap/>
            <w:vAlign w:val="bottom"/>
          </w:tcPr>
          <w:p w:rsidR="009534E2" w:rsidRDefault="003369EB">
            <w:pPr>
              <w:keepNext/>
              <w:spacing w:after="1"/>
              <w:jc w:val="center"/>
              <w:rPr>
                <w:color w:val="000000"/>
                <w:sz w:val="16"/>
              </w:rPr>
            </w:pPr>
            <w:r>
              <w:rPr>
                <w:rFonts w:ascii="Times New Roman" w:hAnsi="Times New Roman" w:eastAsia="Times New Roman" w:cs="Times New Roman"/>
                <w:color w:val="000000"/>
                <w:sz w:val="16"/>
              </w:rPr>
              <w:t>14</w:t>
            </w:r>
          </w:p>
        </w:tc>
        <w:tc>
          <w:tcPr>
            <w:tcW w:w="99" w:type="pct"/>
            <w:tcBorders>
              <w:top w:val="nil"/>
              <w:left w:val="nil"/>
              <w:bottom w:val="nil"/>
              <w:right w:val="nil"/>
              <w:tl2br w:val="nil"/>
              <w:tr2bl w:val="nil"/>
            </w:tcBorders>
            <w:noWrap/>
            <w:vAlign w:val="bottom"/>
          </w:tcPr>
          <w:p w:rsidR="009534E2" w:rsidRDefault="009534E2">
            <w:pPr>
              <w:keepNext/>
              <w:spacing w:after="1"/>
              <w:rPr>
                <w:color w:val="000000"/>
                <w:sz w:val="16"/>
              </w:rPr>
            </w:pP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47,382</w:t>
            </w:r>
          </w:p>
        </w:tc>
        <w:tc>
          <w:tcPr>
            <w:tcW w:w="99" w:type="pct"/>
            <w:tcBorders>
              <w:top w:val="nil"/>
              <w:left w:val="nil"/>
              <w:bottom w:val="nil"/>
              <w:right w:val="nil"/>
              <w:tl2br w:val="nil"/>
              <w:tr2bl w:val="nil"/>
            </w:tcBorders>
            <w:noWrap/>
            <w:vAlign w:val="bottom"/>
          </w:tcPr>
          <w:p w:rsidR="009534E2" w:rsidRDefault="009534E2">
            <w:pPr>
              <w:keepNext/>
              <w:spacing w:after="1"/>
              <w:rPr>
                <w:b/>
                <w:color w:val="000000"/>
                <w:sz w:val="16"/>
              </w:rPr>
            </w:pPr>
          </w:p>
        </w:tc>
        <w:tc>
          <w:tcPr>
            <w:tcW w:w="390"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33,033</w:t>
            </w:r>
          </w:p>
        </w:tc>
        <w:tc>
          <w:tcPr>
            <w:tcW w:w="99" w:type="pct"/>
            <w:tcBorders>
              <w:top w:val="nil"/>
              <w:left w:val="nil"/>
              <w:bottom w:val="nil"/>
              <w:right w:val="nil"/>
              <w:tl2br w:val="nil"/>
              <w:tr2bl w:val="nil"/>
            </w:tcBorders>
            <w:noWrap/>
            <w:vAlign w:val="bottom"/>
          </w:tcPr>
          <w:p w:rsidR="009534E2" w:rsidRDefault="009534E2">
            <w:pPr>
              <w:keepNext/>
              <w:spacing w:after="1"/>
              <w:rPr>
                <w:b/>
                <w:color w:val="000000"/>
                <w:sz w:val="16"/>
              </w:rPr>
            </w:pPr>
          </w:p>
        </w:tc>
        <w:tc>
          <w:tcPr>
            <w:tcW w:w="388"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sz w:val="16"/>
              </w:rPr>
            </w:pPr>
            <w:r>
              <w:rPr>
                <w:rFonts w:ascii="Times New Roman" w:hAnsi="Times New Roman" w:eastAsia="Times New Roman" w:cs="Times New Roman"/>
                <w:b/>
                <w:color w:val="000000"/>
                <w:sz w:val="16"/>
              </w:rPr>
              <w:t>47,462</w:t>
            </w:r>
          </w:p>
        </w:tc>
      </w:tr>
      <w:bookmarkEnd w:id="934"/>
      <w:bookmarkEnd w:id="998"/>
    </w:tbl>
    <w:p w:rsidR="009534E2" w:rsidRDefault="009534E2">
      <w:pPr>
        <w:pStyle w:val="BodyText"/>
        <w:spacing w:after="0"/>
        <w:rPr>
          <w:rFonts w:asciiTheme="majorHAnsi" w:hAnsiTheme="majorHAnsi" w:cstheme="majorHAnsi"/>
          <w:lang w:val="ru-RU" w:eastAsia="ru-RU"/>
        </w:rPr>
      </w:pPr>
    </w:p>
    <w:p w:rsidR="009534E2" w:rsidRDefault="003369EB">
      <w:pPr>
        <w:pStyle w:val="BodyText"/>
        <w:tabs>
          <w:tab w:val="left" w:pos="360"/>
        </w:tabs>
        <w:spacing w:after="0"/>
        <w:ind w:left="360" w:hanging="360"/>
        <w:jc w:val="center"/>
        <w:rPr>
          <w:rFonts w:eastAsia="Times New Roman" w:asciiTheme="majorHAnsi" w:hAnsiTheme="majorHAnsi" w:cstheme="majorHAnsi"/>
          <w:i/>
          <w:lang w:eastAsia="ru-RU"/>
        </w:rPr>
      </w:pPr>
      <w:r>
        <w:rPr>
          <w:rFonts w:eastAsia="Times New Roman" w:asciiTheme="majorHAnsi" w:hAnsiTheme="majorHAnsi" w:cstheme="majorHAnsi"/>
          <w:i/>
          <w:lang w:eastAsia="ru-RU"/>
        </w:rPr>
        <w:t>The accompanying notes form an integral part of these consolidated financial statements.</w:t>
      </w:r>
    </w:p>
    <w:p w:rsidR="009534E2" w:rsidRDefault="009534E2">
      <w:pPr>
        <w:rPr>
          <w:rFonts w:eastAsia="Times New Roman" w:asciiTheme="majorHAnsi" w:hAnsiTheme="majorHAnsi" w:cstheme="majorHAnsi"/>
          <w:sz w:val="6"/>
          <w:szCs w:val="6"/>
          <w:lang w:eastAsia="ru-RU"/>
        </w:rPr>
      </w:pPr>
    </w:p>
    <w:p w:rsidR="009534E2" w:rsidRDefault="009534E2">
      <w:pPr>
        <w:rPr>
          <w:rFonts w:eastAsia="Times New Roman" w:asciiTheme="majorHAnsi" w:hAnsiTheme="majorHAnsi" w:cstheme="majorHAnsi"/>
          <w:sz w:val="16"/>
        </w:rPr>
        <w:sectPr w:rsidR="009534E2">
          <w:headerReference w:type="default" r:id="rId36"/>
          <w:headerReference w:type="first" r:id="rId37"/>
          <w:footerReference w:type="first" r:id="rId38"/>
          <w:pgSz w:w="12240" w:h="15840" w:code="1"/>
          <w:pgMar w:top="720" w:right="720" w:bottom="720" w:left="720" w:header="720" w:footer="720" w:gutter="0"/>
          <w:cols w:space="720"/>
          <w:titlePg/>
          <w:docGrid w:linePitch="360"/>
        </w:sectPr>
      </w:pPr>
    </w:p>
    <w:p w:rsidR="009534E2" w:rsidRDefault="003369EB">
      <w:pPr>
        <w:pStyle w:val="BodyText"/>
        <w:keepNext/>
        <w:jc w:val="center"/>
        <w:rPr>
          <w:rFonts w:eastAsia="Times New Roman" w:asciiTheme="majorHAnsi" w:hAnsiTheme="majorHAnsi" w:cstheme="majorHAnsi"/>
        </w:rPr>
      </w:pPr>
      <w:r>
        <w:rPr>
          <w:rFonts w:eastAsia="Times New Roman" w:asciiTheme="majorHAnsi" w:hAnsiTheme="majorHAnsi" w:cstheme="majorHAnsi"/>
        </w:rPr>
        <w:t>QIWI plc</w:t>
      </w:r>
    </w:p>
    <w:p w:rsidR="009534E2" w:rsidRDefault="003369EB">
      <w:pPr>
        <w:pStyle w:val="BodyText"/>
        <w:keepNext/>
        <w:jc w:val="center"/>
        <w:rPr>
          <w:rFonts w:eastAsia="Times New Roman" w:asciiTheme="majorHAnsi" w:hAnsiTheme="majorHAnsi" w:cstheme="majorHAnsi"/>
        </w:rPr>
      </w:pPr>
      <w:r>
        <w:rPr>
          <w:rFonts w:eastAsia="Times New Roman" w:asciiTheme="majorHAnsi" w:hAnsiTheme="majorHAnsi" w:cstheme="majorHAnsi"/>
        </w:rPr>
        <w:t>Consolidated statement of changes in equity</w:t>
      </w:r>
      <w:bookmarkStart w:name="Consolidatedstatementofchangesinequity_5" w:id="999"/>
      <w:bookmarkEnd w:id="999"/>
    </w:p>
    <w:p w:rsidR="009534E2" w:rsidRDefault="003369EB">
      <w:pPr>
        <w:pStyle w:val="BodyText"/>
        <w:keepNext/>
        <w:jc w:val="center"/>
        <w:rPr>
          <w:rFonts w:eastAsia="Times New Roman" w:asciiTheme="majorHAnsi" w:hAnsiTheme="majorHAnsi" w:cstheme="majorHAnsi"/>
        </w:rPr>
      </w:pPr>
      <w:r>
        <w:rPr>
          <w:rFonts w:eastAsia="Times New Roman" w:asciiTheme="majorHAnsi" w:hAnsiTheme="majorHAnsi" w:cstheme="majorHAnsi"/>
        </w:rPr>
        <w:t>for the year ended December 31, 2022</w:t>
      </w:r>
    </w:p>
    <w:p w:rsidR="009534E2" w:rsidRDefault="003369EB">
      <w:pPr>
        <w:pStyle w:val="BodyText"/>
        <w:keepNext/>
        <w:spacing w:after="0"/>
        <w:jc w:val="center"/>
        <w:rPr>
          <w:rFonts w:eastAsia="Times New Roman" w:asciiTheme="majorHAnsi" w:hAnsiTheme="majorHAnsi" w:cstheme="majorHAnsi"/>
          <w:i/>
        </w:rPr>
      </w:pPr>
      <w:r>
        <w:rPr>
          <w:rFonts w:eastAsia="Times New Roman" w:asciiTheme="majorHAnsi" w:hAnsiTheme="majorHAnsi" w:cstheme="majorHAnsi"/>
          <w:i/>
        </w:rPr>
        <w:t>(in millions of Rubles, except per share data)</w:t>
      </w:r>
    </w:p>
    <w:p w:rsidR="009534E2" w:rsidRDefault="009534E2">
      <w:pPr>
        <w:pStyle w:val="BodyText"/>
        <w:keepNext/>
        <w:spacing w:after="0"/>
        <w:rPr>
          <w:rFonts w:eastAsia="Times New Roman" w:asciiTheme="majorHAnsi" w:hAnsiTheme="majorHAnsi" w:cstheme="majorHAnsi"/>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363"/>
        <w:gridCol w:w="192"/>
        <w:gridCol w:w="783"/>
        <w:gridCol w:w="193"/>
        <w:gridCol w:w="1011"/>
        <w:gridCol w:w="196"/>
        <w:gridCol w:w="789"/>
        <w:gridCol w:w="196"/>
        <w:gridCol w:w="786"/>
        <w:gridCol w:w="196"/>
        <w:gridCol w:w="786"/>
        <w:gridCol w:w="196"/>
        <w:gridCol w:w="786"/>
        <w:gridCol w:w="196"/>
        <w:gridCol w:w="786"/>
        <w:gridCol w:w="196"/>
        <w:gridCol w:w="801"/>
        <w:gridCol w:w="196"/>
        <w:gridCol w:w="795"/>
        <w:gridCol w:w="196"/>
        <w:gridCol w:w="786"/>
        <w:gridCol w:w="200"/>
        <w:gridCol w:w="775"/>
      </w:tblGrid>
      <w:tr w:rsidR="009534E2">
        <w:trPr>
          <w:trHeight w:val="20"/>
          <w:jc w:val="center"/>
        </w:trPr>
        <w:tc>
          <w:tcPr>
            <w:tcW w:w="1168" w:type="pct"/>
            <w:tcBorders>
              <w:top w:val="nil"/>
              <w:left w:val="nil"/>
              <w:bottom w:val="nil"/>
              <w:right w:val="nil"/>
            </w:tcBorders>
            <w:vAlign w:val="bottom"/>
          </w:tcPr>
          <w:p w:rsidR="009534E2" w:rsidRDefault="009534E2">
            <w:pPr>
              <w:keepNext/>
              <w:spacing w:after="1"/>
              <w:rPr>
                <w:sz w:val="2"/>
              </w:rPr>
            </w:pPr>
            <w:bookmarkStart w:name="_d6c983be_d841_4bed_99a1_cfc4419ea1dd" w:colFirst="0" w:colLast="0" w:id="1000"/>
            <w:bookmarkStart w:name="_01e8177f_ee3e_47fb_8a5b_3a667a63a68d" w:colFirst="1" w:colLast="1" w:id="1001"/>
            <w:bookmarkStart w:name="_22a5b43c_967d_48f0_a0a4_ecfd07cc8aff" w:colFirst="2" w:colLast="2" w:id="1002"/>
            <w:bookmarkStart w:name="_01b22b4b_a0f3_43e3_814b_0eaf1861a4e0" w:colFirst="3" w:colLast="3" w:id="1003"/>
            <w:bookmarkStart w:name="_ed102b6b_41d7_4b43_8e1f_819f9d2dbeed" w:colFirst="4" w:colLast="4" w:id="1004"/>
            <w:bookmarkStart w:name="_22089071_84a7_4a6f_8bba_a11ab65986d7" w:colFirst="5" w:colLast="5" w:id="1005"/>
            <w:bookmarkStart w:name="_c72887d4_19c4_4a79_8070_c7d8bb428456" w:colFirst="6" w:colLast="6" w:id="1006"/>
            <w:bookmarkStart w:name="_12c18ecc_ce44_49b1_9b43_e7b7cae05adf" w:colFirst="7" w:colLast="7" w:id="1007"/>
            <w:bookmarkStart w:name="_0d1297d7_ec4e_4cb3_ac55_a848642c193c" w:colFirst="8" w:colLast="8" w:id="1008"/>
            <w:bookmarkStart w:name="_ceec8f77_f17b_4fe8_8920_738b4b229017" w:colFirst="9" w:colLast="9" w:id="1009"/>
            <w:bookmarkStart w:name="_9788c43b_d184_4c6a_93a6_73484d8702fe" w:colFirst="10" w:colLast="10" w:id="1010"/>
            <w:bookmarkStart w:name="_f3bd1ed1_fec3_4e00_a176_dfc7e2668978" w:colFirst="11" w:colLast="11" w:id="1011"/>
            <w:bookmarkStart w:name="_4465a0a7_84e8_4714_8aab_0020780a2a2f" w:colFirst="12" w:colLast="12" w:id="1012"/>
            <w:bookmarkStart w:name="_b2ff24a0_fd7c_4f79_a34c_f91f6fe74e85" w:colFirst="13" w:colLast="13" w:id="1013"/>
            <w:bookmarkStart w:name="_111b1fd7_b791_412a_8efa_54eaf62d2fe4" w:colFirst="14" w:colLast="14" w:id="1014"/>
            <w:bookmarkStart w:name="_3bcb245c_bf67_424f_a68c_e43046643eff" w:colFirst="15" w:colLast="15" w:id="1015"/>
            <w:bookmarkStart w:name="_6e5b77dc_ecfe_4b6f_bff8_d8cba119c6a2" w:colFirst="16" w:colLast="16" w:id="1016"/>
            <w:bookmarkStart w:name="_34dafe90_b165_4ea5_942a_45d91bf19d1f" w:colFirst="17" w:colLast="17" w:id="1017"/>
            <w:bookmarkStart w:name="_0c34e4aa_0773_474b_aa7d_d5a1d9a91d45" w:colFirst="18" w:colLast="18" w:id="1018"/>
            <w:bookmarkStart w:name="_37c6cf44_8d0d_4526_b044_329c3ddfb29b" w:colFirst="19" w:colLast="19" w:id="1019"/>
            <w:bookmarkStart w:name="_f2afee53_7e12_4263_8048_fc681dcf7899" w:colFirst="20" w:colLast="20" w:id="1020"/>
            <w:bookmarkStart w:name="_eb18c27c_0b15_46e2_ae2a_05af3d104829" w:colFirst="21" w:colLast="21" w:id="1021"/>
            <w:bookmarkStart w:name="_06873af1_0d78_4ef4_a2cb_07b8ca2264a6" w:colFirst="22" w:colLast="22" w:id="1022"/>
            <w:bookmarkStart w:name="_bc021103_9ad6_4bc7_9d7b_574dc891f16a" w:id="1023"/>
          </w:p>
        </w:tc>
        <w:tc>
          <w:tcPr>
            <w:tcW w:w="67" w:type="pct"/>
            <w:tcBorders>
              <w:top w:val="nil"/>
              <w:left w:val="nil"/>
              <w:bottom w:val="nil"/>
              <w:right w:val="nil"/>
            </w:tcBorders>
            <w:noWrap/>
            <w:vAlign w:val="bottom"/>
          </w:tcPr>
          <w:p w:rsidR="009534E2" w:rsidRDefault="009534E2">
            <w:pPr>
              <w:keepNext/>
              <w:spacing w:after="1"/>
              <w:rPr>
                <w:sz w:val="2"/>
              </w:rPr>
            </w:pPr>
          </w:p>
        </w:tc>
        <w:tc>
          <w:tcPr>
            <w:tcW w:w="272" w:type="pct"/>
            <w:tcBorders>
              <w:top w:val="nil"/>
              <w:left w:val="nil"/>
              <w:bottom w:val="nil"/>
              <w:right w:val="nil"/>
            </w:tcBorders>
            <w:noWrap/>
            <w:vAlign w:val="bottom"/>
          </w:tcPr>
          <w:p w:rsidR="009534E2" w:rsidRDefault="009534E2">
            <w:pPr>
              <w:keepNext/>
              <w:spacing w:after="1"/>
              <w:rPr>
                <w:sz w:val="2"/>
              </w:rPr>
            </w:pPr>
          </w:p>
        </w:tc>
        <w:tc>
          <w:tcPr>
            <w:tcW w:w="67" w:type="pct"/>
            <w:tcBorders>
              <w:top w:val="nil"/>
              <w:left w:val="nil"/>
              <w:bottom w:val="nil"/>
              <w:right w:val="nil"/>
            </w:tcBorders>
            <w:noWrap/>
            <w:vAlign w:val="bottom"/>
          </w:tcPr>
          <w:p w:rsidR="009534E2" w:rsidRDefault="009534E2">
            <w:pPr>
              <w:keepNext/>
              <w:spacing w:after="1"/>
              <w:rPr>
                <w:sz w:val="2"/>
              </w:rPr>
            </w:pPr>
          </w:p>
        </w:tc>
        <w:tc>
          <w:tcPr>
            <w:tcW w:w="351"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74"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73"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73"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73"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73"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78"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76"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73" w:type="pct"/>
            <w:tcBorders>
              <w:top w:val="nil"/>
              <w:left w:val="nil"/>
              <w:bottom w:val="nil"/>
              <w:right w:val="nil"/>
            </w:tcBorders>
            <w:noWrap/>
            <w:vAlign w:val="bottom"/>
          </w:tcPr>
          <w:p w:rsidR="009534E2" w:rsidRDefault="009534E2">
            <w:pPr>
              <w:keepNext/>
              <w:spacing w:after="1"/>
              <w:rPr>
                <w:sz w:val="2"/>
              </w:rPr>
            </w:pPr>
          </w:p>
        </w:tc>
        <w:tc>
          <w:tcPr>
            <w:tcW w:w="69" w:type="pct"/>
            <w:tcBorders>
              <w:top w:val="nil"/>
              <w:left w:val="nil"/>
              <w:bottom w:val="nil"/>
              <w:right w:val="nil"/>
            </w:tcBorders>
            <w:noWrap/>
            <w:vAlign w:val="bottom"/>
          </w:tcPr>
          <w:p w:rsidR="009534E2" w:rsidRDefault="009534E2">
            <w:pPr>
              <w:keepNext/>
              <w:spacing w:after="1"/>
              <w:rPr>
                <w:sz w:val="2"/>
              </w:rPr>
            </w:pPr>
          </w:p>
        </w:tc>
        <w:tc>
          <w:tcPr>
            <w:tcW w:w="269" w:type="pct"/>
            <w:tcBorders>
              <w:top w:val="nil"/>
              <w:left w:val="nil"/>
              <w:bottom w:val="nil"/>
              <w:right w:val="nil"/>
            </w:tcBorders>
            <w:noWrap/>
            <w:vAlign w:val="bottom"/>
          </w:tcPr>
          <w:p w:rsidR="009534E2" w:rsidRDefault="009534E2">
            <w:pPr>
              <w:keepNext/>
              <w:spacing w:after="1"/>
              <w:rPr>
                <w:sz w:val="2"/>
              </w:rPr>
            </w:pPr>
          </w:p>
        </w:tc>
      </w:tr>
      <w:tr w:rsidR="009534E2">
        <w:trPr>
          <w:jc w:val="center"/>
        </w:trPr>
        <w:tc>
          <w:tcPr>
            <w:tcW w:w="1168"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d458592e_707a_4cf5_a735_73213d6fcf7e" w:id="1024"/>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47" w:type="pct"/>
            <w:gridSpan w:val="15"/>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Attributable to equity holders of the parent</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r>
      <w:tr w:rsidR="009534E2">
        <w:trPr>
          <w:jc w:val="center"/>
        </w:trPr>
        <w:tc>
          <w:tcPr>
            <w:tcW w:w="1168"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5232038a_6d94_4eae_bfc3_e5f0e3d2fb47" w:id="1025"/>
            <w:bookmarkEnd w:id="1024"/>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693"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Share capital</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69"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r>
      <w:tr w:rsidR="009534E2">
        <w:trPr>
          <w:jc w:val="center"/>
        </w:trPr>
        <w:tc>
          <w:tcPr>
            <w:tcW w:w="1168"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d86e87ca_c765_41f8_83dd_4bee353c0daf" w:id="1026"/>
            <w:bookmarkEnd w:id="1025"/>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351"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 xml:space="preserve">Number of </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4"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Additional</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Non-</w:t>
            </w: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69"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r>
      <w:tr w:rsidR="009534E2">
        <w:trPr>
          <w:jc w:val="center"/>
        </w:trPr>
        <w:tc>
          <w:tcPr>
            <w:tcW w:w="1168"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1fa5327e_d7db_4abe_878a_73f057567d69" w:id="1027"/>
            <w:bookmarkEnd w:id="1026"/>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351"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shares</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4"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paid-in</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Share</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Other</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Retained</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8"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Translation</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controlling</w:t>
            </w: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269"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Total</w:t>
            </w:r>
          </w:p>
        </w:tc>
      </w:tr>
      <w:tr w:rsidR="009534E2">
        <w:trPr>
          <w:jc w:val="center"/>
        </w:trPr>
        <w:tc>
          <w:tcPr>
            <w:tcW w:w="1168"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264816aa_a5b7_4fbc_a1de_50dbe3fa15ca" w:id="1028"/>
            <w:bookmarkEnd w:id="1027"/>
          </w:p>
        </w:tc>
        <w:tc>
          <w:tcPr>
            <w:tcW w:w="67"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2"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Notes</w:t>
            </w:r>
          </w:p>
        </w:tc>
        <w:tc>
          <w:tcPr>
            <w:tcW w:w="67"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51"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outstanding</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4"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Amount</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capital</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premium</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reserves</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earnings</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8"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reserve</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6"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Total</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interests</w:t>
            </w:r>
          </w:p>
        </w:tc>
        <w:tc>
          <w:tcPr>
            <w:tcW w:w="69"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 xml:space="preserve">    </w:t>
            </w:r>
          </w:p>
        </w:tc>
        <w:tc>
          <w:tcPr>
            <w:tcW w:w="269"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equity</w:t>
            </w:r>
          </w:p>
        </w:tc>
      </w:tr>
      <w:tr w:rsidR="009534E2">
        <w:trPr>
          <w:jc w:val="center"/>
        </w:trPr>
        <w:tc>
          <w:tcPr>
            <w:tcW w:w="1168" w:type="pct"/>
            <w:tcBorders>
              <w:top w:val="nil"/>
              <w:left w:val="nil"/>
              <w:bottom w:val="nil"/>
              <w:right w:val="nil"/>
              <w:tl2br w:val="nil"/>
              <w:tr2bl w:val="nil"/>
            </w:tcBorders>
            <w:shd w:val="clear" w:color="auto" w:fill="CCEEFF"/>
            <w:vAlign w:val="bottom"/>
          </w:tcPr>
          <w:p w:rsidR="009534E2" w:rsidRDefault="003369EB">
            <w:pPr>
              <w:keepNext/>
              <w:spacing w:after="1"/>
              <w:rPr>
                <w:b/>
                <w:color w:val="000000"/>
              </w:rPr>
            </w:pPr>
            <w:bookmarkStart w:name="_ffa0a431_8856_4b85_af62_9722df005ba3" w:id="1029"/>
            <w:bookmarkStart w:name="_c1aa45ec_f184_42a6_b805_9fee4cf3a3b9" w:colFirst="4" w:colLast="4" w:id="1030"/>
            <w:bookmarkEnd w:id="1028"/>
            <w:r>
              <w:rPr>
                <w:rFonts w:ascii="Times New Roman" w:hAnsi="Times New Roman" w:eastAsia="Times New Roman" w:cs="Times New Roman"/>
                <w:b/>
                <w:color w:val="000000"/>
              </w:rPr>
              <w:t>Balance as of December 31, 2021</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2"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b/>
                <w:color w:val="000000"/>
              </w:rPr>
            </w:pP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b/>
                <w:color w:val="000000"/>
              </w:rPr>
            </w:pPr>
            <w:r>
              <w:rPr>
                <w:rFonts w:ascii="Times New Roman" w:hAnsi="Times New Roman" w:eastAsia="Times New Roman" w:cs="Times New Roman"/>
                <w:b/>
                <w:color w:val="000000"/>
              </w:rPr>
              <w:t> </w:t>
            </w:r>
          </w:p>
        </w:tc>
        <w:tc>
          <w:tcPr>
            <w:tcW w:w="35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62,437,768</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1,876</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12,068</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2,376</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26,822</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542</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6"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43,685</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155</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69"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43,840</w:t>
            </w:r>
          </w:p>
        </w:tc>
      </w:tr>
      <w:tr w:rsidR="009534E2">
        <w:trPr>
          <w:jc w:val="center"/>
        </w:trPr>
        <w:tc>
          <w:tcPr>
            <w:tcW w:w="1168" w:type="pct"/>
            <w:tcBorders>
              <w:top w:val="nil"/>
              <w:left w:val="nil"/>
              <w:bottom w:val="nil"/>
              <w:right w:val="nil"/>
              <w:tl2br w:val="nil"/>
              <w:tr2bl w:val="nil"/>
            </w:tcBorders>
            <w:vAlign w:val="bottom"/>
          </w:tcPr>
          <w:p w:rsidR="009534E2" w:rsidRDefault="003369EB">
            <w:pPr>
              <w:keepNext/>
              <w:spacing w:after="1"/>
              <w:rPr>
                <w:color w:val="000000"/>
              </w:rPr>
            </w:pPr>
            <w:bookmarkStart w:name="_3ffb4976_b49e_4c00_af31_ec4a494dada0" w:id="1031"/>
            <w:bookmarkEnd w:id="1029"/>
            <w:bookmarkEnd w:id="1030"/>
            <w:r>
              <w:rPr>
                <w:rFonts w:ascii="Times New Roman" w:hAnsi="Times New Roman" w:eastAsia="Times New Roman" w:cs="Times New Roman"/>
                <w:color w:val="000000"/>
              </w:rPr>
              <w:t>Profit for the year</w:t>
            </w:r>
          </w:p>
        </w:tc>
        <w:tc>
          <w:tcPr>
            <w:tcW w:w="67"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2" w:type="pct"/>
            <w:tcBorders>
              <w:top w:val="nil"/>
              <w:left w:val="nil"/>
              <w:bottom w:val="nil"/>
              <w:right w:val="nil"/>
              <w:tl2br w:val="nil"/>
              <w:tr2bl w:val="nil"/>
            </w:tcBorders>
            <w:noWrap/>
            <w:vAlign w:val="bottom"/>
          </w:tcPr>
          <w:p w:rsidR="009534E2" w:rsidRDefault="009534E2">
            <w:pPr>
              <w:keepNext/>
              <w:spacing w:after="1"/>
              <w:jc w:val="center"/>
              <w:rPr>
                <w:color w:val="000000"/>
              </w:rPr>
            </w:pPr>
          </w:p>
        </w:tc>
        <w:tc>
          <w:tcPr>
            <w:tcW w:w="67" w:type="pct"/>
            <w:tcBorders>
              <w:top w:val="nil"/>
              <w:left w:val="nil"/>
              <w:bottom w:val="nil"/>
              <w:right w:val="nil"/>
              <w:tl2br w:val="nil"/>
              <w:tr2bl w:val="nil"/>
            </w:tcBorders>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 </w:t>
            </w:r>
          </w:p>
        </w:tc>
        <w:tc>
          <w:tcPr>
            <w:tcW w:w="351"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4"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13,119</w:t>
            </w:r>
          </w:p>
        </w:tc>
        <w:tc>
          <w:tcPr>
            <w:tcW w:w="6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8"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6"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13,119</w:t>
            </w:r>
          </w:p>
        </w:tc>
        <w:tc>
          <w:tcPr>
            <w:tcW w:w="6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636</w:t>
            </w:r>
          </w:p>
        </w:tc>
        <w:tc>
          <w:tcPr>
            <w:tcW w:w="69"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69"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13,755</w:t>
            </w:r>
          </w:p>
        </w:tc>
      </w:tr>
      <w:tr w:rsidR="009534E2">
        <w:trPr>
          <w:jc w:val="center"/>
        </w:trPr>
        <w:tc>
          <w:tcPr>
            <w:tcW w:w="1168" w:type="pct"/>
            <w:tcBorders>
              <w:top w:val="nil"/>
              <w:left w:val="nil"/>
              <w:bottom w:val="nil"/>
              <w:right w:val="nil"/>
              <w:tl2br w:val="nil"/>
              <w:tr2bl w:val="nil"/>
            </w:tcBorders>
            <w:shd w:val="clear" w:color="auto" w:fill="CCEEFF"/>
            <w:vAlign w:val="bottom"/>
          </w:tcPr>
          <w:p w:rsidR="009534E2" w:rsidRDefault="003369EB">
            <w:pPr>
              <w:keepNext/>
              <w:spacing w:after="1"/>
              <w:rPr>
                <w:color w:val="000000"/>
              </w:rPr>
            </w:pPr>
            <w:bookmarkStart w:name="_141cfbf8_06ea_431d_9a59_e93644ed8a09" w:id="1032"/>
            <w:bookmarkEnd w:id="1031"/>
            <w:r>
              <w:rPr>
                <w:rFonts w:ascii="Times New Roman" w:hAnsi="Times New Roman" w:eastAsia="Times New Roman" w:cs="Times New Roman"/>
                <w:color w:val="000000"/>
              </w:rPr>
              <w:t>Other comprehensive income:</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2"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b/>
                <w:color w:val="000000"/>
              </w:rPr>
            </w:pP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 </w:t>
            </w:r>
          </w:p>
        </w:tc>
        <w:tc>
          <w:tcPr>
            <w:tcW w:w="351"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4"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8"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6"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rPr>
            </w:pPr>
          </w:p>
        </w:tc>
      </w:tr>
      <w:tr w:rsidR="009534E2">
        <w:trPr>
          <w:jc w:val="center"/>
        </w:trPr>
        <w:tc>
          <w:tcPr>
            <w:tcW w:w="1168" w:type="pct"/>
            <w:tcBorders>
              <w:top w:val="nil"/>
              <w:left w:val="nil"/>
              <w:bottom w:val="nil"/>
              <w:right w:val="nil"/>
              <w:tl2br w:val="nil"/>
              <w:tr2bl w:val="nil"/>
            </w:tcBorders>
            <w:vAlign w:val="bottom"/>
          </w:tcPr>
          <w:p w:rsidR="009534E2" w:rsidRDefault="003369EB">
            <w:pPr>
              <w:keepNext/>
              <w:spacing w:after="1"/>
              <w:ind w:left="120"/>
              <w:rPr>
                <w:color w:val="000000"/>
              </w:rPr>
            </w:pPr>
            <w:bookmarkStart w:name="_50d75e8d_68df_4c48_909d_e5e8ceaac5c5" w:id="1033"/>
            <w:bookmarkEnd w:id="1032"/>
            <w:r>
              <w:rPr>
                <w:rFonts w:ascii="Times New Roman" w:hAnsi="Times New Roman" w:eastAsia="Times New Roman" w:cs="Times New Roman"/>
                <w:color w:val="000000"/>
              </w:rPr>
              <w:t>Foreign currency translation</w:t>
            </w:r>
          </w:p>
        </w:tc>
        <w:tc>
          <w:tcPr>
            <w:tcW w:w="67" w:type="pct"/>
            <w:tcBorders>
              <w:top w:val="nil"/>
              <w:left w:val="nil"/>
              <w:bottom w:val="nil"/>
              <w:right w:val="nil"/>
              <w:tl2br w:val="nil"/>
              <w:tr2bl w:val="nil"/>
            </w:tcBorders>
            <w:noWrap/>
            <w:vAlign w:val="bottom"/>
          </w:tcPr>
          <w:p w:rsidR="009534E2" w:rsidRDefault="009534E2">
            <w:pPr>
              <w:keepNext/>
              <w:spacing w:after="1"/>
              <w:rPr>
                <w:b/>
                <w:color w:val="000000"/>
              </w:rPr>
            </w:pPr>
          </w:p>
        </w:tc>
        <w:tc>
          <w:tcPr>
            <w:tcW w:w="272" w:type="pct"/>
            <w:tcBorders>
              <w:top w:val="nil"/>
              <w:left w:val="nil"/>
              <w:bottom w:val="nil"/>
              <w:right w:val="nil"/>
              <w:tl2br w:val="nil"/>
              <w:tr2bl w:val="nil"/>
            </w:tcBorders>
            <w:noWrap/>
            <w:vAlign w:val="bottom"/>
          </w:tcPr>
          <w:p w:rsidR="009534E2" w:rsidRDefault="009534E2">
            <w:pPr>
              <w:keepNext/>
              <w:spacing w:after="1"/>
              <w:jc w:val="center"/>
              <w:rPr>
                <w:b/>
                <w:color w:val="000000"/>
              </w:rPr>
            </w:pPr>
          </w:p>
        </w:tc>
        <w:tc>
          <w:tcPr>
            <w:tcW w:w="67" w:type="pct"/>
            <w:tcBorders>
              <w:top w:val="nil"/>
              <w:left w:val="nil"/>
              <w:bottom w:val="nil"/>
              <w:right w:val="nil"/>
              <w:tl2br w:val="nil"/>
              <w:tr2bl w:val="nil"/>
            </w:tcBorders>
            <w:noWrap/>
            <w:vAlign w:val="bottom"/>
          </w:tcPr>
          <w:p w:rsidR="009534E2" w:rsidRDefault="003369EB">
            <w:pPr>
              <w:keepNext/>
              <w:spacing w:after="1"/>
              <w:jc w:val="center"/>
              <w:rPr>
                <w:b/>
                <w:color w:val="000000"/>
              </w:rPr>
            </w:pPr>
            <w:r>
              <w:rPr>
                <w:rFonts w:ascii="Times New Roman" w:hAnsi="Times New Roman" w:eastAsia="Times New Roman" w:cs="Times New Roman"/>
                <w:b/>
                <w:color w:val="000000"/>
              </w:rPr>
              <w:t> </w:t>
            </w:r>
          </w:p>
        </w:tc>
        <w:tc>
          <w:tcPr>
            <w:tcW w:w="351"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4"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(141)</w:t>
            </w:r>
          </w:p>
        </w:tc>
        <w:tc>
          <w:tcPr>
            <w:tcW w:w="68"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6"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(141)</w:t>
            </w:r>
          </w:p>
        </w:tc>
        <w:tc>
          <w:tcPr>
            <w:tcW w:w="6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(1)</w:t>
            </w:r>
          </w:p>
        </w:tc>
        <w:tc>
          <w:tcPr>
            <w:tcW w:w="69"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69"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(142)</w:t>
            </w:r>
          </w:p>
        </w:tc>
      </w:tr>
      <w:tr w:rsidR="009534E2">
        <w:trPr>
          <w:jc w:val="center"/>
        </w:trPr>
        <w:tc>
          <w:tcPr>
            <w:tcW w:w="1168" w:type="pct"/>
            <w:tcBorders>
              <w:top w:val="nil"/>
              <w:left w:val="nil"/>
              <w:bottom w:val="nil"/>
              <w:right w:val="nil"/>
              <w:tl2br w:val="nil"/>
              <w:tr2bl w:val="nil"/>
            </w:tcBorders>
            <w:shd w:val="clear" w:color="auto" w:fill="CCEEFF"/>
            <w:vAlign w:val="bottom"/>
          </w:tcPr>
          <w:p w:rsidR="009534E2" w:rsidRDefault="003369EB">
            <w:pPr>
              <w:keepNext/>
              <w:spacing w:after="1"/>
              <w:ind w:left="120"/>
              <w:rPr>
                <w:color w:val="000000"/>
              </w:rPr>
            </w:pPr>
            <w:bookmarkStart w:name="_4f39820a_2c13_4ece_ab0f_1854856f4983" w:id="1034"/>
            <w:bookmarkEnd w:id="1033"/>
            <w:r>
              <w:rPr>
                <w:rFonts w:ascii="Times New Roman" w:hAnsi="Times New Roman" w:eastAsia="Times New Roman" w:cs="Times New Roman"/>
                <w:color w:val="000000"/>
              </w:rPr>
              <w:t>Debt instruments at FVOCI</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rPr>
            </w:pP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 </w:t>
            </w:r>
          </w:p>
        </w:tc>
        <w:tc>
          <w:tcPr>
            <w:tcW w:w="351"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4"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220</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6"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220</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69"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220</w:t>
            </w:r>
          </w:p>
        </w:tc>
      </w:tr>
      <w:tr w:rsidR="009534E2">
        <w:trPr>
          <w:jc w:val="center"/>
        </w:trPr>
        <w:tc>
          <w:tcPr>
            <w:tcW w:w="1168" w:type="pct"/>
            <w:tcBorders>
              <w:top w:val="nil"/>
              <w:left w:val="nil"/>
              <w:bottom w:val="nil"/>
              <w:right w:val="nil"/>
              <w:tl2br w:val="nil"/>
              <w:tr2bl w:val="nil"/>
            </w:tcBorders>
            <w:vAlign w:val="bottom"/>
          </w:tcPr>
          <w:p w:rsidR="009534E2" w:rsidRDefault="003369EB">
            <w:pPr>
              <w:keepNext/>
              <w:spacing w:after="1"/>
              <w:ind w:left="120"/>
              <w:rPr>
                <w:color w:val="000000"/>
              </w:rPr>
            </w:pPr>
            <w:bookmarkStart w:name="_319ade96_7070_4159_b3ca_696bd7c6bcfe" w:id="1035"/>
            <w:bookmarkEnd w:id="1034"/>
            <w:r>
              <w:rPr>
                <w:rFonts w:ascii="Times New Roman" w:hAnsi="Times New Roman" w:eastAsia="Times New Roman" w:cs="Times New Roman"/>
                <w:color w:val="000000"/>
              </w:rPr>
              <w:t>Share of OCI of an associate</w:t>
            </w:r>
          </w:p>
        </w:tc>
        <w:tc>
          <w:tcPr>
            <w:tcW w:w="67"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2" w:type="pct"/>
            <w:tcBorders>
              <w:top w:val="nil"/>
              <w:left w:val="nil"/>
              <w:bottom w:val="nil"/>
              <w:right w:val="nil"/>
              <w:tl2br w:val="nil"/>
              <w:tr2bl w:val="nil"/>
            </w:tcBorders>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17</w:t>
            </w:r>
          </w:p>
        </w:tc>
        <w:tc>
          <w:tcPr>
            <w:tcW w:w="67" w:type="pct"/>
            <w:tcBorders>
              <w:top w:val="nil"/>
              <w:left w:val="nil"/>
              <w:bottom w:val="nil"/>
              <w:right w:val="nil"/>
              <w:tl2br w:val="nil"/>
              <w:tr2bl w:val="nil"/>
            </w:tcBorders>
            <w:noWrap/>
            <w:vAlign w:val="bottom"/>
          </w:tcPr>
          <w:p w:rsidR="009534E2" w:rsidRDefault="009534E2">
            <w:pPr>
              <w:keepNext/>
              <w:spacing w:after="1"/>
              <w:jc w:val="center"/>
              <w:rPr>
                <w:color w:val="000000"/>
              </w:rPr>
            </w:pPr>
          </w:p>
        </w:tc>
        <w:tc>
          <w:tcPr>
            <w:tcW w:w="351"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jc w:val="right"/>
              <w:rPr>
                <w:color w:val="000000"/>
              </w:rPr>
            </w:pPr>
          </w:p>
        </w:tc>
        <w:tc>
          <w:tcPr>
            <w:tcW w:w="27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jc w:val="right"/>
              <w:rPr>
                <w:color w:val="000000"/>
              </w:rPr>
            </w:pP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jc w:val="right"/>
              <w:rPr>
                <w:color w:val="000000"/>
              </w:rPr>
            </w:pP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jc w:val="right"/>
              <w:rPr>
                <w:color w:val="000000"/>
              </w:rPr>
            </w:pP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16</w:t>
            </w:r>
          </w:p>
        </w:tc>
        <w:tc>
          <w:tcPr>
            <w:tcW w:w="68" w:type="pct"/>
            <w:tcBorders>
              <w:top w:val="nil"/>
              <w:left w:val="nil"/>
              <w:bottom w:val="nil"/>
              <w:right w:val="nil"/>
              <w:tl2br w:val="nil"/>
              <w:tr2bl w:val="nil"/>
            </w:tcBorders>
            <w:noWrap/>
            <w:vAlign w:val="bottom"/>
          </w:tcPr>
          <w:p w:rsidR="009534E2" w:rsidRDefault="009534E2">
            <w:pPr>
              <w:keepNext/>
              <w:spacing w:after="1"/>
              <w:jc w:val="right"/>
              <w:rPr>
                <w:color w:val="000000"/>
              </w:rPr>
            </w:pP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jc w:val="right"/>
              <w:rPr>
                <w:color w:val="000000"/>
              </w:rPr>
            </w:pPr>
          </w:p>
        </w:tc>
        <w:tc>
          <w:tcPr>
            <w:tcW w:w="278"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jc w:val="right"/>
              <w:rPr>
                <w:b/>
                <w:color w:val="000000"/>
              </w:rPr>
            </w:pPr>
          </w:p>
        </w:tc>
        <w:tc>
          <w:tcPr>
            <w:tcW w:w="276"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16</w:t>
            </w:r>
          </w:p>
        </w:tc>
        <w:tc>
          <w:tcPr>
            <w:tcW w:w="68" w:type="pct"/>
            <w:tcBorders>
              <w:top w:val="nil"/>
              <w:left w:val="nil"/>
              <w:bottom w:val="nil"/>
              <w:right w:val="nil"/>
              <w:tl2br w:val="nil"/>
              <w:tr2bl w:val="nil"/>
            </w:tcBorders>
            <w:noWrap/>
            <w:vAlign w:val="bottom"/>
          </w:tcPr>
          <w:p w:rsidR="009534E2" w:rsidRDefault="009534E2">
            <w:pPr>
              <w:keepNext/>
              <w:spacing w:after="1"/>
              <w:jc w:val="right"/>
              <w:rPr>
                <w:color w:val="000000"/>
              </w:rPr>
            </w:pP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9" w:type="pct"/>
            <w:tcBorders>
              <w:top w:val="nil"/>
              <w:left w:val="nil"/>
              <w:bottom w:val="nil"/>
              <w:right w:val="nil"/>
              <w:tl2br w:val="nil"/>
              <w:tr2bl w:val="nil"/>
            </w:tcBorders>
            <w:noWrap/>
            <w:vAlign w:val="bottom"/>
          </w:tcPr>
          <w:p w:rsidR="009534E2" w:rsidRDefault="009534E2">
            <w:pPr>
              <w:keepNext/>
              <w:spacing w:after="1"/>
              <w:jc w:val="right"/>
              <w:rPr>
                <w:color w:val="000000"/>
              </w:rPr>
            </w:pPr>
          </w:p>
        </w:tc>
        <w:tc>
          <w:tcPr>
            <w:tcW w:w="269"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16</w:t>
            </w:r>
          </w:p>
        </w:tc>
      </w:tr>
      <w:tr w:rsidR="009534E2">
        <w:trPr>
          <w:jc w:val="center"/>
        </w:trPr>
        <w:tc>
          <w:tcPr>
            <w:tcW w:w="1168" w:type="pct"/>
            <w:tcBorders>
              <w:top w:val="nil"/>
              <w:left w:val="nil"/>
              <w:bottom w:val="nil"/>
              <w:right w:val="nil"/>
              <w:tl2br w:val="nil"/>
              <w:tr2bl w:val="nil"/>
            </w:tcBorders>
            <w:shd w:val="clear" w:color="auto" w:fill="CCEEFF"/>
            <w:vAlign w:val="bottom"/>
          </w:tcPr>
          <w:p w:rsidR="009534E2" w:rsidRDefault="003369EB">
            <w:pPr>
              <w:keepNext/>
              <w:spacing w:after="1"/>
              <w:rPr>
                <w:b/>
                <w:color w:val="000000"/>
              </w:rPr>
            </w:pPr>
            <w:bookmarkStart w:name="_6c9807fd_7c5e_42b5_8334_137822f043d3" w:id="1036"/>
            <w:bookmarkEnd w:id="1035"/>
            <w:r>
              <w:rPr>
                <w:rFonts w:ascii="Times New Roman" w:hAnsi="Times New Roman" w:eastAsia="Times New Roman" w:cs="Times New Roman"/>
                <w:b/>
                <w:color w:val="000000"/>
              </w:rPr>
              <w:t xml:space="preserve">Total comprehensive income </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rPr>
            </w:pP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 </w:t>
            </w:r>
          </w:p>
        </w:tc>
        <w:tc>
          <w:tcPr>
            <w:tcW w:w="35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236</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13,119</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xml:space="preserve"> (141)</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6"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13,214</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635</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69"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13,849</w:t>
            </w:r>
          </w:p>
        </w:tc>
      </w:tr>
      <w:tr w:rsidR="009534E2">
        <w:trPr>
          <w:jc w:val="center"/>
        </w:trPr>
        <w:tc>
          <w:tcPr>
            <w:tcW w:w="1168" w:type="pct"/>
            <w:tcBorders>
              <w:top w:val="nil"/>
              <w:left w:val="nil"/>
              <w:bottom w:val="nil"/>
              <w:right w:val="nil"/>
              <w:tl2br w:val="nil"/>
              <w:tr2bl w:val="nil"/>
            </w:tcBorders>
            <w:vAlign w:val="bottom"/>
          </w:tcPr>
          <w:p w:rsidR="009534E2" w:rsidRDefault="003369EB">
            <w:pPr>
              <w:keepNext/>
              <w:spacing w:after="1"/>
              <w:rPr>
                <w:color w:val="000000"/>
              </w:rPr>
            </w:pPr>
            <w:bookmarkStart w:name="_0655d87f_aca3_481d_b848_21e1f3481751" w:id="1037"/>
            <w:bookmarkStart w:name="_9daea96e_5933_4d7c_9bb6_a581b11664d3" w:colFirst="4" w:colLast="4" w:id="1038"/>
            <w:bookmarkEnd w:id="1036"/>
            <w:r>
              <w:rPr>
                <w:rFonts w:ascii="Times New Roman" w:hAnsi="Times New Roman" w:eastAsia="Times New Roman" w:cs="Times New Roman"/>
                <w:color w:val="000000"/>
              </w:rPr>
              <w:t>Share-based payments</w:t>
            </w:r>
          </w:p>
        </w:tc>
        <w:tc>
          <w:tcPr>
            <w:tcW w:w="67"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2" w:type="pct"/>
            <w:tcBorders>
              <w:top w:val="nil"/>
              <w:left w:val="nil"/>
              <w:bottom w:val="nil"/>
              <w:right w:val="nil"/>
              <w:tl2br w:val="nil"/>
              <w:tr2bl w:val="nil"/>
            </w:tcBorders>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 </w:t>
            </w:r>
          </w:p>
        </w:tc>
        <w:tc>
          <w:tcPr>
            <w:tcW w:w="351"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263,841</w:t>
            </w:r>
          </w:p>
        </w:tc>
        <w:tc>
          <w:tcPr>
            <w:tcW w:w="6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4"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86</w:t>
            </w:r>
          </w:p>
        </w:tc>
        <w:tc>
          <w:tcPr>
            <w:tcW w:w="6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8"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6"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86</w:t>
            </w:r>
          </w:p>
        </w:tc>
        <w:tc>
          <w:tcPr>
            <w:tcW w:w="6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9"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69"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86</w:t>
            </w:r>
          </w:p>
        </w:tc>
      </w:tr>
      <w:tr w:rsidR="009534E2">
        <w:trPr>
          <w:jc w:val="center"/>
        </w:trPr>
        <w:tc>
          <w:tcPr>
            <w:tcW w:w="1168" w:type="pct"/>
            <w:tcBorders>
              <w:top w:val="nil"/>
              <w:left w:val="nil"/>
              <w:bottom w:val="nil"/>
              <w:right w:val="nil"/>
              <w:tl2br w:val="nil"/>
              <w:tr2bl w:val="nil"/>
            </w:tcBorders>
            <w:shd w:val="clear" w:color="auto" w:fill="CCEEFF"/>
            <w:vAlign w:val="bottom"/>
          </w:tcPr>
          <w:p w:rsidR="009534E2" w:rsidRDefault="003369EB">
            <w:pPr>
              <w:keepNext/>
              <w:spacing w:after="1"/>
              <w:rPr>
                <w:color w:val="000000"/>
              </w:rPr>
            </w:pPr>
            <w:bookmarkStart w:name="_98076598_06f2_46ef_bd53_2bd380060694" w:id="1039"/>
            <w:bookmarkStart w:name="_53bc13f9_881f_4da5_8ed6_46f1056c6bf0" w:colFirst="4" w:colLast="4" w:id="1040"/>
            <w:bookmarkEnd w:id="1037"/>
            <w:bookmarkEnd w:id="1038"/>
            <w:r>
              <w:rPr>
                <w:rFonts w:ascii="Times New Roman" w:hAnsi="Times New Roman" w:eastAsia="Times New Roman" w:cs="Times New Roman"/>
                <w:color w:val="000000"/>
              </w:rPr>
              <w:t>Exercise of options</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2"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18</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b/>
                <w:color w:val="000000"/>
              </w:rPr>
            </w:pPr>
            <w:r>
              <w:rPr>
                <w:rFonts w:ascii="Times New Roman" w:hAnsi="Times New Roman" w:eastAsia="Times New Roman" w:cs="Times New Roman"/>
                <w:b/>
                <w:color w:val="000000"/>
              </w:rPr>
              <w:t> </w:t>
            </w:r>
          </w:p>
        </w:tc>
        <w:tc>
          <w:tcPr>
            <w:tcW w:w="351"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11,366</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4"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6"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69"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r>
      <w:tr w:rsidR="009534E2">
        <w:trPr>
          <w:jc w:val="center"/>
        </w:trPr>
        <w:tc>
          <w:tcPr>
            <w:tcW w:w="1168" w:type="pct"/>
            <w:tcBorders>
              <w:top w:val="nil"/>
              <w:left w:val="nil"/>
              <w:bottom w:val="nil"/>
              <w:right w:val="nil"/>
              <w:tl2br w:val="nil"/>
              <w:tr2bl w:val="nil"/>
            </w:tcBorders>
            <w:noWrap/>
            <w:vAlign w:val="bottom"/>
          </w:tcPr>
          <w:p w:rsidR="009534E2" w:rsidRDefault="003369EB">
            <w:pPr>
              <w:keepNext/>
              <w:spacing w:after="1"/>
              <w:rPr>
                <w:color w:val="000000"/>
              </w:rPr>
            </w:pPr>
            <w:bookmarkStart w:name="_e0e51280_936f_41ac_b840_99a1c5f8f9fa" w:id="1041"/>
            <w:bookmarkEnd w:id="1039"/>
            <w:bookmarkEnd w:id="1040"/>
            <w:r>
              <w:rPr>
                <w:rFonts w:ascii="Times New Roman" w:hAnsi="Times New Roman" w:eastAsia="Times New Roman" w:cs="Times New Roman"/>
                <w:color w:val="000000"/>
              </w:rPr>
              <w:t>Dividends to non-controlling interests</w:t>
            </w:r>
          </w:p>
        </w:tc>
        <w:tc>
          <w:tcPr>
            <w:tcW w:w="67"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2" w:type="pct"/>
            <w:tcBorders>
              <w:top w:val="nil"/>
              <w:left w:val="nil"/>
              <w:bottom w:val="nil"/>
              <w:right w:val="nil"/>
              <w:tl2br w:val="nil"/>
              <w:tr2bl w:val="nil"/>
            </w:tcBorders>
            <w:noWrap/>
            <w:vAlign w:val="bottom"/>
          </w:tcPr>
          <w:p w:rsidR="009534E2" w:rsidRDefault="009534E2">
            <w:pPr>
              <w:keepNext/>
              <w:spacing w:after="1"/>
              <w:jc w:val="center"/>
              <w:rPr>
                <w:color w:val="000000"/>
              </w:rPr>
            </w:pPr>
          </w:p>
        </w:tc>
        <w:tc>
          <w:tcPr>
            <w:tcW w:w="67"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351"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4"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8"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6"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(171)</w:t>
            </w:r>
          </w:p>
        </w:tc>
        <w:tc>
          <w:tcPr>
            <w:tcW w:w="69"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69"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(171)</w:t>
            </w:r>
          </w:p>
        </w:tc>
      </w:tr>
      <w:tr w:rsidR="009534E2">
        <w:trPr>
          <w:jc w:val="center"/>
        </w:trPr>
        <w:tc>
          <w:tcPr>
            <w:tcW w:w="1168"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bookmarkStart w:name="_a8402305_ca5d_4e68_be00_68093c37d951" w:id="1042"/>
            <w:bookmarkEnd w:id="1041"/>
            <w:r>
              <w:rPr>
                <w:rFonts w:ascii="Times New Roman" w:hAnsi="Times New Roman" w:eastAsia="Times New Roman" w:cs="Times New Roman"/>
                <w:color w:val="000000"/>
              </w:rPr>
              <w:t>Business combinations</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2"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6</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351"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4"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6"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293</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69"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293</w:t>
            </w:r>
          </w:p>
        </w:tc>
      </w:tr>
      <w:tr w:rsidR="009534E2">
        <w:trPr>
          <w:jc w:val="center"/>
        </w:trPr>
        <w:tc>
          <w:tcPr>
            <w:tcW w:w="1168" w:type="pct"/>
            <w:tcBorders>
              <w:top w:val="nil"/>
              <w:left w:val="nil"/>
              <w:bottom w:val="nil"/>
              <w:right w:val="nil"/>
              <w:tl2br w:val="nil"/>
              <w:tr2bl w:val="nil"/>
            </w:tcBorders>
            <w:noWrap/>
            <w:vAlign w:val="bottom"/>
          </w:tcPr>
          <w:p w:rsidR="009534E2" w:rsidRDefault="003369EB">
            <w:pPr>
              <w:keepNext/>
              <w:spacing w:after="1"/>
              <w:rPr>
                <w:color w:val="000000"/>
              </w:rPr>
            </w:pPr>
            <w:bookmarkStart w:name="_d1f4b990_ac09_4416_938e_84cea07186a2" w:id="1043"/>
            <w:bookmarkEnd w:id="1042"/>
            <w:r>
              <w:rPr>
                <w:rFonts w:ascii="Times New Roman" w:hAnsi="Times New Roman" w:eastAsia="Times New Roman" w:cs="Times New Roman"/>
                <w:color w:val="000000"/>
              </w:rPr>
              <w:t>Other</w:t>
            </w:r>
          </w:p>
        </w:tc>
        <w:tc>
          <w:tcPr>
            <w:tcW w:w="67"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2" w:type="pct"/>
            <w:tcBorders>
              <w:top w:val="nil"/>
              <w:left w:val="nil"/>
              <w:bottom w:val="nil"/>
              <w:right w:val="nil"/>
              <w:tl2br w:val="nil"/>
              <w:tr2bl w:val="nil"/>
            </w:tcBorders>
            <w:noWrap/>
            <w:vAlign w:val="bottom"/>
          </w:tcPr>
          <w:p w:rsidR="009534E2" w:rsidRDefault="009534E2">
            <w:pPr>
              <w:keepNext/>
              <w:spacing w:after="1"/>
              <w:jc w:val="center"/>
              <w:rPr>
                <w:color w:val="000000"/>
              </w:rPr>
            </w:pPr>
          </w:p>
        </w:tc>
        <w:tc>
          <w:tcPr>
            <w:tcW w:w="67"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351"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(2)</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8"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6" w:type="pct"/>
            <w:tcBorders>
              <w:top w:val="nil"/>
              <w:left w:val="nil"/>
              <w:bottom w:val="single" w:color="000000" w:sz="4" w:space="0"/>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(2)</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9"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69" w:type="pct"/>
            <w:tcBorders>
              <w:top w:val="nil"/>
              <w:left w:val="nil"/>
              <w:bottom w:val="single" w:color="000000" w:sz="4" w:space="0"/>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(2)</w:t>
            </w:r>
          </w:p>
        </w:tc>
      </w:tr>
      <w:tr w:rsidR="009534E2">
        <w:trPr>
          <w:jc w:val="center"/>
        </w:trPr>
        <w:tc>
          <w:tcPr>
            <w:tcW w:w="1168" w:type="pct"/>
            <w:tcBorders>
              <w:top w:val="nil"/>
              <w:left w:val="nil"/>
              <w:bottom w:val="nil"/>
              <w:right w:val="nil"/>
              <w:tl2br w:val="nil"/>
              <w:tr2bl w:val="nil"/>
            </w:tcBorders>
            <w:shd w:val="clear" w:color="auto" w:fill="CCEEFF"/>
            <w:vAlign w:val="bottom"/>
          </w:tcPr>
          <w:p w:rsidR="009534E2" w:rsidRDefault="003369EB">
            <w:pPr>
              <w:keepNext/>
              <w:spacing w:after="1"/>
              <w:rPr>
                <w:b/>
                <w:color w:val="000000"/>
              </w:rPr>
            </w:pPr>
            <w:bookmarkStart w:name="_93562e1e_f8f2_4c1a_adb2_f522e25988a7" w:id="1044"/>
            <w:bookmarkStart w:name="_8b642d55_0929_4b06_a946_395a59856b05" w:colFirst="4" w:colLast="4" w:id="1045"/>
            <w:bookmarkEnd w:id="1043"/>
            <w:r>
              <w:rPr>
                <w:rFonts w:ascii="Times New Roman" w:hAnsi="Times New Roman" w:eastAsia="Times New Roman" w:cs="Times New Roman"/>
                <w:b/>
                <w:color w:val="000000"/>
              </w:rPr>
              <w:t>Balance as of December 31, 2022</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2"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rPr>
            </w:pP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351"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62,712,975</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4"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1</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3"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1,876</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3"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12,068</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3"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2,696</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3"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39,941</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8"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401</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6"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56,983</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912</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69"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57,895</w:t>
            </w:r>
          </w:p>
        </w:tc>
      </w:tr>
      <w:bookmarkEnd w:id="1023"/>
      <w:bookmarkEnd w:id="1044"/>
      <w:bookmarkEnd w:id="1045"/>
    </w:tbl>
    <w:p w:rsidR="009534E2" w:rsidRDefault="009534E2">
      <w:pPr>
        <w:pStyle w:val="BodyText"/>
        <w:spacing w:after="0"/>
        <w:rPr>
          <w:rFonts w:eastAsia="Times New Roman" w:asciiTheme="majorHAnsi" w:hAnsiTheme="majorHAnsi" w:cstheme="majorHAnsi"/>
        </w:rPr>
      </w:pPr>
    </w:p>
    <w:p w:rsidR="009534E2" w:rsidRDefault="003369EB">
      <w:pPr>
        <w:pStyle w:val="BodyText"/>
        <w:spacing w:after="0"/>
        <w:jc w:val="center"/>
        <w:rPr>
          <w:rFonts w:asciiTheme="majorHAnsi" w:hAnsiTheme="majorHAnsi" w:cstheme="majorHAnsi"/>
          <w:i/>
          <w:lang w:val="ru-RU" w:eastAsia="ru-RU"/>
        </w:rPr>
      </w:pPr>
      <w:r>
        <w:rPr>
          <w:rFonts w:asciiTheme="majorHAnsi" w:hAnsiTheme="majorHAnsi" w:cstheme="majorHAnsi"/>
          <w:i/>
          <w:lang w:val="ru-RU" w:eastAsia="ru-RU"/>
        </w:rPr>
        <w:t>The accompanying notes form an integral part of these consolidated financial statements.</w:t>
      </w:r>
    </w:p>
    <w:p w:rsidR="009534E2" w:rsidRDefault="003369EB">
      <w:pPr>
        <w:rPr>
          <w:rFonts w:eastAsia="Times New Roman" w:asciiTheme="majorHAnsi" w:hAnsiTheme="majorHAnsi" w:cstheme="majorHAnsi"/>
        </w:rPr>
      </w:pPr>
      <w:r>
        <w:rPr>
          <w:rFonts w:eastAsia="Times New Roman" w:asciiTheme="majorHAnsi" w:hAnsiTheme="majorHAnsi" w:cstheme="majorHAnsi"/>
        </w:rPr>
        <w:br w:type="page"/>
      </w:r>
    </w:p>
    <w:p w:rsidR="009534E2" w:rsidRDefault="003369EB">
      <w:pPr>
        <w:keepNext/>
        <w:spacing w:after="200"/>
        <w:jc w:val="center"/>
        <w:rPr>
          <w:rFonts w:eastAsia="Times New Roman" w:asciiTheme="majorHAnsi" w:hAnsiTheme="majorHAnsi" w:cstheme="majorHAnsi"/>
        </w:rPr>
      </w:pPr>
      <w:r>
        <w:rPr>
          <w:rFonts w:eastAsia="Times New Roman" w:asciiTheme="majorHAnsi" w:hAnsiTheme="majorHAnsi" w:cstheme="majorHAnsi"/>
        </w:rPr>
        <w:t>QIWI plc</w:t>
      </w:r>
    </w:p>
    <w:p w:rsidR="009534E2" w:rsidRDefault="003369EB">
      <w:pPr>
        <w:keepNext/>
        <w:spacing w:after="200"/>
        <w:jc w:val="center"/>
        <w:rPr>
          <w:rFonts w:eastAsia="Times New Roman" w:asciiTheme="majorHAnsi" w:hAnsiTheme="majorHAnsi" w:cstheme="majorHAnsi"/>
        </w:rPr>
      </w:pPr>
      <w:r>
        <w:rPr>
          <w:rFonts w:eastAsia="Times New Roman" w:asciiTheme="majorHAnsi" w:hAnsiTheme="majorHAnsi" w:cstheme="majorHAnsi"/>
        </w:rPr>
        <w:t>Consolidated statement of changes in equity</w:t>
      </w:r>
    </w:p>
    <w:p w:rsidR="009534E2" w:rsidRDefault="003369EB">
      <w:pPr>
        <w:keepNext/>
        <w:spacing w:after="200"/>
        <w:jc w:val="center"/>
        <w:rPr>
          <w:rFonts w:eastAsia="Times New Roman" w:asciiTheme="majorHAnsi" w:hAnsiTheme="majorHAnsi" w:cstheme="majorHAnsi"/>
        </w:rPr>
      </w:pPr>
      <w:r>
        <w:rPr>
          <w:rFonts w:eastAsia="Times New Roman" w:asciiTheme="majorHAnsi" w:hAnsiTheme="majorHAnsi" w:cstheme="majorHAnsi"/>
        </w:rPr>
        <w:t>for the year ended December 31, 2022</w:t>
      </w:r>
    </w:p>
    <w:p w:rsidR="009534E2" w:rsidRDefault="003369EB">
      <w:pPr>
        <w:keepNext/>
        <w:jc w:val="center"/>
        <w:rPr>
          <w:rFonts w:eastAsia="Times New Roman" w:asciiTheme="majorHAnsi" w:hAnsiTheme="majorHAnsi" w:cstheme="majorHAnsi"/>
          <w:i/>
        </w:rPr>
      </w:pPr>
      <w:r>
        <w:rPr>
          <w:rFonts w:eastAsia="Times New Roman" w:asciiTheme="majorHAnsi" w:hAnsiTheme="majorHAnsi" w:cstheme="majorHAnsi"/>
          <w:i/>
        </w:rPr>
        <w:t>(in millions of Rubles, except per share data)</w:t>
      </w:r>
    </w:p>
    <w:p w:rsidR="009534E2" w:rsidRDefault="009534E2">
      <w:pPr>
        <w:pStyle w:val="BodyText"/>
        <w:keepNext/>
        <w:spacing w:after="0"/>
        <w:rPr>
          <w:rFonts w:asciiTheme="majorHAnsi" w:hAnsiTheme="majorHAnsi" w:cstheme="majorHAnsi"/>
          <w:lang w:val="ru-RU"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366"/>
        <w:gridCol w:w="196"/>
        <w:gridCol w:w="786"/>
        <w:gridCol w:w="196"/>
        <w:gridCol w:w="1011"/>
        <w:gridCol w:w="196"/>
        <w:gridCol w:w="789"/>
        <w:gridCol w:w="196"/>
        <w:gridCol w:w="786"/>
        <w:gridCol w:w="196"/>
        <w:gridCol w:w="786"/>
        <w:gridCol w:w="196"/>
        <w:gridCol w:w="786"/>
        <w:gridCol w:w="196"/>
        <w:gridCol w:w="786"/>
        <w:gridCol w:w="196"/>
        <w:gridCol w:w="801"/>
        <w:gridCol w:w="196"/>
        <w:gridCol w:w="795"/>
        <w:gridCol w:w="196"/>
        <w:gridCol w:w="786"/>
        <w:gridCol w:w="196"/>
        <w:gridCol w:w="766"/>
      </w:tblGrid>
      <w:tr w:rsidR="009534E2">
        <w:trPr>
          <w:trHeight w:val="20"/>
          <w:jc w:val="center"/>
        </w:trPr>
        <w:tc>
          <w:tcPr>
            <w:tcW w:w="1169" w:type="pct"/>
            <w:tcBorders>
              <w:top w:val="nil"/>
              <w:left w:val="nil"/>
              <w:bottom w:val="nil"/>
              <w:right w:val="nil"/>
            </w:tcBorders>
            <w:vAlign w:val="bottom"/>
          </w:tcPr>
          <w:p w:rsidR="009534E2" w:rsidRDefault="009534E2">
            <w:pPr>
              <w:keepNext/>
              <w:spacing w:after="1"/>
              <w:rPr>
                <w:sz w:val="2"/>
              </w:rPr>
            </w:pPr>
            <w:bookmarkStart w:name="_f585f688_bc72_449e_8556_834704dde052" w:colFirst="0" w:colLast="0" w:id="1046"/>
            <w:bookmarkStart w:name="_09f7c51d_e8d0_4202_9f2f_5dfa72cbdb22" w:colFirst="1" w:colLast="1" w:id="1047"/>
            <w:bookmarkStart w:name="_efbebe15_626b_46dc_9c55_2d4ec8c8a462" w:colFirst="2" w:colLast="2" w:id="1048"/>
            <w:bookmarkStart w:name="_5e5da865_2589_4d7b_9211_9d46cbb8c907" w:colFirst="3" w:colLast="3" w:id="1049"/>
            <w:bookmarkStart w:name="_920e68a4_18b6_4131_acaf_b31078a349b0" w:colFirst="4" w:colLast="4" w:id="1050"/>
            <w:bookmarkStart w:name="_676a7bc1_53cc_47b9_86d8_2acca59c32ac" w:colFirst="5" w:colLast="5" w:id="1051"/>
            <w:bookmarkStart w:name="_d4a4c2f5_a2ac_445f_82fc_a847b8efd198" w:colFirst="6" w:colLast="6" w:id="1052"/>
            <w:bookmarkStart w:name="_4074c679_30f9_4079_aecf_093eefc9d781" w:colFirst="7" w:colLast="7" w:id="1053"/>
            <w:bookmarkStart w:name="_85c1e189_7f59_4887_a683_0a799e1b9d94" w:colFirst="8" w:colLast="8" w:id="1054"/>
            <w:bookmarkStart w:name="_c86cedc9_33cf_4106_bdc7_e12a415b0751" w:colFirst="9" w:colLast="9" w:id="1055"/>
            <w:bookmarkStart w:name="_62886cf8_c1ee_49df_9052_628e8ee302b8" w:colFirst="10" w:colLast="10" w:id="1056"/>
            <w:bookmarkStart w:name="_5fa72b5b_35b6_4156_be9a_727355066956" w:colFirst="11" w:colLast="11" w:id="1057"/>
            <w:bookmarkStart w:name="_c551e50e_2aea_455b_a613_9f0d1d47b91e" w:colFirst="12" w:colLast="12" w:id="1058"/>
            <w:bookmarkStart w:name="_e71f4b08_b797_49b6_91d9_2aed673a2f7a" w:colFirst="13" w:colLast="13" w:id="1059"/>
            <w:bookmarkStart w:name="_bc9e8aeb_f4c3_46db_99f1_350517beac07" w:colFirst="14" w:colLast="14" w:id="1060"/>
            <w:bookmarkStart w:name="_a53b826b_9491_4ccb_ae5a_f6b6a29a8394" w:colFirst="15" w:colLast="15" w:id="1061"/>
            <w:bookmarkStart w:name="_fd37ffdf_3765_40b7_a142_6faf53426acd" w:colFirst="16" w:colLast="16" w:id="1062"/>
            <w:bookmarkStart w:name="_197b96a6_bbb9_4742_9f51_8b7e24ee320f" w:colFirst="17" w:colLast="17" w:id="1063"/>
            <w:bookmarkStart w:name="_11259d00_e7d0_48c2_a298_0278fadc59b0" w:colFirst="18" w:colLast="18" w:id="1064"/>
            <w:bookmarkStart w:name="_ab82c95b_3dfe_470a_b82a_4589ca20d889" w:colFirst="19" w:colLast="19" w:id="1065"/>
            <w:bookmarkStart w:name="_46437fae_bc41_4fe6_bc11_49d456aafa73" w:colFirst="20" w:colLast="20" w:id="1066"/>
            <w:bookmarkStart w:name="_503df532_1662_4891_ac4f_cb0741f7b6c5" w:colFirst="21" w:colLast="21" w:id="1067"/>
            <w:bookmarkStart w:name="_e50c5772_b70f_4d0b_9d58_486542135900" w:colFirst="22" w:colLast="22" w:id="1068"/>
            <w:bookmarkStart w:name="_448e917f_3204_4499_afdf_19e0ea67c22c" w:id="1069"/>
          </w:p>
        </w:tc>
        <w:tc>
          <w:tcPr>
            <w:tcW w:w="68" w:type="pct"/>
            <w:tcBorders>
              <w:top w:val="nil"/>
              <w:left w:val="nil"/>
              <w:bottom w:val="nil"/>
              <w:right w:val="nil"/>
            </w:tcBorders>
            <w:noWrap/>
            <w:vAlign w:val="bottom"/>
          </w:tcPr>
          <w:p w:rsidR="009534E2" w:rsidRDefault="009534E2">
            <w:pPr>
              <w:keepNext/>
              <w:spacing w:after="1"/>
              <w:rPr>
                <w:sz w:val="2"/>
              </w:rPr>
            </w:pPr>
          </w:p>
        </w:tc>
        <w:tc>
          <w:tcPr>
            <w:tcW w:w="273"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351"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74"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73"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73"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73"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73"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78"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76"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73" w:type="pct"/>
            <w:tcBorders>
              <w:top w:val="nil"/>
              <w:left w:val="nil"/>
              <w:bottom w:val="nil"/>
              <w:right w:val="nil"/>
            </w:tcBorders>
            <w:noWrap/>
            <w:vAlign w:val="bottom"/>
          </w:tcPr>
          <w:p w:rsidR="009534E2" w:rsidRDefault="009534E2">
            <w:pPr>
              <w:keepNext/>
              <w:spacing w:after="1"/>
              <w:rPr>
                <w:sz w:val="2"/>
              </w:rPr>
            </w:pPr>
          </w:p>
        </w:tc>
        <w:tc>
          <w:tcPr>
            <w:tcW w:w="68" w:type="pct"/>
            <w:tcBorders>
              <w:top w:val="nil"/>
              <w:left w:val="nil"/>
              <w:bottom w:val="nil"/>
              <w:right w:val="nil"/>
            </w:tcBorders>
            <w:noWrap/>
            <w:vAlign w:val="bottom"/>
          </w:tcPr>
          <w:p w:rsidR="009534E2" w:rsidRDefault="009534E2">
            <w:pPr>
              <w:keepNext/>
              <w:spacing w:after="1"/>
              <w:rPr>
                <w:sz w:val="2"/>
              </w:rPr>
            </w:pPr>
          </w:p>
        </w:tc>
        <w:tc>
          <w:tcPr>
            <w:tcW w:w="266" w:type="pct"/>
            <w:tcBorders>
              <w:top w:val="nil"/>
              <w:left w:val="nil"/>
              <w:bottom w:val="nil"/>
              <w:right w:val="nil"/>
            </w:tcBorders>
            <w:noWrap/>
            <w:vAlign w:val="bottom"/>
          </w:tcPr>
          <w:p w:rsidR="009534E2" w:rsidRDefault="009534E2">
            <w:pPr>
              <w:keepNext/>
              <w:spacing w:after="1"/>
              <w:rPr>
                <w:sz w:val="2"/>
              </w:rPr>
            </w:pPr>
          </w:p>
        </w:tc>
      </w:tr>
      <w:tr w:rsidR="009534E2">
        <w:trPr>
          <w:jc w:val="center"/>
        </w:trPr>
        <w:tc>
          <w:tcPr>
            <w:tcW w:w="1169"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628efbc2_d493_409c_bab7_4e1421c00372" w:id="1070"/>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47" w:type="pct"/>
            <w:gridSpan w:val="15"/>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Attributable to equity holders of the parent</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6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r>
      <w:tr w:rsidR="009534E2">
        <w:trPr>
          <w:jc w:val="center"/>
        </w:trPr>
        <w:tc>
          <w:tcPr>
            <w:tcW w:w="1169"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84e1f3c7_33c4_4742_928e_ad4dc6d2b218" w:id="1071"/>
            <w:bookmarkEnd w:id="1070"/>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693"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Share capital</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6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r>
      <w:tr w:rsidR="009534E2">
        <w:trPr>
          <w:jc w:val="center"/>
        </w:trPr>
        <w:tc>
          <w:tcPr>
            <w:tcW w:w="1169"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c0c11993_e03e_4b73_8c47_138e05ad4cee" w:id="1072"/>
            <w:bookmarkEnd w:id="1071"/>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351"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Number of</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4"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Additional</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Non-</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6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r>
      <w:tr w:rsidR="009534E2">
        <w:trPr>
          <w:jc w:val="center"/>
        </w:trPr>
        <w:tc>
          <w:tcPr>
            <w:tcW w:w="1169"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99fcdaec_1046_4caa_a98c_ed3f26dd9177" w:id="1073"/>
            <w:bookmarkEnd w:id="1072"/>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351"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shares</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4"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paid-in</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Share</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Other</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Retained</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8"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Translation</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controlling</w:t>
            </w:r>
          </w:p>
        </w:tc>
        <w:tc>
          <w:tcPr>
            <w:tcW w:w="68"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6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Total </w:t>
            </w:r>
          </w:p>
        </w:tc>
      </w:tr>
      <w:tr w:rsidR="009534E2">
        <w:trPr>
          <w:jc w:val="center"/>
        </w:trPr>
        <w:tc>
          <w:tcPr>
            <w:tcW w:w="1169"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58171aeb_f4ac_4506_818a_e9a320045042" w:id="1074"/>
            <w:bookmarkEnd w:id="1073"/>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Notes</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51"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outstanding</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4"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Amount</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capital</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premium</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reserves</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earnings</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8"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reserve</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6"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Total</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interests</w:t>
            </w:r>
          </w:p>
        </w:tc>
        <w:tc>
          <w:tcPr>
            <w:tcW w:w="68"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66"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equity</w:t>
            </w:r>
          </w:p>
        </w:tc>
      </w:tr>
      <w:tr w:rsidR="009534E2">
        <w:trPr>
          <w:jc w:val="center"/>
        </w:trPr>
        <w:tc>
          <w:tcPr>
            <w:tcW w:w="1169" w:type="pct"/>
            <w:tcBorders>
              <w:top w:val="nil"/>
              <w:left w:val="nil"/>
              <w:bottom w:val="nil"/>
              <w:right w:val="nil"/>
              <w:tl2br w:val="nil"/>
              <w:tr2bl w:val="nil"/>
            </w:tcBorders>
            <w:shd w:val="clear" w:color="auto" w:fill="CCEEFF"/>
            <w:vAlign w:val="bottom"/>
          </w:tcPr>
          <w:p w:rsidR="009534E2" w:rsidRDefault="003369EB">
            <w:pPr>
              <w:keepNext/>
              <w:spacing w:after="1"/>
              <w:rPr>
                <w:b/>
                <w:color w:val="000000"/>
              </w:rPr>
            </w:pPr>
            <w:bookmarkStart w:name="_e33f00ed_4c58_494b_a4de_98244fd4e467" w:id="1075"/>
            <w:bookmarkStart w:name="_71adf1f7_35b5_4c37_957e_b78f0c79cf18" w:colFirst="4" w:colLast="4" w:id="1076"/>
            <w:bookmarkEnd w:id="1074"/>
            <w:r>
              <w:rPr>
                <w:rFonts w:ascii="Times New Roman" w:hAnsi="Times New Roman" w:eastAsia="Times New Roman" w:cs="Times New Roman"/>
                <w:b/>
                <w:color w:val="000000"/>
              </w:rPr>
              <w:t>Balance as of December 31, 2020</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b/>
                <w:color w:val="000000"/>
              </w:rPr>
            </w:pPr>
            <w:r>
              <w:rPr>
                <w:rFonts w:ascii="Times New Roman" w:hAnsi="Times New Roman" w:eastAsia="Times New Roman" w:cs="Times New Roman"/>
                <w:b/>
                <w:color w:val="000000"/>
              </w:rPr>
              <w:t>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35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62,378,832</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1,876</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12,068</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2,575</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14,602</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554</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6"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31,676</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96</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66"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31,772</w:t>
            </w:r>
          </w:p>
        </w:tc>
      </w:tr>
      <w:tr w:rsidR="009534E2">
        <w:trPr>
          <w:jc w:val="center"/>
        </w:trPr>
        <w:tc>
          <w:tcPr>
            <w:tcW w:w="1169" w:type="pct"/>
            <w:tcBorders>
              <w:top w:val="nil"/>
              <w:left w:val="nil"/>
              <w:bottom w:val="nil"/>
              <w:right w:val="nil"/>
              <w:tl2br w:val="nil"/>
              <w:tr2bl w:val="nil"/>
            </w:tcBorders>
            <w:vAlign w:val="bottom"/>
          </w:tcPr>
          <w:p w:rsidR="009534E2" w:rsidRDefault="003369EB">
            <w:pPr>
              <w:keepNext/>
              <w:spacing w:after="1"/>
              <w:rPr>
                <w:color w:val="000000"/>
              </w:rPr>
            </w:pPr>
            <w:bookmarkStart w:name="_a333f5f4_955d_4c85_b9fd_8909fad1c111" w:id="1077"/>
            <w:bookmarkEnd w:id="1075"/>
            <w:bookmarkEnd w:id="1076"/>
            <w:r>
              <w:rPr>
                <w:rFonts w:ascii="Times New Roman" w:hAnsi="Times New Roman" w:eastAsia="Times New Roman" w:cs="Times New Roman"/>
                <w:color w:val="000000"/>
              </w:rPr>
              <w:t>Profit for the year</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jc w:val="center"/>
              <w:rPr>
                <w:b/>
                <w:color w:val="000000"/>
              </w:rPr>
            </w:pPr>
            <w:r>
              <w:rPr>
                <w:rFonts w:ascii="Times New Roman" w:hAnsi="Times New Roman" w:eastAsia="Times New Roman" w:cs="Times New Roman"/>
                <w:b/>
                <w:color w:val="000000"/>
              </w:rPr>
              <w:t>  </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351"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4"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b/>
                <w:color w:val="000000"/>
              </w:rPr>
            </w:pP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17,399</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8"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6"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17,399</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137</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66"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17,536</w:t>
            </w:r>
          </w:p>
        </w:tc>
      </w:tr>
      <w:tr w:rsidR="009534E2">
        <w:trPr>
          <w:jc w:val="center"/>
        </w:trPr>
        <w:tc>
          <w:tcPr>
            <w:tcW w:w="116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rPr>
            </w:pPr>
            <w:bookmarkStart w:name="_261441a7_79f3_4d82_899a_5e12f7adceb9" w:id="1078"/>
            <w:bookmarkEnd w:id="1077"/>
            <w:r>
              <w:rPr>
                <w:rFonts w:ascii="Times New Roman" w:hAnsi="Times New Roman" w:eastAsia="Times New Roman" w:cs="Times New Roman"/>
                <w:color w:val="000000"/>
              </w:rPr>
              <w:t>Other comprehensive income:</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351"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4"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8"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6"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66"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rPr>
            </w:pPr>
          </w:p>
        </w:tc>
      </w:tr>
      <w:tr w:rsidR="009534E2">
        <w:trPr>
          <w:jc w:val="center"/>
        </w:trPr>
        <w:tc>
          <w:tcPr>
            <w:tcW w:w="1169" w:type="pct"/>
            <w:tcBorders>
              <w:top w:val="nil"/>
              <w:left w:val="nil"/>
              <w:bottom w:val="nil"/>
              <w:right w:val="nil"/>
              <w:tl2br w:val="nil"/>
              <w:tr2bl w:val="nil"/>
            </w:tcBorders>
            <w:vAlign w:val="bottom"/>
          </w:tcPr>
          <w:p w:rsidR="009534E2" w:rsidRDefault="003369EB">
            <w:pPr>
              <w:keepNext/>
              <w:spacing w:after="1"/>
              <w:ind w:left="120"/>
              <w:rPr>
                <w:color w:val="000000"/>
              </w:rPr>
            </w:pPr>
            <w:bookmarkStart w:name="_d0a80e27_381d_4b0b_8a81_2541dcc19e6f" w:id="1079"/>
            <w:bookmarkEnd w:id="1078"/>
            <w:r>
              <w:rPr>
                <w:rFonts w:ascii="Times New Roman" w:hAnsi="Times New Roman" w:eastAsia="Times New Roman" w:cs="Times New Roman"/>
                <w:color w:val="000000"/>
              </w:rPr>
              <w:t>Foreign currency translation</w:t>
            </w:r>
          </w:p>
        </w:tc>
        <w:tc>
          <w:tcPr>
            <w:tcW w:w="68"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9534E2">
            <w:pPr>
              <w:keepNext/>
              <w:spacing w:after="1"/>
              <w:jc w:val="center"/>
              <w:rPr>
                <w:color w:val="000000"/>
              </w:rPr>
            </w:pPr>
          </w:p>
        </w:tc>
        <w:tc>
          <w:tcPr>
            <w:tcW w:w="68"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351"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4"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8"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(12)</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6"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(12)</w:t>
            </w:r>
          </w:p>
        </w:tc>
        <w:tc>
          <w:tcPr>
            <w:tcW w:w="68"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66"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(12)</w:t>
            </w:r>
          </w:p>
        </w:tc>
      </w:tr>
      <w:tr w:rsidR="009534E2">
        <w:trPr>
          <w:jc w:val="center"/>
        </w:trPr>
        <w:tc>
          <w:tcPr>
            <w:tcW w:w="1169" w:type="pct"/>
            <w:tcBorders>
              <w:top w:val="nil"/>
              <w:left w:val="nil"/>
              <w:bottom w:val="nil"/>
              <w:right w:val="nil"/>
              <w:tl2br w:val="nil"/>
              <w:tr2bl w:val="nil"/>
            </w:tcBorders>
            <w:shd w:val="clear" w:color="auto" w:fill="CCEEFF"/>
            <w:vAlign w:val="bottom"/>
          </w:tcPr>
          <w:p w:rsidR="009534E2" w:rsidRDefault="003369EB">
            <w:pPr>
              <w:keepNext/>
              <w:spacing w:after="1"/>
              <w:ind w:left="120"/>
              <w:rPr>
                <w:color w:val="000000"/>
              </w:rPr>
            </w:pPr>
            <w:bookmarkStart w:name="_e48f8ed0_9848_46d4_bcae_9ed9f9cd67a4" w:id="1080"/>
            <w:bookmarkEnd w:id="1079"/>
            <w:r>
              <w:rPr>
                <w:rFonts w:ascii="Times New Roman" w:hAnsi="Times New Roman" w:eastAsia="Times New Roman" w:cs="Times New Roman"/>
                <w:color w:val="000000"/>
              </w:rPr>
              <w:t>Debt instruments at FVOCI</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35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(206)</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6"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(206)</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66"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(206)</w:t>
            </w:r>
          </w:p>
        </w:tc>
      </w:tr>
      <w:tr w:rsidR="009534E2">
        <w:trPr>
          <w:jc w:val="center"/>
        </w:trPr>
        <w:tc>
          <w:tcPr>
            <w:tcW w:w="1169" w:type="pct"/>
            <w:tcBorders>
              <w:top w:val="nil"/>
              <w:left w:val="nil"/>
              <w:bottom w:val="nil"/>
              <w:right w:val="nil"/>
              <w:tl2br w:val="nil"/>
              <w:tr2bl w:val="nil"/>
            </w:tcBorders>
            <w:vAlign w:val="bottom"/>
          </w:tcPr>
          <w:p w:rsidR="009534E2" w:rsidRDefault="003369EB">
            <w:pPr>
              <w:keepNext/>
              <w:spacing w:after="1"/>
              <w:rPr>
                <w:b/>
                <w:color w:val="000000"/>
              </w:rPr>
            </w:pPr>
            <w:bookmarkStart w:name="_993a8f60_5401_4a38_b586_0de57c3ac331" w:id="1081"/>
            <w:bookmarkEnd w:id="1080"/>
            <w:r>
              <w:rPr>
                <w:rFonts w:ascii="Times New Roman" w:hAnsi="Times New Roman" w:eastAsia="Times New Roman" w:cs="Times New Roman"/>
                <w:b/>
                <w:color w:val="000000"/>
              </w:rPr>
              <w:t xml:space="preserve">Total comprehensive income </w:t>
            </w:r>
          </w:p>
        </w:tc>
        <w:tc>
          <w:tcPr>
            <w:tcW w:w="68"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9534E2">
            <w:pPr>
              <w:keepNext/>
              <w:spacing w:after="1"/>
              <w:jc w:val="center"/>
              <w:rPr>
                <w:color w:val="000000"/>
              </w:rPr>
            </w:pPr>
          </w:p>
        </w:tc>
        <w:tc>
          <w:tcPr>
            <w:tcW w:w="68"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351"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xml:space="preserve"> (206)</w:t>
            </w:r>
          </w:p>
        </w:tc>
        <w:tc>
          <w:tcPr>
            <w:tcW w:w="68"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17,399</w:t>
            </w:r>
          </w:p>
        </w:tc>
        <w:tc>
          <w:tcPr>
            <w:tcW w:w="68"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8" w:type="pct"/>
            <w:tcBorders>
              <w:top w:val="nil"/>
              <w:left w:val="nil"/>
              <w:bottom w:val="single" w:color="000000" w:sz="4" w:space="0"/>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xml:space="preserve"> (12)</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6"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17,181</w:t>
            </w:r>
          </w:p>
        </w:tc>
        <w:tc>
          <w:tcPr>
            <w:tcW w:w="68"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137</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66"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17,318</w:t>
            </w:r>
          </w:p>
        </w:tc>
      </w:tr>
      <w:tr w:rsidR="009534E2">
        <w:trPr>
          <w:jc w:val="center"/>
        </w:trPr>
        <w:tc>
          <w:tcPr>
            <w:tcW w:w="116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rPr>
            </w:pPr>
            <w:bookmarkStart w:name="_75971545_274d_418c_8ea1_be4f79d828de" w:id="1082"/>
            <w:bookmarkEnd w:id="1081"/>
            <w:r>
              <w:rPr>
                <w:rFonts w:ascii="Times New Roman" w:hAnsi="Times New Roman" w:eastAsia="Times New Roman" w:cs="Times New Roman"/>
                <w:color w:val="000000"/>
              </w:rPr>
              <w:t>Share-based payments</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351"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4"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8</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6"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8</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66"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8</w:t>
            </w:r>
          </w:p>
        </w:tc>
      </w:tr>
      <w:tr w:rsidR="009534E2">
        <w:trPr>
          <w:jc w:val="center"/>
        </w:trPr>
        <w:tc>
          <w:tcPr>
            <w:tcW w:w="1169" w:type="pct"/>
            <w:tcBorders>
              <w:top w:val="nil"/>
              <w:left w:val="nil"/>
              <w:bottom w:val="nil"/>
              <w:right w:val="nil"/>
              <w:tl2br w:val="nil"/>
              <w:tr2bl w:val="nil"/>
            </w:tcBorders>
            <w:vAlign w:val="bottom"/>
          </w:tcPr>
          <w:p w:rsidR="009534E2" w:rsidRDefault="003369EB">
            <w:pPr>
              <w:keepNext/>
              <w:spacing w:after="1"/>
              <w:rPr>
                <w:color w:val="000000"/>
              </w:rPr>
            </w:pPr>
            <w:bookmarkStart w:name="_4b923853_845e_4bdd_8e2b_189b6aeb5a6b" w:id="1083"/>
            <w:bookmarkStart w:name="_f590a9f3_3440_4278_af54_dbda72a18138" w:colFirst="4" w:colLast="4" w:id="1084"/>
            <w:bookmarkEnd w:id="1082"/>
            <w:r>
              <w:rPr>
                <w:rFonts w:ascii="Times New Roman" w:hAnsi="Times New Roman" w:eastAsia="Times New Roman" w:cs="Times New Roman"/>
                <w:color w:val="000000"/>
              </w:rPr>
              <w:t>Exercise of options</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18</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351"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58,936</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4"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8"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6"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66"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r>
      <w:tr w:rsidR="009534E2">
        <w:trPr>
          <w:jc w:val="center"/>
        </w:trPr>
        <w:tc>
          <w:tcPr>
            <w:tcW w:w="1169" w:type="pct"/>
            <w:tcBorders>
              <w:top w:val="nil"/>
              <w:left w:val="nil"/>
              <w:bottom w:val="nil"/>
              <w:right w:val="nil"/>
              <w:tl2br w:val="nil"/>
              <w:tr2bl w:val="nil"/>
            </w:tcBorders>
            <w:shd w:val="clear" w:color="auto" w:fill="CCEEFF"/>
            <w:vAlign w:val="bottom"/>
          </w:tcPr>
          <w:p w:rsidR="009534E2" w:rsidRDefault="003369EB">
            <w:pPr>
              <w:keepNext/>
              <w:spacing w:after="1"/>
              <w:rPr>
                <w:color w:val="000000"/>
              </w:rPr>
            </w:pPr>
            <w:bookmarkStart w:name="_40374057_937b_417f_8722_dd8aa0e52e39" w:id="1085"/>
            <w:bookmarkEnd w:id="1083"/>
            <w:bookmarkEnd w:id="1084"/>
            <w:r>
              <w:rPr>
                <w:rFonts w:ascii="Times New Roman" w:hAnsi="Times New Roman" w:eastAsia="Times New Roman" w:cs="Times New Roman"/>
                <w:color w:val="000000"/>
              </w:rPr>
              <w:t>Dividends</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26</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351"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4"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(5,179)</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8"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6"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(5,179)</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66"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(5,179)</w:t>
            </w:r>
          </w:p>
        </w:tc>
      </w:tr>
      <w:tr w:rsidR="009534E2">
        <w:trPr>
          <w:jc w:val="center"/>
        </w:trPr>
        <w:tc>
          <w:tcPr>
            <w:tcW w:w="1169" w:type="pct"/>
            <w:tcBorders>
              <w:top w:val="nil"/>
              <w:left w:val="nil"/>
              <w:bottom w:val="nil"/>
              <w:right w:val="nil"/>
              <w:tl2br w:val="nil"/>
              <w:tr2bl w:val="nil"/>
            </w:tcBorders>
            <w:noWrap/>
            <w:vAlign w:val="bottom"/>
          </w:tcPr>
          <w:p w:rsidR="009534E2" w:rsidRDefault="003369EB">
            <w:pPr>
              <w:keepNext/>
              <w:spacing w:after="1"/>
              <w:rPr>
                <w:color w:val="000000"/>
              </w:rPr>
            </w:pPr>
            <w:bookmarkStart w:name="_4ebc9dd0_f8c1_4ac6_8085_9fa22bb002cb" w:id="1086"/>
            <w:bookmarkEnd w:id="1085"/>
            <w:r>
              <w:rPr>
                <w:rFonts w:ascii="Times New Roman" w:hAnsi="Times New Roman" w:eastAsia="Times New Roman" w:cs="Times New Roman"/>
                <w:color w:val="000000"/>
              </w:rPr>
              <w:t>Dividends to non-controlling interests</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noWrap/>
            <w:vAlign w:val="bottom"/>
          </w:tcPr>
          <w:p w:rsidR="009534E2" w:rsidRDefault="009534E2">
            <w:pPr>
              <w:keepNext/>
              <w:spacing w:after="1"/>
              <w:jc w:val="center"/>
              <w:rPr>
                <w:color w:val="000000"/>
              </w:rPr>
            </w:pP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351"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4"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8"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6"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(78)</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rPr>
            </w:pPr>
          </w:p>
        </w:tc>
        <w:tc>
          <w:tcPr>
            <w:tcW w:w="266"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(78)</w:t>
            </w:r>
          </w:p>
        </w:tc>
      </w:tr>
      <w:tr w:rsidR="009534E2">
        <w:trPr>
          <w:jc w:val="center"/>
        </w:trPr>
        <w:tc>
          <w:tcPr>
            <w:tcW w:w="116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bookmarkStart w:name="_da49c3e0_22ac_4cc9_9447_2255215b8658" w:id="1087"/>
            <w:bookmarkEnd w:id="1086"/>
            <w:r>
              <w:rPr>
                <w:rFonts w:ascii="Times New Roman" w:hAnsi="Times New Roman" w:eastAsia="Times New Roman" w:cs="Times New Roman"/>
                <w:color w:val="000000"/>
              </w:rPr>
              <w:t>Other</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rPr>
            </w:pP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35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(1)</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6"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(1)</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8"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66"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(1)</w:t>
            </w:r>
          </w:p>
        </w:tc>
      </w:tr>
      <w:tr w:rsidR="009534E2">
        <w:trPr>
          <w:jc w:val="center"/>
        </w:trPr>
        <w:tc>
          <w:tcPr>
            <w:tcW w:w="1169" w:type="pct"/>
            <w:tcBorders>
              <w:top w:val="nil"/>
              <w:left w:val="nil"/>
              <w:bottom w:val="nil"/>
              <w:right w:val="nil"/>
              <w:tl2br w:val="nil"/>
              <w:tr2bl w:val="nil"/>
            </w:tcBorders>
            <w:vAlign w:val="bottom"/>
          </w:tcPr>
          <w:p w:rsidR="009534E2" w:rsidRDefault="003369EB">
            <w:pPr>
              <w:keepNext/>
              <w:spacing w:after="1"/>
              <w:rPr>
                <w:b/>
                <w:color w:val="000000"/>
              </w:rPr>
            </w:pPr>
            <w:bookmarkStart w:name="_b20d16c1_d5ba_476e_8833_b33f187085e6" w:id="1088"/>
            <w:bookmarkStart w:name="_3abb0551_2970_4a31_8143_d7cee551c625" w:colFirst="4" w:colLast="4" w:id="1089"/>
            <w:bookmarkEnd w:id="1087"/>
            <w:r>
              <w:rPr>
                <w:rFonts w:ascii="Times New Roman" w:hAnsi="Times New Roman" w:eastAsia="Times New Roman" w:cs="Times New Roman"/>
                <w:b/>
                <w:color w:val="000000"/>
              </w:rPr>
              <w:t>Balance as of December 31, 2021</w:t>
            </w:r>
          </w:p>
        </w:tc>
        <w:tc>
          <w:tcPr>
            <w:tcW w:w="68" w:type="pct"/>
            <w:tcBorders>
              <w:top w:val="nil"/>
              <w:left w:val="nil"/>
              <w:bottom w:val="nil"/>
              <w:right w:val="nil"/>
              <w:tl2br w:val="nil"/>
              <w:tr2bl w:val="nil"/>
            </w:tcBorders>
            <w:noWrap/>
            <w:vAlign w:val="bottom"/>
          </w:tcPr>
          <w:p w:rsidR="009534E2" w:rsidRDefault="009534E2">
            <w:pPr>
              <w:keepNext/>
              <w:spacing w:after="1"/>
              <w:rPr>
                <w:color w:val="000000"/>
                <w:sz w:val="22"/>
              </w:rPr>
            </w:pPr>
          </w:p>
        </w:tc>
        <w:tc>
          <w:tcPr>
            <w:tcW w:w="273" w:type="pct"/>
            <w:tcBorders>
              <w:top w:val="nil"/>
              <w:left w:val="nil"/>
              <w:bottom w:val="nil"/>
              <w:right w:val="nil"/>
              <w:tl2br w:val="nil"/>
              <w:tr2bl w:val="nil"/>
            </w:tcBorders>
            <w:noWrap/>
            <w:vAlign w:val="bottom"/>
          </w:tcPr>
          <w:p w:rsidR="009534E2" w:rsidRDefault="009534E2">
            <w:pPr>
              <w:keepNext/>
              <w:spacing w:after="1"/>
              <w:jc w:val="center"/>
              <w:rPr>
                <w:color w:val="000000"/>
                <w:sz w:val="22"/>
              </w:rPr>
            </w:pPr>
          </w:p>
        </w:tc>
        <w:tc>
          <w:tcPr>
            <w:tcW w:w="68" w:type="pct"/>
            <w:tcBorders>
              <w:top w:val="nil"/>
              <w:left w:val="nil"/>
              <w:bottom w:val="nil"/>
              <w:right w:val="nil"/>
              <w:tl2br w:val="nil"/>
              <w:tr2bl w:val="nil"/>
            </w:tcBorders>
            <w:noWrap/>
            <w:vAlign w:val="bottom"/>
          </w:tcPr>
          <w:p w:rsidR="009534E2" w:rsidRDefault="009534E2">
            <w:pPr>
              <w:keepNext/>
              <w:spacing w:after="1"/>
              <w:rPr>
                <w:color w:val="000000"/>
                <w:sz w:val="22"/>
              </w:rPr>
            </w:pPr>
          </w:p>
        </w:tc>
        <w:tc>
          <w:tcPr>
            <w:tcW w:w="351"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62,437,768</w:t>
            </w:r>
          </w:p>
        </w:tc>
        <w:tc>
          <w:tcPr>
            <w:tcW w:w="68"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74"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1</w:t>
            </w:r>
          </w:p>
        </w:tc>
        <w:tc>
          <w:tcPr>
            <w:tcW w:w="68"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73"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1,876</w:t>
            </w:r>
          </w:p>
        </w:tc>
        <w:tc>
          <w:tcPr>
            <w:tcW w:w="68"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73"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12,068</w:t>
            </w:r>
          </w:p>
        </w:tc>
        <w:tc>
          <w:tcPr>
            <w:tcW w:w="68"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73"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2,376</w:t>
            </w:r>
          </w:p>
        </w:tc>
        <w:tc>
          <w:tcPr>
            <w:tcW w:w="68"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73"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26,822</w:t>
            </w:r>
          </w:p>
        </w:tc>
        <w:tc>
          <w:tcPr>
            <w:tcW w:w="68"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78"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542</w:t>
            </w:r>
          </w:p>
        </w:tc>
        <w:tc>
          <w:tcPr>
            <w:tcW w:w="68"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76"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43,685</w:t>
            </w:r>
          </w:p>
        </w:tc>
        <w:tc>
          <w:tcPr>
            <w:tcW w:w="68"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73"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155</w:t>
            </w:r>
          </w:p>
        </w:tc>
        <w:tc>
          <w:tcPr>
            <w:tcW w:w="68"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66"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43,840</w:t>
            </w:r>
          </w:p>
        </w:tc>
      </w:tr>
      <w:bookmarkEnd w:id="1069"/>
      <w:bookmarkEnd w:id="1088"/>
      <w:bookmarkEnd w:id="1089"/>
    </w:tbl>
    <w:p w:rsidR="009534E2" w:rsidRDefault="009534E2">
      <w:pPr>
        <w:pStyle w:val="BodyText"/>
        <w:spacing w:after="0"/>
        <w:rPr>
          <w:rFonts w:asciiTheme="majorHAnsi" w:hAnsiTheme="majorHAnsi" w:cstheme="majorHAnsi"/>
          <w:i/>
          <w:lang w:val="ru-RU" w:eastAsia="ru-RU"/>
        </w:rPr>
      </w:pPr>
    </w:p>
    <w:p w:rsidR="009534E2" w:rsidRDefault="003369EB">
      <w:pPr>
        <w:pStyle w:val="BodyText"/>
        <w:spacing w:after="0"/>
        <w:jc w:val="center"/>
        <w:rPr>
          <w:rFonts w:asciiTheme="majorHAnsi" w:hAnsiTheme="majorHAnsi" w:cstheme="majorHAnsi"/>
          <w:i/>
          <w:lang w:val="ru-RU" w:eastAsia="ru-RU"/>
        </w:rPr>
      </w:pPr>
      <w:r>
        <w:rPr>
          <w:rFonts w:asciiTheme="majorHAnsi" w:hAnsiTheme="majorHAnsi" w:cstheme="majorHAnsi"/>
          <w:i/>
          <w:lang w:val="ru-RU" w:eastAsia="ru-RU"/>
        </w:rPr>
        <w:t>The accompanying notes form an integral part of these consolidated financial statements.</w:t>
      </w:r>
    </w:p>
    <w:p w:rsidR="009534E2" w:rsidRDefault="003369EB">
      <w:pPr>
        <w:rPr>
          <w:rFonts w:eastAsia="Times New Roman" w:asciiTheme="majorHAnsi" w:hAnsiTheme="majorHAnsi" w:cstheme="majorHAnsi"/>
        </w:rPr>
      </w:pPr>
      <w:r>
        <w:rPr>
          <w:rFonts w:eastAsia="Times New Roman" w:asciiTheme="majorHAnsi" w:hAnsiTheme="majorHAnsi" w:cstheme="majorHAnsi"/>
        </w:rPr>
        <w:br w:type="page"/>
      </w:r>
    </w:p>
    <w:p w:rsidR="009534E2" w:rsidRDefault="003369EB">
      <w:pPr>
        <w:pStyle w:val="BodyText"/>
        <w:keepNext/>
        <w:jc w:val="center"/>
        <w:rPr>
          <w:rFonts w:asciiTheme="majorHAnsi" w:hAnsiTheme="majorHAnsi" w:cstheme="majorHAnsi"/>
          <w:lang w:val="ru-RU" w:eastAsia="ru-RU"/>
        </w:rPr>
      </w:pPr>
      <w:r>
        <w:rPr>
          <w:rFonts w:asciiTheme="majorHAnsi" w:hAnsiTheme="majorHAnsi" w:cstheme="majorHAnsi"/>
          <w:lang w:val="ru-RU" w:eastAsia="ru-RU"/>
        </w:rPr>
        <w:t>QIWI plc</w:t>
      </w:r>
    </w:p>
    <w:p w:rsidR="009534E2" w:rsidRDefault="003369EB">
      <w:pPr>
        <w:pStyle w:val="BodyText"/>
        <w:keepNext/>
        <w:jc w:val="center"/>
        <w:rPr>
          <w:rFonts w:asciiTheme="majorHAnsi" w:hAnsiTheme="majorHAnsi" w:cstheme="majorHAnsi"/>
          <w:lang w:val="ru-RU" w:eastAsia="ru-RU"/>
        </w:rPr>
      </w:pPr>
      <w:r>
        <w:rPr>
          <w:rFonts w:asciiTheme="majorHAnsi" w:hAnsiTheme="majorHAnsi" w:cstheme="majorHAnsi"/>
          <w:lang w:val="ru-RU" w:eastAsia="ru-RU"/>
        </w:rPr>
        <w:t>Consolidated statement of changes in equity</w:t>
      </w:r>
    </w:p>
    <w:p w:rsidR="009534E2" w:rsidRDefault="003369EB">
      <w:pPr>
        <w:pStyle w:val="BodyText"/>
        <w:keepNext/>
        <w:jc w:val="center"/>
        <w:rPr>
          <w:rFonts w:asciiTheme="majorHAnsi" w:hAnsiTheme="majorHAnsi" w:cstheme="majorHAnsi"/>
          <w:lang w:eastAsia="ru-RU"/>
        </w:rPr>
      </w:pPr>
      <w:r>
        <w:rPr>
          <w:rFonts w:asciiTheme="majorHAnsi" w:hAnsiTheme="majorHAnsi" w:cstheme="majorHAnsi"/>
          <w:lang w:val="ru-RU" w:eastAsia="ru-RU"/>
        </w:rPr>
        <w:t>for the year ended December 31, 20</w:t>
      </w:r>
      <w:r>
        <w:rPr>
          <w:rFonts w:asciiTheme="majorHAnsi" w:hAnsiTheme="majorHAnsi" w:cstheme="majorHAnsi"/>
          <w:lang w:eastAsia="ru-RU"/>
        </w:rPr>
        <w:t>22</w:t>
      </w:r>
    </w:p>
    <w:p w:rsidR="009534E2" w:rsidRDefault="003369EB">
      <w:pPr>
        <w:pStyle w:val="BodyText"/>
        <w:keepNext/>
        <w:spacing w:after="0"/>
        <w:jc w:val="center"/>
        <w:rPr>
          <w:rFonts w:asciiTheme="majorHAnsi" w:hAnsiTheme="majorHAnsi" w:cstheme="majorHAnsi"/>
          <w:i/>
          <w:lang w:val="ru-RU" w:eastAsia="ru-RU"/>
        </w:rPr>
      </w:pPr>
      <w:r>
        <w:rPr>
          <w:rFonts w:asciiTheme="majorHAnsi" w:hAnsiTheme="majorHAnsi" w:cstheme="majorHAnsi"/>
          <w:i/>
          <w:lang w:val="ru-RU" w:eastAsia="ru-RU"/>
        </w:rPr>
        <w:t>(in millions of Rubles, except per share data)</w:t>
      </w:r>
    </w:p>
    <w:p w:rsidR="009534E2" w:rsidRDefault="009534E2">
      <w:pPr>
        <w:keepNext/>
        <w:rPr>
          <w:rFonts w:asciiTheme="majorHAnsi" w:hAnsiTheme="majorHAnsi" w:cstheme="majorHAnsi"/>
          <w:lang w:val="ru-RU"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365"/>
        <w:gridCol w:w="193"/>
        <w:gridCol w:w="783"/>
        <w:gridCol w:w="193"/>
        <w:gridCol w:w="1011"/>
        <w:gridCol w:w="193"/>
        <w:gridCol w:w="786"/>
        <w:gridCol w:w="193"/>
        <w:gridCol w:w="783"/>
        <w:gridCol w:w="193"/>
        <w:gridCol w:w="783"/>
        <w:gridCol w:w="193"/>
        <w:gridCol w:w="783"/>
        <w:gridCol w:w="193"/>
        <w:gridCol w:w="783"/>
        <w:gridCol w:w="193"/>
        <w:gridCol w:w="841"/>
        <w:gridCol w:w="193"/>
        <w:gridCol w:w="792"/>
        <w:gridCol w:w="193"/>
        <w:gridCol w:w="787"/>
        <w:gridCol w:w="190"/>
        <w:gridCol w:w="783"/>
      </w:tblGrid>
      <w:tr w:rsidR="009534E2">
        <w:trPr>
          <w:trHeight w:val="20"/>
          <w:jc w:val="center"/>
        </w:trPr>
        <w:tc>
          <w:tcPr>
            <w:tcW w:w="1168" w:type="pct"/>
            <w:tcBorders>
              <w:top w:val="nil"/>
              <w:left w:val="nil"/>
              <w:bottom w:val="nil"/>
              <w:right w:val="nil"/>
            </w:tcBorders>
            <w:vAlign w:val="bottom"/>
          </w:tcPr>
          <w:p w:rsidR="009534E2" w:rsidRDefault="009534E2">
            <w:pPr>
              <w:keepNext/>
              <w:spacing w:after="1"/>
              <w:rPr>
                <w:sz w:val="2"/>
              </w:rPr>
            </w:pPr>
            <w:bookmarkStart w:name="_a22f3d3a_5e19_4ddc_ac4f_22533655f2f9" w:colFirst="0" w:colLast="0" w:id="1090"/>
            <w:bookmarkStart w:name="_85383a4e_6054_4205_ada3_cdefdb808f97" w:colFirst="1" w:colLast="1" w:id="1091"/>
            <w:bookmarkStart w:name="_273e1de8_4194_4065_9fac_5d9e1af27c15" w:colFirst="2" w:colLast="2" w:id="1092"/>
            <w:bookmarkStart w:name="_ac81fdf8_f8b6_4925_8391_779b13bc5410" w:colFirst="3" w:colLast="3" w:id="1093"/>
            <w:bookmarkStart w:name="_23e58a94_c7df_401c_a423_8f6d870dacbd" w:colFirst="4" w:colLast="4" w:id="1094"/>
            <w:bookmarkStart w:name="_1a9c3ee7_a7b6_46a3_a80a_a11b1a76c004" w:colFirst="5" w:colLast="5" w:id="1095"/>
            <w:bookmarkStart w:name="_ec875e1c_0ab2_4f8c_8fe6_2c45870ea20c" w:colFirst="6" w:colLast="6" w:id="1096"/>
            <w:bookmarkStart w:name="_9e3933d5_425c_47e8_a57d_ef6c1a96c465" w:colFirst="7" w:colLast="7" w:id="1097"/>
            <w:bookmarkStart w:name="_bfa3db2b_cf5a_4d2c_9fbd_ba35971f4153" w:colFirst="8" w:colLast="8" w:id="1098"/>
            <w:bookmarkStart w:name="_8e67ec07_77b6_4e43_a8c8_42648eaed101" w:colFirst="9" w:colLast="9" w:id="1099"/>
            <w:bookmarkStart w:name="_7cfc9068_1619_44c5_a139_a7a64409fc69" w:colFirst="10" w:colLast="10" w:id="1100"/>
            <w:bookmarkStart w:name="_7232b1b8_af4d_4ca0_af9a_90fb8aaa6d2a" w:colFirst="11" w:colLast="11" w:id="1101"/>
            <w:bookmarkStart w:name="_c5a88b33_c889_440e_b633_489adc04c9d1" w:colFirst="12" w:colLast="12" w:id="1102"/>
            <w:bookmarkStart w:name="_8645056d_4e49_4901_ba4d_9a532f2f7183" w:colFirst="13" w:colLast="13" w:id="1103"/>
            <w:bookmarkStart w:name="_3be8899b_dbbf_4c44_950f_c8d6d2084972" w:colFirst="14" w:colLast="14" w:id="1104"/>
            <w:bookmarkStart w:name="_9ffa4468_aaaf_4d31_b056_029df2c60569" w:colFirst="15" w:colLast="15" w:id="1105"/>
            <w:bookmarkStart w:name="_f0248ab4_a626_4da0_b99f_b4c5bb8fae75" w:colFirst="16" w:colLast="16" w:id="1106"/>
            <w:bookmarkStart w:name="_77b59eef_1aed_492e_a254_1fcaba6efe81" w:colFirst="17" w:colLast="17" w:id="1107"/>
            <w:bookmarkStart w:name="_dcb890ef_7a4d_498d_89fa_d7534b0e4e33" w:colFirst="18" w:colLast="18" w:id="1108"/>
            <w:bookmarkStart w:name="_3686b03b_77e8_4e51_9787_3f2373bebf33" w:colFirst="19" w:colLast="19" w:id="1109"/>
            <w:bookmarkStart w:name="_92b56e0a_bf19_4158_b701_7402f8c8f197" w:colFirst="20" w:colLast="20" w:id="1110"/>
            <w:bookmarkStart w:name="_152137ff_d4dc_4d24_8ca2_38e9fb42ac55" w:colFirst="21" w:colLast="21" w:id="1111"/>
            <w:bookmarkStart w:name="_06156cc7_cb6b_4ebf_bda0_ca78598b1ec9" w:colFirst="22" w:colLast="22" w:id="1112"/>
            <w:bookmarkStart w:name="_397e9e04_5c16_4761_aacd_c929802c735c" w:id="1113"/>
          </w:p>
        </w:tc>
        <w:tc>
          <w:tcPr>
            <w:tcW w:w="67" w:type="pct"/>
            <w:tcBorders>
              <w:top w:val="nil"/>
              <w:left w:val="nil"/>
              <w:bottom w:val="nil"/>
              <w:right w:val="nil"/>
            </w:tcBorders>
            <w:noWrap/>
            <w:vAlign w:val="bottom"/>
          </w:tcPr>
          <w:p w:rsidR="009534E2" w:rsidRDefault="009534E2">
            <w:pPr>
              <w:keepNext/>
              <w:spacing w:after="1"/>
              <w:rPr>
                <w:sz w:val="2"/>
              </w:rPr>
            </w:pPr>
          </w:p>
        </w:tc>
        <w:tc>
          <w:tcPr>
            <w:tcW w:w="272" w:type="pct"/>
            <w:tcBorders>
              <w:top w:val="nil"/>
              <w:left w:val="nil"/>
              <w:bottom w:val="nil"/>
              <w:right w:val="nil"/>
            </w:tcBorders>
            <w:noWrap/>
            <w:vAlign w:val="bottom"/>
          </w:tcPr>
          <w:p w:rsidR="009534E2" w:rsidRDefault="009534E2">
            <w:pPr>
              <w:keepNext/>
              <w:spacing w:after="1"/>
              <w:rPr>
                <w:sz w:val="2"/>
              </w:rPr>
            </w:pPr>
          </w:p>
        </w:tc>
        <w:tc>
          <w:tcPr>
            <w:tcW w:w="67" w:type="pct"/>
            <w:tcBorders>
              <w:top w:val="nil"/>
              <w:left w:val="nil"/>
              <w:bottom w:val="nil"/>
              <w:right w:val="nil"/>
            </w:tcBorders>
            <w:noWrap/>
            <w:vAlign w:val="bottom"/>
          </w:tcPr>
          <w:p w:rsidR="009534E2" w:rsidRDefault="009534E2">
            <w:pPr>
              <w:keepNext/>
              <w:spacing w:after="1"/>
              <w:rPr>
                <w:sz w:val="2"/>
              </w:rPr>
            </w:pPr>
          </w:p>
        </w:tc>
        <w:tc>
          <w:tcPr>
            <w:tcW w:w="351" w:type="pct"/>
            <w:tcBorders>
              <w:top w:val="nil"/>
              <w:left w:val="nil"/>
              <w:bottom w:val="nil"/>
              <w:right w:val="nil"/>
            </w:tcBorders>
            <w:noWrap/>
            <w:vAlign w:val="bottom"/>
          </w:tcPr>
          <w:p w:rsidR="009534E2" w:rsidRDefault="009534E2">
            <w:pPr>
              <w:keepNext/>
              <w:spacing w:after="1"/>
              <w:rPr>
                <w:sz w:val="2"/>
              </w:rPr>
            </w:pPr>
          </w:p>
        </w:tc>
        <w:tc>
          <w:tcPr>
            <w:tcW w:w="67" w:type="pct"/>
            <w:tcBorders>
              <w:top w:val="nil"/>
              <w:left w:val="nil"/>
              <w:bottom w:val="nil"/>
              <w:right w:val="nil"/>
            </w:tcBorders>
            <w:noWrap/>
            <w:vAlign w:val="bottom"/>
          </w:tcPr>
          <w:p w:rsidR="009534E2" w:rsidRDefault="009534E2">
            <w:pPr>
              <w:keepNext/>
              <w:spacing w:after="1"/>
              <w:rPr>
                <w:sz w:val="2"/>
              </w:rPr>
            </w:pPr>
          </w:p>
        </w:tc>
        <w:tc>
          <w:tcPr>
            <w:tcW w:w="273" w:type="pct"/>
            <w:tcBorders>
              <w:top w:val="nil"/>
              <w:left w:val="nil"/>
              <w:bottom w:val="nil"/>
              <w:right w:val="nil"/>
            </w:tcBorders>
            <w:noWrap/>
            <w:vAlign w:val="bottom"/>
          </w:tcPr>
          <w:p w:rsidR="009534E2" w:rsidRDefault="009534E2">
            <w:pPr>
              <w:keepNext/>
              <w:spacing w:after="1"/>
              <w:rPr>
                <w:sz w:val="2"/>
              </w:rPr>
            </w:pPr>
          </w:p>
        </w:tc>
        <w:tc>
          <w:tcPr>
            <w:tcW w:w="67" w:type="pct"/>
            <w:tcBorders>
              <w:top w:val="nil"/>
              <w:left w:val="nil"/>
              <w:bottom w:val="nil"/>
              <w:right w:val="nil"/>
            </w:tcBorders>
            <w:noWrap/>
            <w:vAlign w:val="bottom"/>
          </w:tcPr>
          <w:p w:rsidR="009534E2" w:rsidRDefault="009534E2">
            <w:pPr>
              <w:keepNext/>
              <w:spacing w:after="1"/>
              <w:rPr>
                <w:sz w:val="2"/>
              </w:rPr>
            </w:pPr>
          </w:p>
        </w:tc>
        <w:tc>
          <w:tcPr>
            <w:tcW w:w="272" w:type="pct"/>
            <w:tcBorders>
              <w:top w:val="nil"/>
              <w:left w:val="nil"/>
              <w:bottom w:val="nil"/>
              <w:right w:val="nil"/>
            </w:tcBorders>
            <w:noWrap/>
            <w:vAlign w:val="bottom"/>
          </w:tcPr>
          <w:p w:rsidR="009534E2" w:rsidRDefault="009534E2">
            <w:pPr>
              <w:keepNext/>
              <w:spacing w:after="1"/>
              <w:rPr>
                <w:sz w:val="2"/>
              </w:rPr>
            </w:pPr>
          </w:p>
        </w:tc>
        <w:tc>
          <w:tcPr>
            <w:tcW w:w="67" w:type="pct"/>
            <w:tcBorders>
              <w:top w:val="nil"/>
              <w:left w:val="nil"/>
              <w:bottom w:val="nil"/>
              <w:right w:val="nil"/>
            </w:tcBorders>
            <w:noWrap/>
            <w:vAlign w:val="bottom"/>
          </w:tcPr>
          <w:p w:rsidR="009534E2" w:rsidRDefault="009534E2">
            <w:pPr>
              <w:keepNext/>
              <w:spacing w:after="1"/>
              <w:rPr>
                <w:sz w:val="2"/>
              </w:rPr>
            </w:pPr>
          </w:p>
        </w:tc>
        <w:tc>
          <w:tcPr>
            <w:tcW w:w="272" w:type="pct"/>
            <w:tcBorders>
              <w:top w:val="nil"/>
              <w:left w:val="nil"/>
              <w:bottom w:val="nil"/>
              <w:right w:val="nil"/>
            </w:tcBorders>
            <w:noWrap/>
            <w:vAlign w:val="bottom"/>
          </w:tcPr>
          <w:p w:rsidR="009534E2" w:rsidRDefault="009534E2">
            <w:pPr>
              <w:keepNext/>
              <w:spacing w:after="1"/>
              <w:rPr>
                <w:sz w:val="2"/>
              </w:rPr>
            </w:pPr>
          </w:p>
        </w:tc>
        <w:tc>
          <w:tcPr>
            <w:tcW w:w="67" w:type="pct"/>
            <w:tcBorders>
              <w:top w:val="nil"/>
              <w:left w:val="nil"/>
              <w:bottom w:val="nil"/>
              <w:right w:val="nil"/>
            </w:tcBorders>
            <w:noWrap/>
            <w:vAlign w:val="bottom"/>
          </w:tcPr>
          <w:p w:rsidR="009534E2" w:rsidRDefault="009534E2">
            <w:pPr>
              <w:keepNext/>
              <w:spacing w:after="1"/>
              <w:rPr>
                <w:sz w:val="2"/>
              </w:rPr>
            </w:pPr>
          </w:p>
        </w:tc>
        <w:tc>
          <w:tcPr>
            <w:tcW w:w="272" w:type="pct"/>
            <w:tcBorders>
              <w:top w:val="nil"/>
              <w:left w:val="nil"/>
              <w:bottom w:val="nil"/>
              <w:right w:val="nil"/>
            </w:tcBorders>
            <w:noWrap/>
            <w:vAlign w:val="bottom"/>
          </w:tcPr>
          <w:p w:rsidR="009534E2" w:rsidRDefault="009534E2">
            <w:pPr>
              <w:keepNext/>
              <w:spacing w:after="1"/>
              <w:rPr>
                <w:sz w:val="2"/>
              </w:rPr>
            </w:pPr>
          </w:p>
        </w:tc>
        <w:tc>
          <w:tcPr>
            <w:tcW w:w="67" w:type="pct"/>
            <w:tcBorders>
              <w:top w:val="nil"/>
              <w:left w:val="nil"/>
              <w:bottom w:val="nil"/>
              <w:right w:val="nil"/>
            </w:tcBorders>
            <w:noWrap/>
            <w:vAlign w:val="bottom"/>
          </w:tcPr>
          <w:p w:rsidR="009534E2" w:rsidRDefault="009534E2">
            <w:pPr>
              <w:keepNext/>
              <w:spacing w:after="1"/>
              <w:rPr>
                <w:sz w:val="2"/>
              </w:rPr>
            </w:pPr>
          </w:p>
        </w:tc>
        <w:tc>
          <w:tcPr>
            <w:tcW w:w="272" w:type="pct"/>
            <w:tcBorders>
              <w:top w:val="nil"/>
              <w:left w:val="nil"/>
              <w:bottom w:val="nil"/>
              <w:right w:val="nil"/>
            </w:tcBorders>
            <w:noWrap/>
            <w:vAlign w:val="bottom"/>
          </w:tcPr>
          <w:p w:rsidR="009534E2" w:rsidRDefault="009534E2">
            <w:pPr>
              <w:keepNext/>
              <w:spacing w:after="1"/>
              <w:rPr>
                <w:sz w:val="2"/>
              </w:rPr>
            </w:pPr>
          </w:p>
        </w:tc>
        <w:tc>
          <w:tcPr>
            <w:tcW w:w="67" w:type="pct"/>
            <w:tcBorders>
              <w:top w:val="nil"/>
              <w:left w:val="nil"/>
              <w:bottom w:val="nil"/>
              <w:right w:val="nil"/>
            </w:tcBorders>
            <w:noWrap/>
            <w:vAlign w:val="bottom"/>
          </w:tcPr>
          <w:p w:rsidR="009534E2" w:rsidRDefault="009534E2">
            <w:pPr>
              <w:keepNext/>
              <w:spacing w:after="1"/>
              <w:rPr>
                <w:sz w:val="2"/>
              </w:rPr>
            </w:pPr>
          </w:p>
        </w:tc>
        <w:tc>
          <w:tcPr>
            <w:tcW w:w="292" w:type="pct"/>
            <w:tcBorders>
              <w:top w:val="nil"/>
              <w:left w:val="nil"/>
              <w:bottom w:val="nil"/>
              <w:right w:val="nil"/>
            </w:tcBorders>
            <w:noWrap/>
            <w:vAlign w:val="bottom"/>
          </w:tcPr>
          <w:p w:rsidR="009534E2" w:rsidRDefault="009534E2">
            <w:pPr>
              <w:keepNext/>
              <w:spacing w:after="1"/>
              <w:rPr>
                <w:sz w:val="2"/>
              </w:rPr>
            </w:pPr>
          </w:p>
        </w:tc>
        <w:tc>
          <w:tcPr>
            <w:tcW w:w="67" w:type="pct"/>
            <w:tcBorders>
              <w:top w:val="nil"/>
              <w:left w:val="nil"/>
              <w:bottom w:val="nil"/>
              <w:right w:val="nil"/>
            </w:tcBorders>
            <w:noWrap/>
            <w:vAlign w:val="bottom"/>
          </w:tcPr>
          <w:p w:rsidR="009534E2" w:rsidRDefault="009534E2">
            <w:pPr>
              <w:keepNext/>
              <w:spacing w:after="1"/>
              <w:rPr>
                <w:sz w:val="2"/>
              </w:rPr>
            </w:pPr>
          </w:p>
        </w:tc>
        <w:tc>
          <w:tcPr>
            <w:tcW w:w="275" w:type="pct"/>
            <w:tcBorders>
              <w:top w:val="nil"/>
              <w:left w:val="nil"/>
              <w:bottom w:val="nil"/>
              <w:right w:val="nil"/>
            </w:tcBorders>
            <w:noWrap/>
            <w:vAlign w:val="bottom"/>
          </w:tcPr>
          <w:p w:rsidR="009534E2" w:rsidRDefault="009534E2">
            <w:pPr>
              <w:keepNext/>
              <w:spacing w:after="1"/>
              <w:rPr>
                <w:sz w:val="2"/>
              </w:rPr>
            </w:pPr>
          </w:p>
        </w:tc>
        <w:tc>
          <w:tcPr>
            <w:tcW w:w="67" w:type="pct"/>
            <w:tcBorders>
              <w:top w:val="nil"/>
              <w:left w:val="nil"/>
              <w:bottom w:val="nil"/>
              <w:right w:val="nil"/>
            </w:tcBorders>
            <w:noWrap/>
            <w:vAlign w:val="bottom"/>
          </w:tcPr>
          <w:p w:rsidR="009534E2" w:rsidRDefault="009534E2">
            <w:pPr>
              <w:keepNext/>
              <w:spacing w:after="1"/>
              <w:rPr>
                <w:sz w:val="2"/>
              </w:rPr>
            </w:pPr>
          </w:p>
        </w:tc>
        <w:tc>
          <w:tcPr>
            <w:tcW w:w="273" w:type="pct"/>
            <w:tcBorders>
              <w:top w:val="nil"/>
              <w:left w:val="nil"/>
              <w:bottom w:val="nil"/>
              <w:right w:val="nil"/>
            </w:tcBorders>
            <w:noWrap/>
            <w:vAlign w:val="bottom"/>
          </w:tcPr>
          <w:p w:rsidR="009534E2" w:rsidRDefault="009534E2">
            <w:pPr>
              <w:keepNext/>
              <w:spacing w:after="1"/>
              <w:rPr>
                <w:sz w:val="2"/>
              </w:rPr>
            </w:pPr>
          </w:p>
        </w:tc>
        <w:tc>
          <w:tcPr>
            <w:tcW w:w="66" w:type="pct"/>
            <w:tcBorders>
              <w:top w:val="nil"/>
              <w:left w:val="nil"/>
              <w:bottom w:val="nil"/>
              <w:right w:val="nil"/>
            </w:tcBorders>
            <w:noWrap/>
            <w:vAlign w:val="bottom"/>
          </w:tcPr>
          <w:p w:rsidR="009534E2" w:rsidRDefault="009534E2">
            <w:pPr>
              <w:keepNext/>
              <w:spacing w:after="1"/>
              <w:rPr>
                <w:sz w:val="2"/>
              </w:rPr>
            </w:pPr>
          </w:p>
        </w:tc>
        <w:tc>
          <w:tcPr>
            <w:tcW w:w="272" w:type="pct"/>
            <w:tcBorders>
              <w:top w:val="nil"/>
              <w:left w:val="nil"/>
              <w:bottom w:val="nil"/>
              <w:right w:val="nil"/>
            </w:tcBorders>
            <w:noWrap/>
            <w:vAlign w:val="bottom"/>
          </w:tcPr>
          <w:p w:rsidR="009534E2" w:rsidRDefault="009534E2">
            <w:pPr>
              <w:keepNext/>
              <w:spacing w:after="1"/>
              <w:rPr>
                <w:sz w:val="2"/>
              </w:rPr>
            </w:pPr>
          </w:p>
        </w:tc>
      </w:tr>
      <w:tr w:rsidR="009534E2">
        <w:trPr>
          <w:jc w:val="center"/>
        </w:trPr>
        <w:tc>
          <w:tcPr>
            <w:tcW w:w="1168"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e3cb33c6_e008_4658_88ce_9a9da61e1e46" w:id="1114"/>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48" w:type="pct"/>
            <w:gridSpan w:val="15"/>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Attributable to equity holders of the parent</w:t>
            </w: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6"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r>
      <w:tr w:rsidR="009534E2">
        <w:trPr>
          <w:jc w:val="center"/>
        </w:trPr>
        <w:tc>
          <w:tcPr>
            <w:tcW w:w="1168"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6ad59812_5844_4f98_98b5_36c6bbd7b0b4" w:id="1115"/>
            <w:bookmarkEnd w:id="1114"/>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691"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Share capital</w:t>
            </w: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9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5"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6"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r>
      <w:tr w:rsidR="009534E2">
        <w:trPr>
          <w:jc w:val="center"/>
        </w:trPr>
        <w:tc>
          <w:tcPr>
            <w:tcW w:w="1168"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8979b378_ab3d_4456_aee6_641ed68f9250" w:id="1116"/>
            <w:bookmarkEnd w:id="1115"/>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351"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Number of</w:t>
            </w: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Additional</w:t>
            </w: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9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5"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Non-</w:t>
            </w:r>
          </w:p>
        </w:tc>
        <w:tc>
          <w:tcPr>
            <w:tcW w:w="66"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r>
      <w:tr w:rsidR="009534E2">
        <w:trPr>
          <w:jc w:val="center"/>
        </w:trPr>
        <w:tc>
          <w:tcPr>
            <w:tcW w:w="1168"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ae4e56d8_8231_4f88_b219_7bf5ff3f9634" w:id="1117"/>
            <w:bookmarkEnd w:id="1116"/>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351"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 shares </w:t>
            </w: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 paid-in </w:t>
            </w: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Share</w:t>
            </w: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Other</w:t>
            </w: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Retained</w:t>
            </w: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92"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Translation </w:t>
            </w: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5"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67"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controlling </w:t>
            </w:r>
          </w:p>
        </w:tc>
        <w:tc>
          <w:tcPr>
            <w:tcW w:w="66"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6"/>
              </w:rPr>
            </w:pPr>
          </w:p>
        </w:tc>
        <w:tc>
          <w:tcPr>
            <w:tcW w:w="272"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Total </w:t>
            </w:r>
          </w:p>
        </w:tc>
      </w:tr>
      <w:tr w:rsidR="009534E2">
        <w:trPr>
          <w:jc w:val="center"/>
        </w:trPr>
        <w:tc>
          <w:tcPr>
            <w:tcW w:w="1168"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198f45e3_3f8a_4982_8a48_d987c1e74d6a" w:id="1118"/>
            <w:bookmarkEnd w:id="1117"/>
          </w:p>
        </w:tc>
        <w:tc>
          <w:tcPr>
            <w:tcW w:w="67"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2"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Notes</w:t>
            </w:r>
          </w:p>
        </w:tc>
        <w:tc>
          <w:tcPr>
            <w:tcW w:w="67"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351"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outstanding</w:t>
            </w:r>
          </w:p>
        </w:tc>
        <w:tc>
          <w:tcPr>
            <w:tcW w:w="67"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Amount</w:t>
            </w:r>
          </w:p>
        </w:tc>
        <w:tc>
          <w:tcPr>
            <w:tcW w:w="67"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2"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capital</w:t>
            </w:r>
          </w:p>
        </w:tc>
        <w:tc>
          <w:tcPr>
            <w:tcW w:w="67"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2"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 premium</w:t>
            </w:r>
          </w:p>
        </w:tc>
        <w:tc>
          <w:tcPr>
            <w:tcW w:w="67"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2"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 reserves</w:t>
            </w:r>
          </w:p>
        </w:tc>
        <w:tc>
          <w:tcPr>
            <w:tcW w:w="67"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2"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 earnings</w:t>
            </w:r>
          </w:p>
        </w:tc>
        <w:tc>
          <w:tcPr>
            <w:tcW w:w="67"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92"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reserve</w:t>
            </w:r>
          </w:p>
        </w:tc>
        <w:tc>
          <w:tcPr>
            <w:tcW w:w="67"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Total</w:t>
            </w:r>
          </w:p>
        </w:tc>
        <w:tc>
          <w:tcPr>
            <w:tcW w:w="67"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interests</w:t>
            </w:r>
          </w:p>
        </w:tc>
        <w:tc>
          <w:tcPr>
            <w:tcW w:w="66"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6"/>
              </w:rPr>
            </w:pPr>
            <w:r>
              <w:rPr>
                <w:rFonts w:ascii="Times New Roman" w:hAnsi="Times New Roman" w:eastAsia="Times New Roman" w:cs="Times New Roman"/>
                <w:b/>
                <w:color w:val="000000"/>
                <w:sz w:val="16"/>
              </w:rPr>
              <w:t>    </w:t>
            </w:r>
          </w:p>
        </w:tc>
        <w:tc>
          <w:tcPr>
            <w:tcW w:w="272"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equity</w:t>
            </w:r>
          </w:p>
        </w:tc>
      </w:tr>
      <w:tr w:rsidR="009534E2">
        <w:trPr>
          <w:jc w:val="center"/>
        </w:trPr>
        <w:tc>
          <w:tcPr>
            <w:tcW w:w="1168" w:type="pct"/>
            <w:tcBorders>
              <w:top w:val="nil"/>
              <w:left w:val="nil"/>
              <w:bottom w:val="nil"/>
              <w:right w:val="nil"/>
              <w:tl2br w:val="nil"/>
              <w:tr2bl w:val="nil"/>
            </w:tcBorders>
            <w:shd w:val="clear" w:color="auto" w:fill="CCEEFF"/>
            <w:vAlign w:val="bottom"/>
          </w:tcPr>
          <w:p w:rsidR="009534E2" w:rsidRDefault="003369EB">
            <w:pPr>
              <w:keepNext/>
              <w:spacing w:after="1"/>
              <w:rPr>
                <w:b/>
                <w:color w:val="000000"/>
              </w:rPr>
            </w:pPr>
            <w:bookmarkStart w:name="_535b920e_da04_4809_8e64_5ab4b4bbb051" w:id="1119"/>
            <w:bookmarkStart w:name="_69d832af_1f22_488b_a9f5_2e7fc726138d" w:colFirst="4" w:colLast="4" w:id="1120"/>
            <w:bookmarkEnd w:id="1118"/>
            <w:r>
              <w:rPr>
                <w:rFonts w:ascii="Times New Roman" w:hAnsi="Times New Roman" w:eastAsia="Times New Roman" w:cs="Times New Roman"/>
                <w:b/>
                <w:color w:val="000000"/>
              </w:rPr>
              <w:t>Balance as of December 31, 2019</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b/>
                <w:color w:val="000000"/>
              </w:rPr>
            </w:pPr>
            <w:r>
              <w:rPr>
                <w:rFonts w:ascii="Times New Roman" w:hAnsi="Times New Roman" w:eastAsia="Times New Roman" w:cs="Times New Roman"/>
                <w:b/>
                <w:color w:val="000000"/>
              </w:rPr>
              <w:t>  </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35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62,092,835</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1,876</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12,068</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2,576</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10,557</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9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289</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27,367</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70</w:t>
            </w:r>
          </w:p>
        </w:tc>
        <w:tc>
          <w:tcPr>
            <w:tcW w:w="66"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27,437</w:t>
            </w:r>
          </w:p>
        </w:tc>
      </w:tr>
      <w:tr w:rsidR="009534E2">
        <w:trPr>
          <w:jc w:val="center"/>
        </w:trPr>
        <w:tc>
          <w:tcPr>
            <w:tcW w:w="1168" w:type="pct"/>
            <w:tcBorders>
              <w:top w:val="nil"/>
              <w:left w:val="nil"/>
              <w:bottom w:val="nil"/>
              <w:right w:val="nil"/>
              <w:tl2br w:val="nil"/>
              <w:tr2bl w:val="nil"/>
            </w:tcBorders>
            <w:vAlign w:val="bottom"/>
          </w:tcPr>
          <w:p w:rsidR="009534E2" w:rsidRDefault="003369EB">
            <w:pPr>
              <w:keepNext/>
              <w:spacing w:after="1"/>
              <w:rPr>
                <w:color w:val="000000"/>
              </w:rPr>
            </w:pPr>
            <w:bookmarkStart w:name="_444c9302_5769_4e6c_8291_dea9042b252f" w:id="1121"/>
            <w:bookmarkEnd w:id="1119"/>
            <w:bookmarkEnd w:id="1120"/>
            <w:r>
              <w:rPr>
                <w:rFonts w:ascii="Times New Roman" w:hAnsi="Times New Roman" w:eastAsia="Times New Roman" w:cs="Times New Roman"/>
                <w:color w:val="000000"/>
              </w:rPr>
              <w:t>Profit for the year</w:t>
            </w:r>
          </w:p>
        </w:tc>
        <w:tc>
          <w:tcPr>
            <w:tcW w:w="67"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  </w:t>
            </w:r>
          </w:p>
        </w:tc>
        <w:tc>
          <w:tcPr>
            <w:tcW w:w="67"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351"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8,842</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9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5"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8,842</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96</w:t>
            </w:r>
          </w:p>
        </w:tc>
        <w:tc>
          <w:tcPr>
            <w:tcW w:w="66"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8,938</w:t>
            </w:r>
          </w:p>
        </w:tc>
      </w:tr>
      <w:tr w:rsidR="009534E2">
        <w:trPr>
          <w:jc w:val="center"/>
        </w:trPr>
        <w:tc>
          <w:tcPr>
            <w:tcW w:w="1168" w:type="pct"/>
            <w:tcBorders>
              <w:top w:val="nil"/>
              <w:left w:val="nil"/>
              <w:bottom w:val="nil"/>
              <w:right w:val="nil"/>
              <w:tl2br w:val="nil"/>
              <w:tr2bl w:val="nil"/>
            </w:tcBorders>
            <w:shd w:val="clear" w:color="auto" w:fill="CCEEFF"/>
            <w:vAlign w:val="bottom"/>
          </w:tcPr>
          <w:p w:rsidR="009534E2" w:rsidRDefault="003369EB">
            <w:pPr>
              <w:keepNext/>
              <w:spacing w:after="1"/>
              <w:rPr>
                <w:color w:val="000000"/>
              </w:rPr>
            </w:pPr>
            <w:bookmarkStart w:name="_a3add735_b436_4f83_92fb_15832d0fd79a" w:id="1122"/>
            <w:bookmarkEnd w:id="1121"/>
            <w:r>
              <w:rPr>
                <w:rFonts w:ascii="Times New Roman" w:hAnsi="Times New Roman" w:eastAsia="Times New Roman" w:cs="Times New Roman"/>
                <w:color w:val="000000"/>
              </w:rPr>
              <w:t>Other comprehensive income:</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  </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351"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92"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5"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rPr>
            </w:pP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66"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rPr>
            </w:pPr>
          </w:p>
        </w:tc>
      </w:tr>
      <w:tr w:rsidR="009534E2">
        <w:trPr>
          <w:jc w:val="center"/>
        </w:trPr>
        <w:tc>
          <w:tcPr>
            <w:tcW w:w="1168" w:type="pct"/>
            <w:tcBorders>
              <w:top w:val="nil"/>
              <w:left w:val="nil"/>
              <w:bottom w:val="nil"/>
              <w:right w:val="nil"/>
              <w:tl2br w:val="nil"/>
              <w:tr2bl w:val="nil"/>
            </w:tcBorders>
            <w:vAlign w:val="bottom"/>
          </w:tcPr>
          <w:p w:rsidR="009534E2" w:rsidRDefault="003369EB">
            <w:pPr>
              <w:keepNext/>
              <w:spacing w:after="1"/>
              <w:ind w:left="120"/>
              <w:rPr>
                <w:color w:val="000000"/>
              </w:rPr>
            </w:pPr>
            <w:bookmarkStart w:name="_7a5b07d2_4d3f_4431_9ebe_1c883d993308" w:id="1123"/>
            <w:bookmarkEnd w:id="1122"/>
            <w:r>
              <w:rPr>
                <w:rFonts w:ascii="Times New Roman" w:hAnsi="Times New Roman" w:eastAsia="Times New Roman" w:cs="Times New Roman"/>
                <w:color w:val="000000"/>
              </w:rPr>
              <w:t>Foreign currency translation</w:t>
            </w:r>
          </w:p>
        </w:tc>
        <w:tc>
          <w:tcPr>
            <w:tcW w:w="67"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jc w:val="center"/>
              <w:rPr>
                <w:b/>
                <w:color w:val="000000"/>
              </w:rPr>
            </w:pPr>
            <w:r>
              <w:rPr>
                <w:rFonts w:ascii="Times New Roman" w:hAnsi="Times New Roman" w:eastAsia="Times New Roman" w:cs="Times New Roman"/>
                <w:b/>
                <w:color w:val="000000"/>
              </w:rPr>
              <w:t>  </w:t>
            </w:r>
          </w:p>
        </w:tc>
        <w:tc>
          <w:tcPr>
            <w:tcW w:w="67"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351"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9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265</w:t>
            </w:r>
          </w:p>
        </w:tc>
        <w:tc>
          <w:tcPr>
            <w:tcW w:w="67"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5"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265</w:t>
            </w:r>
          </w:p>
        </w:tc>
        <w:tc>
          <w:tcPr>
            <w:tcW w:w="67"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9</w:t>
            </w:r>
          </w:p>
        </w:tc>
        <w:tc>
          <w:tcPr>
            <w:tcW w:w="66"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274</w:t>
            </w:r>
          </w:p>
        </w:tc>
      </w:tr>
      <w:tr w:rsidR="009534E2">
        <w:trPr>
          <w:jc w:val="center"/>
        </w:trPr>
        <w:tc>
          <w:tcPr>
            <w:tcW w:w="1168" w:type="pct"/>
            <w:tcBorders>
              <w:top w:val="nil"/>
              <w:left w:val="nil"/>
              <w:bottom w:val="nil"/>
              <w:right w:val="nil"/>
              <w:tl2br w:val="nil"/>
              <w:tr2bl w:val="nil"/>
            </w:tcBorders>
            <w:shd w:val="clear" w:color="auto" w:fill="CCEEFF"/>
            <w:vAlign w:val="bottom"/>
          </w:tcPr>
          <w:p w:rsidR="009534E2" w:rsidRDefault="003369EB">
            <w:pPr>
              <w:keepNext/>
              <w:spacing w:after="1"/>
              <w:ind w:left="120"/>
              <w:rPr>
                <w:color w:val="000000"/>
              </w:rPr>
            </w:pPr>
            <w:bookmarkStart w:name="_e61026bf_2479_4785_aeb7_9f7913b5536f" w:id="1124"/>
            <w:bookmarkEnd w:id="1123"/>
            <w:r>
              <w:rPr>
                <w:rFonts w:ascii="Times New Roman" w:hAnsi="Times New Roman" w:eastAsia="Times New Roman" w:cs="Times New Roman"/>
                <w:color w:val="000000"/>
              </w:rPr>
              <w:t>Debt instruments at FVOCI</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rPr>
            </w:pPr>
          </w:p>
        </w:tc>
        <w:tc>
          <w:tcPr>
            <w:tcW w:w="272"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b/>
                <w:color w:val="000000"/>
              </w:rPr>
            </w:pP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35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27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27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27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(15)</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rPr>
            </w:pPr>
          </w:p>
        </w:tc>
        <w:tc>
          <w:tcPr>
            <w:tcW w:w="27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rPr>
            </w:pPr>
          </w:p>
        </w:tc>
        <w:tc>
          <w:tcPr>
            <w:tcW w:w="29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rPr>
            </w:pPr>
          </w:p>
        </w:tc>
        <w:tc>
          <w:tcPr>
            <w:tcW w:w="27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(15)</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rPr>
            </w:pP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6"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rPr>
            </w:pPr>
          </w:p>
        </w:tc>
        <w:tc>
          <w:tcPr>
            <w:tcW w:w="27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(15)</w:t>
            </w:r>
          </w:p>
        </w:tc>
      </w:tr>
      <w:tr w:rsidR="009534E2">
        <w:trPr>
          <w:jc w:val="center"/>
        </w:trPr>
        <w:tc>
          <w:tcPr>
            <w:tcW w:w="1168" w:type="pct"/>
            <w:tcBorders>
              <w:top w:val="nil"/>
              <w:left w:val="nil"/>
              <w:bottom w:val="nil"/>
              <w:right w:val="nil"/>
              <w:tl2br w:val="nil"/>
              <w:tr2bl w:val="nil"/>
            </w:tcBorders>
            <w:vAlign w:val="bottom"/>
          </w:tcPr>
          <w:p w:rsidR="009534E2" w:rsidRDefault="003369EB">
            <w:pPr>
              <w:keepNext/>
              <w:spacing w:after="1"/>
              <w:rPr>
                <w:b/>
                <w:color w:val="000000"/>
              </w:rPr>
            </w:pPr>
            <w:bookmarkStart w:name="_4db64940_1098_46cc_b507_31b5d7ea684e" w:id="1125"/>
            <w:bookmarkEnd w:id="1124"/>
            <w:r>
              <w:rPr>
                <w:rFonts w:ascii="Times New Roman" w:hAnsi="Times New Roman" w:eastAsia="Times New Roman" w:cs="Times New Roman"/>
                <w:b/>
                <w:color w:val="000000"/>
              </w:rPr>
              <w:t xml:space="preserve">Total comprehensive income </w:t>
            </w:r>
          </w:p>
        </w:tc>
        <w:tc>
          <w:tcPr>
            <w:tcW w:w="67"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noWrap/>
            <w:vAlign w:val="bottom"/>
          </w:tcPr>
          <w:p w:rsidR="009534E2" w:rsidRDefault="009534E2">
            <w:pPr>
              <w:keepNext/>
              <w:spacing w:after="1"/>
              <w:jc w:val="center"/>
              <w:rPr>
                <w:color w:val="000000"/>
              </w:rPr>
            </w:pPr>
          </w:p>
        </w:tc>
        <w:tc>
          <w:tcPr>
            <w:tcW w:w="67"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351"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single" w:color="000000" w:sz="4" w:space="0"/>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xml:space="preserve"> (15)</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8,842</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92"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265</w:t>
            </w:r>
          </w:p>
        </w:tc>
        <w:tc>
          <w:tcPr>
            <w:tcW w:w="67"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5"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9,092</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105</w:t>
            </w:r>
          </w:p>
        </w:tc>
        <w:tc>
          <w:tcPr>
            <w:tcW w:w="66"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9,197</w:t>
            </w:r>
          </w:p>
        </w:tc>
      </w:tr>
      <w:tr w:rsidR="009534E2">
        <w:trPr>
          <w:jc w:val="center"/>
        </w:trPr>
        <w:tc>
          <w:tcPr>
            <w:tcW w:w="1168" w:type="pct"/>
            <w:tcBorders>
              <w:top w:val="nil"/>
              <w:left w:val="nil"/>
              <w:bottom w:val="nil"/>
              <w:right w:val="nil"/>
              <w:tl2br w:val="nil"/>
              <w:tr2bl w:val="nil"/>
            </w:tcBorders>
            <w:shd w:val="clear" w:color="auto" w:fill="CCEEFF"/>
            <w:vAlign w:val="bottom"/>
          </w:tcPr>
          <w:p w:rsidR="009534E2" w:rsidRDefault="003369EB">
            <w:pPr>
              <w:keepNext/>
              <w:spacing w:after="1"/>
              <w:rPr>
                <w:color w:val="000000"/>
              </w:rPr>
            </w:pPr>
            <w:bookmarkStart w:name="_13951284_0bcb_4c61_a37a_e4b3359fd758" w:id="1126"/>
            <w:bookmarkEnd w:id="1125"/>
            <w:r>
              <w:rPr>
                <w:rFonts w:ascii="Times New Roman" w:hAnsi="Times New Roman" w:eastAsia="Times New Roman" w:cs="Times New Roman"/>
                <w:color w:val="000000"/>
              </w:rPr>
              <w:t>Share-based payments</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351"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43</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92"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43</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6"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43</w:t>
            </w:r>
          </w:p>
        </w:tc>
      </w:tr>
      <w:tr w:rsidR="009534E2">
        <w:trPr>
          <w:jc w:val="center"/>
        </w:trPr>
        <w:tc>
          <w:tcPr>
            <w:tcW w:w="1168" w:type="pct"/>
            <w:tcBorders>
              <w:top w:val="nil"/>
              <w:left w:val="nil"/>
              <w:bottom w:val="nil"/>
              <w:right w:val="nil"/>
              <w:tl2br w:val="nil"/>
              <w:tr2bl w:val="nil"/>
            </w:tcBorders>
            <w:vAlign w:val="bottom"/>
          </w:tcPr>
          <w:p w:rsidR="009534E2" w:rsidRDefault="003369EB">
            <w:pPr>
              <w:keepNext/>
              <w:spacing w:after="1"/>
              <w:rPr>
                <w:color w:val="000000"/>
              </w:rPr>
            </w:pPr>
            <w:bookmarkStart w:name="_71d0c85f_2b6e_4f6e_af3e_6baa2082cc25" w:id="1127"/>
            <w:bookmarkStart w:name="_485fd4d9_c6c9_4720_ad29_17088a433c86" w:colFirst="4" w:colLast="4" w:id="1128"/>
            <w:bookmarkEnd w:id="1126"/>
            <w:r>
              <w:rPr>
                <w:rFonts w:ascii="Times New Roman" w:hAnsi="Times New Roman" w:eastAsia="Times New Roman" w:cs="Times New Roman"/>
                <w:color w:val="000000"/>
              </w:rPr>
              <w:t>Exercise of options</w:t>
            </w:r>
          </w:p>
        </w:tc>
        <w:tc>
          <w:tcPr>
            <w:tcW w:w="67"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18</w:t>
            </w:r>
          </w:p>
        </w:tc>
        <w:tc>
          <w:tcPr>
            <w:tcW w:w="67"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351"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285,997</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9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5"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6"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r>
      <w:tr w:rsidR="009534E2">
        <w:trPr>
          <w:jc w:val="center"/>
        </w:trPr>
        <w:tc>
          <w:tcPr>
            <w:tcW w:w="1168" w:type="pct"/>
            <w:tcBorders>
              <w:top w:val="nil"/>
              <w:left w:val="nil"/>
              <w:bottom w:val="nil"/>
              <w:right w:val="nil"/>
              <w:tl2br w:val="nil"/>
              <w:tr2bl w:val="nil"/>
            </w:tcBorders>
            <w:shd w:val="clear" w:color="auto" w:fill="CCEEFF"/>
            <w:vAlign w:val="bottom"/>
          </w:tcPr>
          <w:p w:rsidR="009534E2" w:rsidRDefault="003369EB">
            <w:pPr>
              <w:keepNext/>
              <w:spacing w:after="1"/>
              <w:rPr>
                <w:color w:val="000000"/>
              </w:rPr>
            </w:pPr>
            <w:bookmarkStart w:name="_093395d5_8156_42ed_ae5c_f159ab623f40" w:id="1129"/>
            <w:bookmarkEnd w:id="1127"/>
            <w:bookmarkEnd w:id="1128"/>
            <w:r>
              <w:rPr>
                <w:rFonts w:ascii="Times New Roman" w:hAnsi="Times New Roman" w:eastAsia="Times New Roman" w:cs="Times New Roman"/>
                <w:color w:val="000000"/>
              </w:rPr>
              <w:t xml:space="preserve">Dividends </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26</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351"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272"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(4,797)</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292"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rPr>
            </w:pPr>
          </w:p>
        </w:tc>
        <w:tc>
          <w:tcPr>
            <w:tcW w:w="275"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(4,797)</w:t>
            </w:r>
          </w:p>
        </w:tc>
        <w:tc>
          <w:tcPr>
            <w:tcW w:w="67"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w:t>
            </w:r>
          </w:p>
        </w:tc>
        <w:tc>
          <w:tcPr>
            <w:tcW w:w="27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6"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(4,797)</w:t>
            </w:r>
          </w:p>
        </w:tc>
      </w:tr>
      <w:tr w:rsidR="009534E2">
        <w:trPr>
          <w:jc w:val="center"/>
        </w:trPr>
        <w:tc>
          <w:tcPr>
            <w:tcW w:w="1168" w:type="pct"/>
            <w:tcBorders>
              <w:top w:val="nil"/>
              <w:left w:val="nil"/>
              <w:bottom w:val="nil"/>
              <w:right w:val="nil"/>
              <w:tl2br w:val="nil"/>
              <w:tr2bl w:val="nil"/>
            </w:tcBorders>
            <w:vAlign w:val="bottom"/>
          </w:tcPr>
          <w:p w:rsidR="009534E2" w:rsidRDefault="003369EB">
            <w:pPr>
              <w:keepNext/>
              <w:spacing w:after="1"/>
              <w:rPr>
                <w:color w:val="000000"/>
              </w:rPr>
            </w:pPr>
            <w:bookmarkStart w:name="_f15c7b40_56e1_4981_9a4f_d5a394754f17" w:id="1130"/>
            <w:bookmarkStart w:name="_0c2c0c89_ab84_41b7_95d4_31d3aaa224e3" w:colFirst="4" w:colLast="4" w:id="1131"/>
            <w:bookmarkEnd w:id="1129"/>
            <w:r>
              <w:rPr>
                <w:rFonts w:ascii="Times New Roman" w:hAnsi="Times New Roman" w:eastAsia="Times New Roman" w:cs="Times New Roman"/>
                <w:color w:val="000000"/>
              </w:rPr>
              <w:t xml:space="preserve">Dividends to non-controlling interests </w:t>
            </w:r>
          </w:p>
        </w:tc>
        <w:tc>
          <w:tcPr>
            <w:tcW w:w="67" w:type="pct"/>
            <w:tcBorders>
              <w:top w:val="nil"/>
              <w:left w:val="nil"/>
              <w:bottom w:val="nil"/>
              <w:right w:val="nil"/>
              <w:tl2br w:val="nil"/>
              <w:tr2bl w:val="nil"/>
            </w:tcBorders>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jc w:val="center"/>
              <w:rPr>
                <w:color w:val="000000"/>
              </w:rPr>
            </w:pPr>
            <w:r>
              <w:rPr>
                <w:rFonts w:ascii="Times New Roman" w:hAnsi="Times New Roman" w:eastAsia="Times New Roman" w:cs="Times New Roman"/>
                <w:color w:val="000000"/>
              </w:rPr>
              <w:t>  </w:t>
            </w:r>
          </w:p>
        </w:tc>
        <w:tc>
          <w:tcPr>
            <w:tcW w:w="67" w:type="pct"/>
            <w:tcBorders>
              <w:top w:val="nil"/>
              <w:left w:val="nil"/>
              <w:bottom w:val="nil"/>
              <w:right w:val="nil"/>
              <w:tl2br w:val="nil"/>
              <w:tr2bl w:val="nil"/>
            </w:tcBorders>
            <w:noWrap/>
            <w:vAlign w:val="bottom"/>
          </w:tcPr>
          <w:p w:rsidR="009534E2" w:rsidRDefault="003369EB">
            <w:pPr>
              <w:keepNext/>
              <w:spacing w:after="1"/>
              <w:rPr>
                <w:b/>
                <w:color w:val="000000"/>
              </w:rPr>
            </w:pPr>
            <w:r>
              <w:rPr>
                <w:rFonts w:ascii="Times New Roman" w:hAnsi="Times New Roman" w:eastAsia="Times New Roman" w:cs="Times New Roman"/>
                <w:b/>
                <w:color w:val="000000"/>
              </w:rPr>
              <w:t> </w:t>
            </w:r>
          </w:p>
        </w:tc>
        <w:tc>
          <w:tcPr>
            <w:tcW w:w="351"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92"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5" w:type="pct"/>
            <w:tcBorders>
              <w:top w:val="nil"/>
              <w:left w:val="nil"/>
              <w:bottom w:val="nil"/>
              <w:right w:val="nil"/>
              <w:tl2br w:val="nil"/>
              <w:tr2bl w:val="nil"/>
            </w:tcBorders>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3"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(74)</w:t>
            </w:r>
          </w:p>
        </w:tc>
        <w:tc>
          <w:tcPr>
            <w:tcW w:w="66" w:type="pct"/>
            <w:tcBorders>
              <w:top w:val="nil"/>
              <w:left w:val="nil"/>
              <w:bottom w:val="nil"/>
              <w:right w:val="nil"/>
              <w:tl2br w:val="nil"/>
              <w:tr2bl w:val="nil"/>
            </w:tcBorders>
            <w:noWrap/>
            <w:vAlign w:val="bottom"/>
          </w:tcPr>
          <w:p w:rsidR="009534E2" w:rsidRDefault="003369EB">
            <w:pPr>
              <w:keepNext/>
              <w:spacing w:after="1"/>
              <w:jc w:val="right"/>
              <w:rPr>
                <w:b/>
                <w:color w:val="000000"/>
              </w:rPr>
            </w:pPr>
            <w:r>
              <w:rPr>
                <w:rFonts w:ascii="Times New Roman" w:hAnsi="Times New Roman" w:eastAsia="Times New Roman" w:cs="Times New Roman"/>
                <w:b/>
                <w:color w:val="000000"/>
              </w:rPr>
              <w:t> </w:t>
            </w:r>
          </w:p>
        </w:tc>
        <w:tc>
          <w:tcPr>
            <w:tcW w:w="272" w:type="pct"/>
            <w:tcBorders>
              <w:top w:val="nil"/>
              <w:left w:val="nil"/>
              <w:bottom w:val="nil"/>
              <w:right w:val="nil"/>
              <w:tl2br w:val="nil"/>
              <w:tr2bl w:val="nil"/>
            </w:tcBorders>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(74)</w:t>
            </w:r>
          </w:p>
        </w:tc>
      </w:tr>
      <w:tr w:rsidR="009534E2">
        <w:trPr>
          <w:jc w:val="center"/>
        </w:trPr>
        <w:tc>
          <w:tcPr>
            <w:tcW w:w="1168" w:type="pct"/>
            <w:tcBorders>
              <w:top w:val="nil"/>
              <w:left w:val="nil"/>
              <w:bottom w:val="nil"/>
              <w:right w:val="nil"/>
              <w:tl2br w:val="nil"/>
              <w:tr2bl w:val="nil"/>
            </w:tcBorders>
            <w:shd w:val="clear" w:color="auto" w:fill="CCEEFF"/>
            <w:vAlign w:val="bottom"/>
          </w:tcPr>
          <w:p w:rsidR="009534E2" w:rsidRDefault="003369EB">
            <w:pPr>
              <w:keepNext/>
              <w:spacing w:after="1"/>
              <w:rPr>
                <w:color w:val="000000"/>
              </w:rPr>
            </w:pPr>
            <w:bookmarkStart w:name="_a306d604_b4a6_484d_839a_3c0467899f90" w:id="1132"/>
            <w:bookmarkEnd w:id="1130"/>
            <w:bookmarkEnd w:id="1131"/>
            <w:r>
              <w:rPr>
                <w:rFonts w:ascii="Times New Roman" w:hAnsi="Times New Roman" w:eastAsia="Times New Roman" w:cs="Times New Roman"/>
                <w:color w:val="000000"/>
              </w:rPr>
              <w:t xml:space="preserve">Other </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272"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rPr>
            </w:pP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rPr>
            </w:pPr>
          </w:p>
        </w:tc>
        <w:tc>
          <w:tcPr>
            <w:tcW w:w="35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27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27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27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(29)</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27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29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27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(29)</w:t>
            </w:r>
          </w:p>
        </w:tc>
        <w:tc>
          <w:tcPr>
            <w:tcW w:w="67"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27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(5)</w:t>
            </w:r>
          </w:p>
        </w:tc>
        <w:tc>
          <w:tcPr>
            <w:tcW w:w="66"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rPr>
            </w:pPr>
          </w:p>
        </w:tc>
        <w:tc>
          <w:tcPr>
            <w:tcW w:w="27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rPr>
            </w:pPr>
            <w:r>
              <w:rPr>
                <w:rFonts w:ascii="Times New Roman" w:hAnsi="Times New Roman" w:eastAsia="Times New Roman" w:cs="Times New Roman"/>
                <w:color w:val="000000"/>
              </w:rPr>
              <w:t xml:space="preserve"> (34)</w:t>
            </w:r>
          </w:p>
        </w:tc>
      </w:tr>
      <w:tr w:rsidR="009534E2">
        <w:trPr>
          <w:jc w:val="center"/>
        </w:trPr>
        <w:tc>
          <w:tcPr>
            <w:tcW w:w="1168" w:type="pct"/>
            <w:tcBorders>
              <w:top w:val="nil"/>
              <w:left w:val="nil"/>
              <w:bottom w:val="nil"/>
              <w:right w:val="nil"/>
              <w:tl2br w:val="nil"/>
              <w:tr2bl w:val="nil"/>
            </w:tcBorders>
            <w:vAlign w:val="bottom"/>
          </w:tcPr>
          <w:p w:rsidR="009534E2" w:rsidRDefault="003369EB">
            <w:pPr>
              <w:keepNext/>
              <w:spacing w:after="1"/>
              <w:rPr>
                <w:b/>
                <w:color w:val="000000"/>
              </w:rPr>
            </w:pPr>
            <w:bookmarkStart w:name="_35bd9dad_8542_4e79_91bf_698f217edb42" w:id="1133"/>
            <w:bookmarkStart w:name="_099765f1_1478_4595_8d26_823e02da47d8" w:colFirst="4" w:colLast="4" w:id="1134"/>
            <w:bookmarkEnd w:id="1132"/>
            <w:r>
              <w:rPr>
                <w:rFonts w:ascii="Times New Roman" w:hAnsi="Times New Roman" w:eastAsia="Times New Roman" w:cs="Times New Roman"/>
                <w:b/>
                <w:color w:val="000000"/>
              </w:rPr>
              <w:t>Balance as of December 31, 2020</w:t>
            </w:r>
          </w:p>
        </w:tc>
        <w:tc>
          <w:tcPr>
            <w:tcW w:w="67" w:type="pct"/>
            <w:tcBorders>
              <w:top w:val="nil"/>
              <w:left w:val="nil"/>
              <w:bottom w:val="nil"/>
              <w:right w:val="nil"/>
              <w:tl2br w:val="nil"/>
              <w:tr2bl w:val="nil"/>
            </w:tcBorders>
            <w:noWrap/>
            <w:vAlign w:val="bottom"/>
          </w:tcPr>
          <w:p w:rsidR="009534E2" w:rsidRDefault="009534E2">
            <w:pPr>
              <w:keepNext/>
              <w:spacing w:after="1"/>
              <w:rPr>
                <w:color w:val="000000"/>
                <w:sz w:val="22"/>
              </w:rPr>
            </w:pPr>
          </w:p>
        </w:tc>
        <w:tc>
          <w:tcPr>
            <w:tcW w:w="272" w:type="pct"/>
            <w:tcBorders>
              <w:top w:val="nil"/>
              <w:left w:val="nil"/>
              <w:bottom w:val="nil"/>
              <w:right w:val="nil"/>
              <w:tl2br w:val="nil"/>
              <w:tr2bl w:val="nil"/>
            </w:tcBorders>
            <w:noWrap/>
            <w:vAlign w:val="bottom"/>
          </w:tcPr>
          <w:p w:rsidR="009534E2" w:rsidRDefault="009534E2">
            <w:pPr>
              <w:keepNext/>
              <w:spacing w:after="1"/>
              <w:jc w:val="center"/>
              <w:rPr>
                <w:color w:val="000000"/>
                <w:sz w:val="22"/>
              </w:rPr>
            </w:pPr>
          </w:p>
        </w:tc>
        <w:tc>
          <w:tcPr>
            <w:tcW w:w="67" w:type="pct"/>
            <w:tcBorders>
              <w:top w:val="nil"/>
              <w:left w:val="nil"/>
              <w:bottom w:val="nil"/>
              <w:right w:val="nil"/>
              <w:tl2br w:val="nil"/>
              <w:tr2bl w:val="nil"/>
            </w:tcBorders>
            <w:noWrap/>
            <w:vAlign w:val="bottom"/>
          </w:tcPr>
          <w:p w:rsidR="009534E2" w:rsidRDefault="009534E2">
            <w:pPr>
              <w:keepNext/>
              <w:spacing w:after="1"/>
              <w:rPr>
                <w:color w:val="000000"/>
                <w:sz w:val="22"/>
              </w:rPr>
            </w:pPr>
          </w:p>
        </w:tc>
        <w:tc>
          <w:tcPr>
            <w:tcW w:w="351"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62,378,832</w:t>
            </w:r>
          </w:p>
        </w:tc>
        <w:tc>
          <w:tcPr>
            <w:tcW w:w="67"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73"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1</w:t>
            </w:r>
          </w:p>
        </w:tc>
        <w:tc>
          <w:tcPr>
            <w:tcW w:w="67"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72"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1,876</w:t>
            </w:r>
          </w:p>
        </w:tc>
        <w:tc>
          <w:tcPr>
            <w:tcW w:w="67"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72"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12,068</w:t>
            </w:r>
          </w:p>
        </w:tc>
        <w:tc>
          <w:tcPr>
            <w:tcW w:w="67"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72"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2,575</w:t>
            </w:r>
          </w:p>
        </w:tc>
        <w:tc>
          <w:tcPr>
            <w:tcW w:w="67"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72"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14,602</w:t>
            </w:r>
          </w:p>
        </w:tc>
        <w:tc>
          <w:tcPr>
            <w:tcW w:w="67"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92"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 xml:space="preserve"> 554</w:t>
            </w:r>
          </w:p>
        </w:tc>
        <w:tc>
          <w:tcPr>
            <w:tcW w:w="67"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75"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31,676</w:t>
            </w:r>
          </w:p>
        </w:tc>
        <w:tc>
          <w:tcPr>
            <w:tcW w:w="67"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73"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96</w:t>
            </w:r>
          </w:p>
        </w:tc>
        <w:tc>
          <w:tcPr>
            <w:tcW w:w="66" w:type="pct"/>
            <w:tcBorders>
              <w:top w:val="nil"/>
              <w:left w:val="nil"/>
              <w:bottom w:val="nil"/>
              <w:right w:val="nil"/>
              <w:tl2br w:val="nil"/>
              <w:tr2bl w:val="nil"/>
            </w:tcBorders>
            <w:noWrap/>
            <w:vAlign w:val="bottom"/>
          </w:tcPr>
          <w:p w:rsidR="009534E2" w:rsidRDefault="009534E2">
            <w:pPr>
              <w:keepNext/>
              <w:spacing w:after="1"/>
              <w:rPr>
                <w:b/>
                <w:color w:val="000000"/>
                <w:sz w:val="22"/>
              </w:rPr>
            </w:pPr>
          </w:p>
        </w:tc>
        <w:tc>
          <w:tcPr>
            <w:tcW w:w="272"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b/>
                <w:color w:val="000000"/>
              </w:rPr>
            </w:pPr>
            <w:r>
              <w:rPr>
                <w:rFonts w:ascii="Times New Roman" w:hAnsi="Times New Roman" w:eastAsia="Times New Roman" w:cs="Times New Roman"/>
                <w:b/>
                <w:color w:val="000000"/>
              </w:rPr>
              <w:t>31,772</w:t>
            </w:r>
          </w:p>
        </w:tc>
      </w:tr>
      <w:bookmarkEnd w:id="1113"/>
      <w:bookmarkEnd w:id="1133"/>
      <w:bookmarkEnd w:id="1134"/>
    </w:tbl>
    <w:p w:rsidR="009534E2" w:rsidRDefault="009534E2">
      <w:pPr>
        <w:pStyle w:val="BodyText"/>
        <w:spacing w:after="0"/>
        <w:rPr>
          <w:rFonts w:asciiTheme="majorHAnsi" w:hAnsiTheme="majorHAnsi" w:cstheme="majorHAnsi"/>
          <w:i/>
          <w:lang w:val="ru-RU" w:eastAsia="ru-RU"/>
        </w:rPr>
      </w:pPr>
    </w:p>
    <w:p w:rsidR="009534E2" w:rsidRDefault="003369EB">
      <w:pPr>
        <w:pStyle w:val="BodyText"/>
        <w:spacing w:after="0"/>
        <w:jc w:val="center"/>
        <w:rPr>
          <w:rFonts w:asciiTheme="majorHAnsi" w:hAnsiTheme="majorHAnsi" w:cstheme="majorHAnsi"/>
          <w:i/>
          <w:lang w:val="ru-RU" w:eastAsia="ru-RU"/>
        </w:rPr>
      </w:pPr>
      <w:r>
        <w:rPr>
          <w:rFonts w:asciiTheme="majorHAnsi" w:hAnsiTheme="majorHAnsi" w:cstheme="majorHAnsi"/>
          <w:i/>
          <w:lang w:val="ru-RU" w:eastAsia="ru-RU"/>
        </w:rPr>
        <w:t>The accompanying notes form an integral part of these consolidated financial statements.</w:t>
      </w:r>
    </w:p>
    <w:p w:rsidR="009534E2" w:rsidRDefault="009534E2">
      <w:pPr>
        <w:pStyle w:val="BodyText"/>
        <w:spacing w:after="0"/>
        <w:rPr>
          <w:rFonts w:asciiTheme="majorHAnsi" w:hAnsiTheme="majorHAnsi" w:cstheme="majorHAnsi"/>
          <w:lang w:val="ru-RU" w:eastAsia="ru-RU"/>
        </w:rPr>
      </w:pPr>
    </w:p>
    <w:p w:rsidR="009534E2" w:rsidRDefault="009534E2">
      <w:pPr>
        <w:rPr>
          <w:rFonts w:eastAsia="Times New Roman" w:asciiTheme="majorHAnsi" w:hAnsiTheme="majorHAnsi" w:cstheme="majorHAnsi"/>
        </w:rPr>
        <w:sectPr w:rsidR="009534E2">
          <w:headerReference w:type="default" r:id="rId39"/>
          <w:pgSz w:w="15840" w:h="12240" w:orient="landscape" w:code="1"/>
          <w:pgMar w:top="720" w:right="720" w:bottom="720" w:left="720" w:header="720" w:footer="720" w:gutter="0"/>
          <w:cols w:space="720"/>
          <w:docGrid w:linePitch="360"/>
        </w:sectPr>
      </w:pPr>
    </w:p>
    <w:p w:rsidR="009534E2" w:rsidRDefault="003369EB">
      <w:pPr>
        <w:pStyle w:val="Heading1"/>
        <w:keepNext w:val="0"/>
        <w:keepLines w:val="0"/>
        <w:ind w:left="720" w:hanging="720"/>
        <w:jc w:val="center"/>
        <w:rPr>
          <w:rFonts w:eastAsiaTheme="minorHAnsi"/>
          <w:b w:val="0"/>
          <w:szCs w:val="20"/>
          <w:lang w:eastAsia="ru-RU"/>
        </w:rPr>
      </w:pPr>
      <w:r>
        <w:rPr>
          <w:rFonts w:eastAsiaTheme="minorHAnsi"/>
          <w:b w:val="0"/>
          <w:szCs w:val="20"/>
          <w:lang w:eastAsia="ru-RU"/>
        </w:rPr>
        <w:t>QIWI plc</w:t>
      </w:r>
    </w:p>
    <w:p w:rsidR="009534E2" w:rsidRDefault="003369EB">
      <w:pPr>
        <w:pStyle w:val="Heading1"/>
        <w:keepNext w:val="0"/>
        <w:keepLines w:val="0"/>
        <w:ind w:left="720" w:hanging="720"/>
        <w:jc w:val="center"/>
        <w:rPr>
          <w:rFonts w:eastAsiaTheme="minorHAnsi"/>
          <w:b w:val="0"/>
          <w:szCs w:val="20"/>
          <w:lang w:eastAsia="ru-RU"/>
        </w:rPr>
      </w:pPr>
      <w:r>
        <w:rPr>
          <w:rFonts w:eastAsiaTheme="minorHAnsi"/>
          <w:b w:val="0"/>
          <w:szCs w:val="20"/>
          <w:lang w:eastAsia="ru-RU"/>
        </w:rPr>
        <w:t>Notes to consolidated financial statements</w:t>
      </w:r>
      <w:bookmarkStart w:name="Notestoconsolidatedfinancialstatements_1" w:id="1135"/>
      <w:bookmarkEnd w:id="1135"/>
    </w:p>
    <w:p w:rsidR="009534E2" w:rsidRDefault="003369EB">
      <w:pPr>
        <w:pStyle w:val="Heading1"/>
        <w:keepNext w:val="0"/>
        <w:keepLines w:val="0"/>
        <w:ind w:left="720" w:hanging="720"/>
        <w:jc w:val="center"/>
        <w:rPr>
          <w:rFonts w:eastAsiaTheme="minorHAnsi"/>
          <w:b w:val="0"/>
          <w:szCs w:val="20"/>
          <w:lang w:eastAsia="ru-RU"/>
        </w:rPr>
      </w:pPr>
      <w:r>
        <w:rPr>
          <w:rFonts w:eastAsiaTheme="minorHAnsi"/>
          <w:b w:val="0"/>
          <w:szCs w:val="20"/>
          <w:lang w:eastAsia="ru-RU"/>
        </w:rPr>
        <w:t>for the year ended December 31, 2022</w:t>
      </w:r>
    </w:p>
    <w:p w:rsidR="009534E2" w:rsidRDefault="003369EB">
      <w:pPr>
        <w:pStyle w:val="Heading1"/>
        <w:keepNext w:val="0"/>
        <w:keepLines w:val="0"/>
        <w:ind w:left="720" w:hanging="720"/>
        <w:jc w:val="center"/>
        <w:rPr>
          <w:rFonts w:eastAsiaTheme="minorHAnsi"/>
          <w:b w:val="0"/>
          <w:i/>
          <w:iCs/>
          <w:szCs w:val="20"/>
          <w:lang w:eastAsia="ru-RU"/>
        </w:rPr>
      </w:pPr>
      <w:r>
        <w:rPr>
          <w:rFonts w:eastAsiaTheme="minorHAnsi"/>
          <w:b w:val="0"/>
          <w:i/>
          <w:iCs/>
          <w:szCs w:val="20"/>
          <w:lang w:eastAsia="ru-RU"/>
        </w:rPr>
        <w:t>(in millions of Rubles, except per share data)</w:t>
      </w:r>
    </w:p>
    <w:p w:rsidR="009534E2" w:rsidRDefault="003369EB">
      <w:pPr>
        <w:pStyle w:val="Heading1"/>
        <w:tabs>
          <w:tab w:val="left" w:pos="360"/>
        </w:tabs>
        <w:ind w:left="720" w:hanging="720"/>
        <w:contextualSpacing/>
        <w:rPr>
          <w:lang w:eastAsia="ru-RU"/>
        </w:rPr>
      </w:pPr>
      <w:bookmarkStart w:name="_2b469c2a_c87b_405c_a8bd_3d758fbb1611" w:id="1136"/>
      <w:r>
        <w:rPr>
          <w:lang w:eastAsia="ru-RU"/>
        </w:rPr>
        <w:t>1.</w:t>
      </w:r>
      <w:r>
        <w:rPr>
          <w:lang w:eastAsia="ru-RU"/>
        </w:rPr>
        <w:tab/>
        <w:t>Corporate information and description of business</w:t>
      </w:r>
      <w:bookmarkStart w:name="Corporateinformationanddescriptionofbusi" w:id="1137"/>
      <w:bookmarkEnd w:id="1137"/>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QIWI plc (hereinafter “the Company”) was registered on February 26, 2007 as a limited liability company OE Investments in Cyprus under the Cyprus Companies Law, Cap. 113. The registered office of the Company is Kennedy 12, Kennedy Business Centre, 2nd Floor, P.C.1087, Nicosia, Cyprus. On September 13, 2010 the directors of the Company resolved to change the name of the Company from OE Investments Limited to QIWI Limited. On February 25, 2013 the directors of the Company resolved to change the legal form of the Company from QIWI Limited to QIWI plc. The consolidated financial statements of QIWI plc and its subsidiaries for the year ended December 31, 2022 were authorized for issue by Board of Directors (BoD) on March 31, 2023.</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QIWI plc and its subsidiaries (collectively the “Group”) operate electronic online payment systems primarily in Russia, Kazakhstan, Moldova, Belarus, United Arab Emirates (UAE) and other countries and provide consumer and small and medium enterprises (SME) financial services.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Company was founded as a holding company as a part of the business combination transaction in which ZAO Ob’edinennya Sistema Momentalnykh Platezhey and ZAO e-port Group of entities were brought together by way of contribution to the Company. The transaction was accounted for as a business combination in which ZAO Ob’edinennya Sistema Momentalnykh Platezhey was identified as the acquirer.</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Company’s American Depositary Securities (ADS) have been listed on Nasdaq since May 3, 2013 and have been admitted to trading on MOEX since May 20, 2013. Prior to that time, there was no public market for the Company’ ADSs or ordinary shares. Subsequently, the Company closed two follow-on offerings of its ADSs on October 3, 2013 and on June 20, 2014.</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Sergey Solonin is the ultimate controlling shareholder of the Group as of December 31, 2022.</w:t>
      </w:r>
    </w:p>
    <w:p w:rsidR="009534E2" w:rsidRDefault="003369EB">
      <w:pPr>
        <w:pStyle w:val="BodyT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Information on the Company’s principal subsidiaries is disclosed in Note 5.</w:t>
      </w:r>
    </w:p>
    <w:bookmarkEnd w:displacedByCustomXml="next" w:id="1136"/>
    <w:p w:rsidR="009534E2" w:rsidRDefault="003369EB">
      <w:pPr>
        <w:rPr>
          <w:rFonts w:asciiTheme="majorHAnsi" w:hAnsiTheme="majorHAnsi" w:cstheme="majorHAnsi"/>
          <w:lang w:eastAsia="ru-RU"/>
        </w:rPr>
      </w:pPr>
      <w:bookmarkStart w:name="_5dcfbfc9_ea09_4a45_8e7d_5890c287aeaa" w:id="1138"/>
      <w:bookmarkStart w:name="_8236b346_f9f4_4640_967b_92d708a51058" w:id="1139"/>
      <w:bookmarkStart w:name="_1dcc7654_9a20_41c9_a888_f1d801268192" w:id="1140"/>
      <w:bookmarkStart w:name="_b0816c07_06fa_4a74_aa2c_b5e47a03e833" w:id="1141"/>
      <w:r>
        <w:rPr>
          <w:rFonts w:asciiTheme="majorHAnsi" w:hAnsiTheme="majorHAnsi" w:cstheme="majorHAnsi"/>
          <w:lang w:eastAsia="ru-RU"/>
        </w:rPr>
        <w:br w:type="page"/>
      </w:r>
    </w:p>
    <w:p w:rsidR="009534E2" w:rsidRDefault="003369EB">
      <w:pPr>
        <w:pStyle w:val="Heading1"/>
        <w:tabs>
          <w:tab w:val="left" w:pos="720"/>
        </w:tabs>
        <w:ind w:left="360" w:hanging="360"/>
        <w:rPr>
          <w:bCs/>
          <w:lang w:eastAsia="ru-RU"/>
        </w:rPr>
      </w:pPr>
      <w:r>
        <w:rPr>
          <w:rFonts w:eastAsiaTheme="minorHAnsi"/>
          <w:bCs/>
          <w:szCs w:val="20"/>
          <w:lang w:eastAsia="ru-RU"/>
        </w:rPr>
        <w:t>2</w:t>
      </w:r>
      <w:r>
        <w:rPr>
          <w:bCs/>
          <w:lang w:eastAsia="ru-RU"/>
        </w:rPr>
        <w:t>.</w:t>
      </w:r>
      <w:r>
        <w:rPr>
          <w:bCs/>
          <w:lang w:eastAsia="ru-RU"/>
        </w:rPr>
        <w:tab/>
        <w:t>Principles underlying preparation of consolidated financial statements</w:t>
      </w:r>
    </w:p>
    <w:p w:rsidR="009534E2" w:rsidRDefault="003369EB">
      <w:pPr>
        <w:pStyle w:val="Heading1"/>
        <w:tabs>
          <w:tab w:val="left" w:pos="432"/>
          <w:tab w:val="left" w:pos="576"/>
        </w:tabs>
        <w:ind w:left="562" w:hanging="562"/>
      </w:pPr>
      <w:bookmarkStart w:name="_5619d349_7a93_44b5_bf3d_366da7a649f7" w:id="1142"/>
      <w:bookmarkStart w:name="_101d58f5_751b_4b45_a9f6_ce13189ae776" w:id="1143"/>
      <w:bookmarkStart w:name="_85cca744_53c5_4f8a_8ea5_f904324b4573" w:id="1144"/>
      <w:bookmarkStart w:name="_e8b78c32_c0a2_48cd_acb1_e7ef2814ac33" w:id="1145"/>
      <w:bookmarkStart w:name="_c631f8b9_4af8_4699_bc66_40def1957a9b" w:id="1146"/>
      <w:r>
        <w:t>2.1</w:t>
      </w:r>
      <w:r>
        <w:tab/>
        <w:t>Basis of preparation</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consolidated financial statements have been prepared in accordance with International Financial Reporting Standards (IFRS) under the historical cost convention, as modified by the initial recognition of financial instruments based on fair value, and by revaluation of financial instruments categorised at fair value through profit or loss (FVTPL) and at fair value through other comprehensive income (FVOCI). The principal accounting policies applied in the preparation of these consolidated financial statements are set out below. These policies have been consistently applied to all the periods presented, unless otherwise stated. Despite the risks and uncertainties the Group is facing disclosed in Note 28, the management believes that the Group will continue to operate on a going concern basis in the foreseeable future. Therefore, these consolidated financial statements are prepared accordingly. The consolidated financial statements are presented in Russian rubles (“RUB”) and all values are rounded to the nearest million (RUB </w:t>
      </w:r>
      <w:bookmarkStart w:name="_f8466866_986b_4abe_9fd3_500a332a99a9" w:id="1147"/>
      <w:r>
        <w:rPr>
          <w:rFonts w:eastAsia="Times New Roman" w:asciiTheme="majorHAnsi" w:hAnsiTheme="majorHAnsi" w:cstheme="majorHAnsi"/>
          <w:lang w:eastAsia="ru-RU"/>
        </w:rPr>
        <w:t>(000,000))</w:t>
      </w:r>
      <w:bookmarkEnd w:id="1147"/>
      <w:r>
        <w:rPr>
          <w:rFonts w:eastAsia="Times New Roman" w:asciiTheme="majorHAnsi" w:hAnsiTheme="majorHAnsi" w:cstheme="majorHAnsi"/>
          <w:lang w:eastAsia="ru-RU"/>
        </w:rPr>
        <w:t xml:space="preserve"> except when otherwise indicated.</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Group’s subsidiaries maintain and prepare their accounting records and prepare their statutory accounting reports in accordance with domestic accounting legislation. Standalone financial statements of subsidiaries are prepared in their respective functional currencies (see Note 3.3 below).</w:t>
      </w:r>
    </w:p>
    <w:p w:rsidR="009534E2" w:rsidRDefault="003369EB">
      <w:pPr>
        <w:pStyle w:val="Heading1"/>
        <w:ind w:left="562" w:hanging="562"/>
      </w:pPr>
      <w:bookmarkStart w:name="_b0642a2a_99a9_4f1a_a364_c920fcee0dc6" w:id="1148"/>
      <w:bookmarkStart w:name="_cc0f0374_b047_4e47_b4b6_cb3d2d19ed7b" w:id="1149"/>
      <w:bookmarkStart w:name="_0d68bea9_29d4_48d9_b338_58f871bbdd68" w:id="1150"/>
      <w:bookmarkStart w:name="_c43e47ea_45ce_48ef_baeb_bd0cd3a02a40" w:id="1151"/>
      <w:bookmarkStart w:name="_61248b2e_eda2_490f_9c1a_13a755296a11" w:id="1152"/>
      <w:bookmarkStart w:name="_0f20678f_d22d_47b8_8181_fd0b98fbeddd" w:id="1153"/>
      <w:bookmarkEnd w:id="1142"/>
      <w:bookmarkEnd w:id="1143"/>
      <w:bookmarkEnd w:id="1144"/>
      <w:bookmarkEnd w:id="1145"/>
      <w:bookmarkEnd w:id="1146"/>
      <w:r>
        <w:t>2.2</w:t>
      </w:r>
      <w:r>
        <w:tab/>
        <w:t>Basis of consolidation</w:t>
      </w:r>
    </w:p>
    <w:p w:rsidR="009534E2" w:rsidRDefault="003369EB">
      <w:pPr>
        <w:pStyle w:val="BodyText"/>
        <w:keepNext/>
        <w:keepLines/>
        <w:rPr>
          <w:rFonts w:eastAsia="Times New Roman" w:asciiTheme="majorHAnsi" w:hAnsiTheme="majorHAnsi" w:cstheme="majorHAnsi"/>
        </w:rPr>
      </w:pPr>
      <w:r>
        <w:rPr>
          <w:rFonts w:eastAsia="Times New Roman" w:asciiTheme="majorHAnsi" w:hAnsiTheme="majorHAnsi" w:cstheme="majorHAnsi"/>
        </w:rPr>
        <w:t>The consolidated financial statements comprise the financial statements of QIWI plc and its subsidiaries as of December 31 each year.</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Control is achieved when the Group is exposed, or has rights, to variable returns from its involvement with the investee and has the ability to affect those returns through its power over the investee.</w:t>
      </w:r>
    </w:p>
    <w:p w:rsidR="009534E2" w:rsidRDefault="003369EB">
      <w:pPr>
        <w:pStyle w:val="BodyText"/>
        <w:keepNext/>
        <w:keepLines/>
        <w:rPr>
          <w:rFonts w:eastAsia="Times New Roman" w:asciiTheme="majorHAnsi" w:hAnsiTheme="majorHAnsi" w:cstheme="majorHAnsi"/>
        </w:rPr>
      </w:pPr>
      <w:r>
        <w:rPr>
          <w:rFonts w:eastAsia="Times New Roman" w:asciiTheme="majorHAnsi" w:hAnsiTheme="majorHAnsi" w:cstheme="majorHAnsi"/>
        </w:rPr>
        <w:t>Specifically, the Group controls an investee if and only if the Group has:</w:t>
      </w:r>
    </w:p>
    <w:p w:rsidR="009534E2" w:rsidRDefault="003369EB">
      <w:pPr>
        <w:pStyle w:val="BodyText"/>
        <w:numPr>
          <w:ilvl w:val="0"/>
          <w:numId w:val="34"/>
        </w:numPr>
        <w:ind w:left="360"/>
        <w:rPr>
          <w:rFonts w:eastAsia="Times New Roman" w:asciiTheme="majorHAnsi" w:hAnsiTheme="majorHAnsi" w:cstheme="majorHAnsi"/>
        </w:rPr>
      </w:pPr>
      <w:r>
        <w:rPr>
          <w:rFonts w:eastAsia="Times New Roman" w:asciiTheme="majorHAnsi" w:hAnsiTheme="majorHAnsi" w:cstheme="majorHAnsi"/>
        </w:rPr>
        <w:t>Power over the investee (i.e. existing rights that give it the current ability to direct the relevant activities of the investee),</w:t>
      </w:r>
    </w:p>
    <w:p w:rsidR="009534E2" w:rsidRDefault="003369EB">
      <w:pPr>
        <w:pStyle w:val="BodyText"/>
        <w:numPr>
          <w:ilvl w:val="0"/>
          <w:numId w:val="34"/>
        </w:numPr>
        <w:ind w:left="360"/>
        <w:rPr>
          <w:rFonts w:eastAsia="Times New Roman" w:asciiTheme="majorHAnsi" w:hAnsiTheme="majorHAnsi" w:cstheme="majorHAnsi"/>
        </w:rPr>
      </w:pPr>
      <w:r>
        <w:rPr>
          <w:rFonts w:eastAsia="Times New Roman" w:asciiTheme="majorHAnsi" w:hAnsiTheme="majorHAnsi" w:cstheme="majorHAnsi"/>
        </w:rPr>
        <w:t>Exposure, or rights, to variable returns from its involvement with the investee, and</w:t>
      </w:r>
    </w:p>
    <w:p w:rsidR="009534E2" w:rsidRDefault="003369EB">
      <w:pPr>
        <w:pStyle w:val="BodyText"/>
        <w:numPr>
          <w:ilvl w:val="0"/>
          <w:numId w:val="34"/>
        </w:numPr>
        <w:ind w:left="360"/>
        <w:rPr>
          <w:rFonts w:eastAsia="Times New Roman" w:asciiTheme="majorHAnsi" w:hAnsiTheme="majorHAnsi" w:cstheme="majorHAnsi"/>
        </w:rPr>
      </w:pPr>
      <w:r>
        <w:rPr>
          <w:rFonts w:eastAsia="Times New Roman" w:asciiTheme="majorHAnsi" w:hAnsiTheme="majorHAnsi" w:cstheme="majorHAnsi"/>
        </w:rPr>
        <w:t>The ability to use its power over the investee to affect its returns.</w:t>
      </w:r>
    </w:p>
    <w:p w:rsidR="009534E2" w:rsidRDefault="003369EB">
      <w:pPr>
        <w:pStyle w:val="BodyText"/>
        <w:keepNext/>
        <w:rPr>
          <w:rFonts w:eastAsia="Times New Roman" w:asciiTheme="majorHAnsi" w:hAnsiTheme="majorHAnsi" w:cstheme="majorHAnsi"/>
        </w:rPr>
      </w:pPr>
      <w:r>
        <w:rPr>
          <w:rFonts w:eastAsia="Times New Roman" w:asciiTheme="majorHAnsi" w:hAnsiTheme="majorHAnsi" w:cstheme="majorHAnsi"/>
        </w:rPr>
        <w:t>When the Group has less than a majority of the voting or similar rights of an investee, the Group considers all relevant facts and circumstances in assessing whether it has power over an investee, including:</w:t>
      </w:r>
    </w:p>
    <w:p w:rsidR="009534E2" w:rsidRDefault="003369EB">
      <w:pPr>
        <w:pStyle w:val="BodyText"/>
        <w:numPr>
          <w:ilvl w:val="0"/>
          <w:numId w:val="33"/>
        </w:numPr>
        <w:ind w:left="360"/>
        <w:rPr>
          <w:rFonts w:eastAsia="Times New Roman" w:asciiTheme="majorHAnsi" w:hAnsiTheme="majorHAnsi" w:cstheme="majorHAnsi"/>
        </w:rPr>
      </w:pPr>
      <w:r>
        <w:rPr>
          <w:rFonts w:eastAsia="Times New Roman" w:asciiTheme="majorHAnsi" w:hAnsiTheme="majorHAnsi" w:cstheme="majorHAnsi"/>
        </w:rPr>
        <w:t>The contractual arrangement with the other vote holders of the investee,</w:t>
      </w:r>
    </w:p>
    <w:p w:rsidR="009534E2" w:rsidRDefault="003369EB">
      <w:pPr>
        <w:pStyle w:val="BodyText"/>
        <w:numPr>
          <w:ilvl w:val="0"/>
          <w:numId w:val="33"/>
        </w:numPr>
        <w:ind w:left="360"/>
        <w:rPr>
          <w:rFonts w:eastAsia="Times New Roman" w:asciiTheme="majorHAnsi" w:hAnsiTheme="majorHAnsi" w:cstheme="majorHAnsi"/>
        </w:rPr>
      </w:pPr>
      <w:r>
        <w:rPr>
          <w:rFonts w:eastAsia="Times New Roman" w:asciiTheme="majorHAnsi" w:hAnsiTheme="majorHAnsi" w:cstheme="majorHAnsi"/>
        </w:rPr>
        <w:t>Rights arising from other contractual arrangements,</w:t>
      </w:r>
    </w:p>
    <w:p w:rsidR="009534E2" w:rsidRDefault="003369EB">
      <w:pPr>
        <w:pStyle w:val="BodyText"/>
        <w:numPr>
          <w:ilvl w:val="0"/>
          <w:numId w:val="33"/>
        </w:numPr>
        <w:ind w:left="360"/>
        <w:rPr>
          <w:rFonts w:eastAsia="Times New Roman" w:asciiTheme="majorHAnsi" w:hAnsiTheme="majorHAnsi" w:cstheme="majorHAnsi"/>
        </w:rPr>
      </w:pPr>
      <w:r>
        <w:rPr>
          <w:rFonts w:eastAsia="Times New Roman" w:asciiTheme="majorHAnsi" w:hAnsiTheme="majorHAnsi" w:cstheme="majorHAnsi"/>
        </w:rPr>
        <w:t>The Group’s voting rights and potential voting rights.</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The Group re-assesses whether or not it controls an investee if facts and circumstances indicate that there are changes to one or more of the three elements of control. Consolidation of a subsidiary begins when the Group obtains control over the subsidiary and ceases when the Group losses control of the subsidiary. Assets, liabilities, income and expenses of a subsidiary acquired or disposed of during the year are included in the statement of comprehensive income from the date the Group gains control until the date the Group ceases to control the subsidiary. The financial statements of the subsidiaries are prepared for the same reporting period as the parent company, using consistent accounting policies.</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All intra-group balances, income, expenses and unrealized gains and losses resulting from intra-group transactions are eliminated in full, except for the foreign exchange gains and losses arising on intra-group loans.</w:t>
      </w:r>
      <w:bookmarkEnd w:id="1148"/>
    </w:p>
    <w:p w:rsidR="009534E2" w:rsidRDefault="003369EB">
      <w:pPr>
        <w:rPr>
          <w:rFonts w:eastAsia="Times New Roman" w:asciiTheme="majorHAnsi" w:hAnsiTheme="majorHAnsi" w:cstheme="majorHAnsi"/>
        </w:rPr>
      </w:pPr>
      <w:r>
        <w:rPr>
          <w:rFonts w:eastAsia="Times New Roman" w:asciiTheme="majorHAnsi" w:hAnsiTheme="majorHAnsi" w:cstheme="majorHAnsi"/>
        </w:rPr>
        <w:br w:type="page"/>
      </w:r>
    </w:p>
    <w:p w:rsidR="009534E2" w:rsidRDefault="003369EB">
      <w:pPr>
        <w:pStyle w:val="Heading1"/>
        <w:ind w:left="360" w:hanging="360"/>
      </w:pPr>
      <w:r>
        <w:rPr>
          <w:lang w:eastAsia="ru-RU"/>
        </w:rPr>
        <w:t>2.</w:t>
      </w:r>
      <w:r>
        <w:rPr>
          <w:lang w:eastAsia="ru-RU"/>
        </w:rPr>
        <w:tab/>
        <w:t>Principles underlying preparation of consolidated financial statements (continued)</w:t>
      </w:r>
    </w:p>
    <w:p w:rsidR="009534E2" w:rsidRDefault="003369EB">
      <w:pPr>
        <w:pStyle w:val="Heading1"/>
        <w:ind w:left="562" w:hanging="562"/>
      </w:pPr>
      <w:r>
        <w:t>2.2</w:t>
      </w:r>
      <w:r>
        <w:tab/>
        <w:t xml:space="preserve">Basis of consolidation </w:t>
      </w:r>
      <w:r>
        <w:rPr>
          <w:lang w:eastAsia="ru-RU"/>
        </w:rPr>
        <w:t>(continued)</w:t>
      </w:r>
    </w:p>
    <w:p w:rsidR="009534E2" w:rsidRDefault="003369EB">
      <w:pPr>
        <w:pStyle w:val="BodyText"/>
        <w:rPr>
          <w:rFonts w:eastAsia="Times New Roman" w:asciiTheme="majorHAnsi" w:hAnsiTheme="majorHAnsi" w:cstheme="majorHAnsi"/>
        </w:rPr>
      </w:pPr>
      <w:bookmarkStart w:name="_1725f5fa_03ce_40f4_93f4_7a3a6c7d56fe" w:id="1154"/>
      <w:r>
        <w:rPr>
          <w:rFonts w:eastAsia="Times New Roman" w:asciiTheme="majorHAnsi" w:hAnsiTheme="majorHAnsi" w:cstheme="majorHAnsi"/>
        </w:rPr>
        <w:t>Profit or loss and each component of other comprehensive income (OCI) are attributed to the equity holders of the parent of the Group and to the non-controlling interests, even if this results in the non-controlling interests having a deficit balance. When necessary, adjustments are made to the financial statements of subsidiaries to bring their accounting policies into line with the Group’s accounting policies.</w:t>
      </w:r>
    </w:p>
    <w:p w:rsidR="009534E2" w:rsidRDefault="003369EB">
      <w:pPr>
        <w:pStyle w:val="BodyText"/>
        <w:keepNext/>
        <w:rPr>
          <w:rFonts w:eastAsia="Times New Roman" w:asciiTheme="majorHAnsi" w:hAnsiTheme="majorHAnsi" w:cstheme="majorHAnsi"/>
          <w:lang w:eastAsia="ru-RU"/>
        </w:rPr>
      </w:pPr>
      <w:r>
        <w:rPr>
          <w:rFonts w:eastAsia="Times New Roman" w:asciiTheme="majorHAnsi" w:hAnsiTheme="majorHAnsi" w:cstheme="majorHAnsi"/>
          <w:lang w:eastAsia="ru-RU"/>
        </w:rPr>
        <w:t>A change in the ownership interest of a subsidiary, without a loss of control, is accounted for as an equity transaction. If the Group loses control over a subsidiary, it:</w:t>
      </w:r>
    </w:p>
    <w:p w:rsidR="009534E2" w:rsidRDefault="003369EB">
      <w:pPr>
        <w:pStyle w:val="BodyText"/>
        <w:numPr>
          <w:ilvl w:val="0"/>
          <w:numId w:val="32"/>
        </w:numPr>
        <w:ind w:left="360"/>
        <w:rPr>
          <w:rFonts w:eastAsia="Times New Roman" w:asciiTheme="majorHAnsi" w:hAnsiTheme="majorHAnsi" w:cstheme="majorHAnsi"/>
        </w:rPr>
      </w:pPr>
      <w:r>
        <w:rPr>
          <w:rFonts w:eastAsia="Times New Roman" w:asciiTheme="majorHAnsi" w:hAnsiTheme="majorHAnsi" w:cstheme="majorHAnsi"/>
        </w:rPr>
        <w:t>Derecognises the assets (including goodwill) and liabilities of the subsidiary.</w:t>
      </w:r>
    </w:p>
    <w:p w:rsidR="009534E2" w:rsidRDefault="003369EB">
      <w:pPr>
        <w:pStyle w:val="BodyText"/>
        <w:numPr>
          <w:ilvl w:val="0"/>
          <w:numId w:val="32"/>
        </w:numPr>
        <w:ind w:left="360"/>
        <w:rPr>
          <w:rFonts w:eastAsia="Times New Roman" w:asciiTheme="majorHAnsi" w:hAnsiTheme="majorHAnsi" w:cstheme="majorHAnsi"/>
        </w:rPr>
      </w:pPr>
      <w:r>
        <w:rPr>
          <w:rFonts w:eastAsia="Times New Roman" w:asciiTheme="majorHAnsi" w:hAnsiTheme="majorHAnsi" w:cstheme="majorHAnsi"/>
        </w:rPr>
        <w:t>Derecognises the carrying amount of any non-controlling interests, including any components of other comprehensive income attributable to them.</w:t>
      </w:r>
    </w:p>
    <w:p w:rsidR="009534E2" w:rsidRDefault="003369EB">
      <w:pPr>
        <w:pStyle w:val="BodyText"/>
        <w:numPr>
          <w:ilvl w:val="0"/>
          <w:numId w:val="32"/>
        </w:numPr>
        <w:ind w:left="360"/>
        <w:rPr>
          <w:rFonts w:eastAsia="Times New Roman" w:asciiTheme="majorHAnsi" w:hAnsiTheme="majorHAnsi" w:cstheme="majorHAnsi"/>
        </w:rPr>
      </w:pPr>
      <w:r>
        <w:rPr>
          <w:rFonts w:eastAsia="Times New Roman" w:asciiTheme="majorHAnsi" w:hAnsiTheme="majorHAnsi" w:cstheme="majorHAnsi"/>
        </w:rPr>
        <w:t>Recognises the fair value of the consideration received.</w:t>
      </w:r>
    </w:p>
    <w:p w:rsidR="009534E2" w:rsidRDefault="003369EB">
      <w:pPr>
        <w:pStyle w:val="BodyText"/>
        <w:numPr>
          <w:ilvl w:val="0"/>
          <w:numId w:val="32"/>
        </w:numPr>
        <w:ind w:left="360"/>
        <w:rPr>
          <w:rFonts w:eastAsia="Times New Roman" w:asciiTheme="majorHAnsi" w:hAnsiTheme="majorHAnsi" w:cstheme="majorHAnsi"/>
        </w:rPr>
      </w:pPr>
      <w:r>
        <w:rPr>
          <w:rFonts w:eastAsia="Times New Roman" w:asciiTheme="majorHAnsi" w:hAnsiTheme="majorHAnsi" w:cstheme="majorHAnsi"/>
        </w:rPr>
        <w:t>Recognises the fair value of any investment retained.</w:t>
      </w:r>
    </w:p>
    <w:p w:rsidR="009534E2" w:rsidRDefault="003369EB">
      <w:pPr>
        <w:pStyle w:val="BodyText"/>
        <w:numPr>
          <w:ilvl w:val="0"/>
          <w:numId w:val="32"/>
        </w:numPr>
        <w:ind w:left="360"/>
        <w:rPr>
          <w:rFonts w:eastAsia="Times New Roman" w:asciiTheme="majorHAnsi" w:hAnsiTheme="majorHAnsi" w:cstheme="majorHAnsi"/>
        </w:rPr>
      </w:pPr>
      <w:r>
        <w:rPr>
          <w:rFonts w:eastAsia="Times New Roman" w:asciiTheme="majorHAnsi" w:hAnsiTheme="majorHAnsi" w:cstheme="majorHAnsi"/>
        </w:rPr>
        <w:t>Recognises any surplus or deficit in profit or loss.</w:t>
      </w:r>
    </w:p>
    <w:p w:rsidR="009534E2" w:rsidRDefault="003369EB">
      <w:pPr>
        <w:pStyle w:val="BodyText"/>
        <w:numPr>
          <w:ilvl w:val="0"/>
          <w:numId w:val="32"/>
        </w:numPr>
        <w:ind w:left="360"/>
        <w:rPr>
          <w:rFonts w:eastAsia="Times New Roman" w:asciiTheme="majorHAnsi" w:hAnsiTheme="majorHAnsi" w:cstheme="majorHAnsi"/>
        </w:rPr>
      </w:pPr>
      <w:r>
        <w:rPr>
          <w:rFonts w:eastAsia="Times New Roman" w:asciiTheme="majorHAnsi" w:hAnsiTheme="majorHAnsi" w:cstheme="majorHAnsi"/>
        </w:rPr>
        <w:t>Reclassifies to profit or loss or retained earnings, as appropriate, the amounts previously recognized in OCI as would be required if the Group had directly disposed of the related assets or liabilities.</w:t>
      </w:r>
      <w:bookmarkEnd w:id="1149"/>
      <w:bookmarkEnd w:id="1154"/>
    </w:p>
    <w:p w:rsidR="009534E2" w:rsidRDefault="003369EB">
      <w:pPr>
        <w:pStyle w:val="Heading1"/>
        <w:ind w:left="562" w:hanging="562"/>
      </w:pPr>
      <w:bookmarkStart w:name="_f94c151e_7283_487e_8f2c_31678ddaf702" w:id="1155"/>
      <w:bookmarkStart w:name="_6ba053a7_c15c_4579_b2f1_4be85ff4e20b" w:id="1156"/>
      <w:bookmarkStart w:name="_4bb119ab_adef_4257_97bd_2b1eb8017139" w:id="1157"/>
      <w:bookmarkStart w:name="_48c7744a_828e_4274_8244_7cba18cac6a2" w:id="1158"/>
      <w:bookmarkStart w:name="_6c5248a5_e960_485d_b302_bf9834b6006b" w:id="1159"/>
      <w:bookmarkStart w:name="_f4a9c403_d4e1_467c_b267_3f08b9e1cd3d" w:id="1160"/>
      <w:bookmarkEnd w:id="1150"/>
      <w:bookmarkEnd w:id="1151"/>
      <w:bookmarkEnd w:id="1152"/>
      <w:bookmarkEnd w:id="1153"/>
      <w:r>
        <w:t>2.3</w:t>
      </w:r>
      <w:r>
        <w:tab/>
        <w:t>Changes in accounting policies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 accounting policies adopted in the preparation of the consolidated financial statements are consistent with those followed in the preparation of the Group’s annual consolidated financial statements for the year ended December 31, 2021, except for the adoption of the new and amended IFRS and IFRIC interpretations as of January 1, 2022. </w:t>
      </w:r>
      <w:r>
        <w:rPr>
          <w:rFonts w:eastAsia="Times New Roman" w:asciiTheme="majorHAnsi" w:hAnsiTheme="majorHAnsi" w:cstheme="majorHAnsi"/>
        </w:rPr>
        <w:t>The Group has not early adopted any other standard, interpretation or amendment that has been issued but is not yet effective.</w:t>
      </w:r>
      <w:bookmarkEnd w:id="1155"/>
      <w:bookmarkEnd w:id="1156"/>
      <w:bookmarkEnd w:id="1157"/>
    </w:p>
    <w:p w:rsidR="009534E2" w:rsidRDefault="003369EB">
      <w:pPr>
        <w:keepNext/>
        <w:keepLines/>
        <w:spacing w:after="200"/>
        <w:rPr>
          <w:rFonts w:asciiTheme="majorHAnsi" w:hAnsiTheme="majorHAnsi" w:cstheme="majorHAnsi"/>
        </w:rPr>
      </w:pPr>
      <w:bookmarkStart w:name="_7d09166a_0342_4839_8b91_3e4885271f4c" w:id="1161"/>
      <w:bookmarkStart w:name="_766f6cbe_d43d_418a_b673_971de719dcd6" w:id="1162"/>
      <w:bookmarkEnd w:id="1158"/>
      <w:r>
        <w:rPr>
          <w:rFonts w:asciiTheme="majorHAnsi" w:hAnsiTheme="majorHAnsi" w:cstheme="majorHAnsi"/>
        </w:rPr>
        <w:t>The following amended standards became effective from January 1, 2022, but did not have any material impact on the consolidated financial statements of the Group:</w:t>
      </w:r>
    </w:p>
    <w:p w:rsidR="009534E2" w:rsidRDefault="003369EB">
      <w:pPr>
        <w:pStyle w:val="BodyText"/>
        <w:numPr>
          <w:ilvl w:val="0"/>
          <w:numId w:val="31"/>
        </w:numPr>
        <w:ind w:left="360"/>
        <w:rPr>
          <w:rFonts w:asciiTheme="majorHAnsi" w:hAnsiTheme="majorHAnsi" w:cstheme="majorHAnsi"/>
        </w:rPr>
      </w:pPr>
      <w:r>
        <w:rPr>
          <w:rFonts w:eastAsia="Times New Roman" w:asciiTheme="majorHAnsi" w:hAnsiTheme="majorHAnsi" w:cstheme="majorHAnsi"/>
          <w:i/>
          <w:lang w:eastAsia="ru-RU"/>
        </w:rPr>
        <w:t xml:space="preserve">Amendments to IFRS 3: Reference to the Conceptual Framework </w:t>
      </w:r>
      <w:r>
        <w:rPr>
          <w:rFonts w:eastAsia="Times New Roman" w:asciiTheme="majorHAnsi" w:hAnsiTheme="majorHAnsi" w:cstheme="majorHAnsi"/>
          <w:iCs/>
          <w:lang w:eastAsia="ru-RU"/>
        </w:rPr>
        <w:t>(issued in May 2020)</w:t>
      </w:r>
    </w:p>
    <w:p w:rsidR="009534E2" w:rsidRDefault="003369EB">
      <w:pPr>
        <w:pStyle w:val="BodyText"/>
        <w:numPr>
          <w:ilvl w:val="0"/>
          <w:numId w:val="31"/>
        </w:numPr>
        <w:ind w:left="360"/>
        <w:rPr>
          <w:rFonts w:asciiTheme="majorHAnsi" w:hAnsiTheme="majorHAnsi" w:cstheme="majorHAnsi"/>
          <w:i/>
          <w:iCs/>
        </w:rPr>
      </w:pPr>
      <w:r>
        <w:rPr>
          <w:rFonts w:asciiTheme="majorHAnsi" w:hAnsiTheme="majorHAnsi" w:cstheme="majorHAnsi"/>
          <w:i/>
          <w:iCs/>
        </w:rPr>
        <w:t xml:space="preserve">Amendments to IAS 16: Property, Plant and Equipment: </w:t>
      </w:r>
      <w:r>
        <w:rPr>
          <w:rFonts w:asciiTheme="majorHAnsi" w:hAnsiTheme="majorHAnsi" w:cstheme="majorHAnsi"/>
        </w:rPr>
        <w:t>Proceeds before Intended Use (issued in May 2020)</w:t>
      </w:r>
    </w:p>
    <w:p w:rsidR="009534E2" w:rsidRDefault="003369EB">
      <w:pPr>
        <w:pStyle w:val="BodyText"/>
        <w:numPr>
          <w:ilvl w:val="0"/>
          <w:numId w:val="31"/>
        </w:numPr>
        <w:ind w:left="360"/>
        <w:rPr>
          <w:rFonts w:asciiTheme="majorHAnsi" w:hAnsiTheme="majorHAnsi" w:cstheme="majorHAnsi"/>
          <w:i/>
          <w:iCs/>
        </w:rPr>
      </w:pPr>
      <w:r>
        <w:rPr>
          <w:rFonts w:asciiTheme="majorHAnsi" w:hAnsiTheme="majorHAnsi" w:cstheme="majorHAnsi"/>
          <w:i/>
          <w:iCs/>
        </w:rPr>
        <w:t xml:space="preserve">Amendments to IAS 37: Onerous Contracts – </w:t>
      </w:r>
      <w:r>
        <w:rPr>
          <w:rFonts w:asciiTheme="majorHAnsi" w:hAnsiTheme="majorHAnsi" w:cstheme="majorHAnsi"/>
        </w:rPr>
        <w:t>Costs of Fulfilling a Contract (issued in May 2020)</w:t>
      </w:r>
    </w:p>
    <w:p w:rsidR="009534E2" w:rsidRDefault="003369EB">
      <w:pPr>
        <w:pStyle w:val="BodyText"/>
        <w:numPr>
          <w:ilvl w:val="0"/>
          <w:numId w:val="31"/>
        </w:numPr>
        <w:ind w:left="360"/>
        <w:rPr>
          <w:rFonts w:asciiTheme="majorHAnsi" w:hAnsiTheme="majorHAnsi" w:cstheme="majorHAnsi"/>
          <w:i/>
          <w:iCs/>
        </w:rPr>
      </w:pPr>
      <w:r>
        <w:rPr>
          <w:rFonts w:asciiTheme="majorHAnsi" w:hAnsiTheme="majorHAnsi" w:cstheme="majorHAnsi"/>
          <w:i/>
          <w:iCs/>
        </w:rPr>
        <w:t>2018-2020 annual improvements to IFRS standards</w:t>
      </w:r>
      <w:r>
        <w:rPr>
          <w:rFonts w:asciiTheme="majorHAnsi" w:hAnsiTheme="majorHAnsi" w:cstheme="majorHAnsi"/>
        </w:rPr>
        <w:t>:</w:t>
      </w:r>
    </w:p>
    <w:p w:rsidR="009534E2" w:rsidRDefault="003369EB">
      <w:pPr>
        <w:pStyle w:val="BodyText"/>
        <w:numPr>
          <w:ilvl w:val="0"/>
          <w:numId w:val="31"/>
        </w:numPr>
        <w:ind w:left="360"/>
        <w:rPr>
          <w:rFonts w:asciiTheme="majorHAnsi" w:hAnsiTheme="majorHAnsi" w:cstheme="majorHAnsi"/>
          <w:i/>
          <w:iCs/>
        </w:rPr>
      </w:pPr>
      <w:r>
        <w:rPr>
          <w:rFonts w:asciiTheme="majorHAnsi" w:hAnsiTheme="majorHAnsi" w:cstheme="majorHAnsi"/>
          <w:i/>
          <w:iCs/>
        </w:rPr>
        <w:t>IFRS 1 First-time Adoption of International Financial Reporting Standards</w:t>
      </w:r>
      <w:r>
        <w:rPr>
          <w:rFonts w:asciiTheme="majorHAnsi" w:hAnsiTheme="majorHAnsi" w:cstheme="majorHAnsi"/>
        </w:rPr>
        <w:t xml:space="preserve"> – Subsidiary as a first-time adopter</w:t>
      </w:r>
    </w:p>
    <w:p w:rsidR="009534E2" w:rsidRDefault="003369EB">
      <w:pPr>
        <w:pStyle w:val="BodyText"/>
        <w:numPr>
          <w:ilvl w:val="0"/>
          <w:numId w:val="31"/>
        </w:numPr>
        <w:ind w:left="360"/>
        <w:rPr>
          <w:rFonts w:asciiTheme="majorHAnsi" w:hAnsiTheme="majorHAnsi" w:cstheme="majorHAnsi"/>
          <w:i/>
          <w:iCs/>
        </w:rPr>
      </w:pPr>
      <w:r>
        <w:rPr>
          <w:rFonts w:asciiTheme="majorHAnsi" w:hAnsiTheme="majorHAnsi" w:cstheme="majorHAnsi"/>
          <w:i/>
          <w:iCs/>
        </w:rPr>
        <w:t xml:space="preserve">IFRS 9 Financial Instruments </w:t>
      </w:r>
      <w:r>
        <w:rPr>
          <w:rFonts w:asciiTheme="majorHAnsi" w:hAnsiTheme="majorHAnsi" w:cstheme="majorHAnsi"/>
        </w:rPr>
        <w:t>– Fees in the ‘10 per cent’ test for derecognition of financial liabilities</w:t>
      </w:r>
    </w:p>
    <w:p w:rsidR="009534E2" w:rsidRDefault="003369EB">
      <w:pPr>
        <w:pStyle w:val="BodyText"/>
        <w:numPr>
          <w:ilvl w:val="0"/>
          <w:numId w:val="31"/>
        </w:numPr>
        <w:ind w:left="360"/>
        <w:rPr>
          <w:rFonts w:asciiTheme="majorHAnsi" w:hAnsiTheme="majorHAnsi" w:cstheme="majorHAnsi"/>
          <w:i/>
          <w:iCs/>
        </w:rPr>
      </w:pPr>
      <w:r>
        <w:rPr>
          <w:rFonts w:asciiTheme="majorHAnsi" w:hAnsiTheme="majorHAnsi" w:cstheme="majorHAnsi"/>
          <w:i/>
          <w:iCs/>
        </w:rPr>
        <w:t xml:space="preserve">IAS 41 Agriculture – </w:t>
      </w:r>
      <w:r>
        <w:rPr>
          <w:rFonts w:asciiTheme="majorHAnsi" w:hAnsiTheme="majorHAnsi" w:cstheme="majorHAnsi"/>
        </w:rPr>
        <w:t>Taxation in fair value measurements</w:t>
      </w:r>
    </w:p>
    <w:p w:rsidR="009534E2" w:rsidRDefault="003369EB">
      <w:pPr>
        <w:rPr>
          <w:rFonts w:asciiTheme="majorHAnsi" w:hAnsiTheme="majorHAnsi" w:cstheme="majorHAnsi"/>
          <w:b/>
        </w:rPr>
      </w:pPr>
      <w:bookmarkStart w:name="_bfeb3d7e_f58a_45ee_a4a2_a30761a7ab3c" w:id="1163"/>
      <w:bookmarkEnd w:id="1159"/>
      <w:bookmarkEnd w:id="1160"/>
      <w:r>
        <w:rPr>
          <w:rFonts w:asciiTheme="majorHAnsi" w:hAnsiTheme="majorHAnsi" w:cstheme="majorHAnsi"/>
          <w:b/>
        </w:rPr>
        <w:br w:type="page"/>
      </w:r>
    </w:p>
    <w:p w:rsidR="009534E2" w:rsidRDefault="003369EB">
      <w:pPr>
        <w:pStyle w:val="BodyText"/>
        <w:keepNext/>
        <w:keepLines/>
        <w:ind w:left="360" w:hanging="360"/>
        <w:rPr>
          <w:rFonts w:asciiTheme="majorHAnsi" w:hAnsiTheme="majorHAnsi" w:cstheme="majorHAnsi"/>
          <w:b/>
          <w:bCs/>
          <w:lang w:eastAsia="ru-RU"/>
        </w:rPr>
      </w:pPr>
      <w:r>
        <w:rPr>
          <w:rFonts w:asciiTheme="majorHAnsi" w:hAnsiTheme="majorHAnsi" w:cstheme="majorHAnsi"/>
          <w:b/>
          <w:bCs/>
          <w:lang w:eastAsia="ru-RU"/>
        </w:rPr>
        <w:t>2.</w:t>
      </w:r>
      <w:r>
        <w:rPr>
          <w:rFonts w:asciiTheme="majorHAnsi" w:hAnsiTheme="majorHAnsi" w:cstheme="majorHAnsi"/>
          <w:b/>
          <w:bCs/>
          <w:lang w:eastAsia="ru-RU"/>
        </w:rPr>
        <w:tab/>
        <w:t>Principles underlying preparation of consolidated financial statements (continued)</w:t>
      </w:r>
    </w:p>
    <w:p w:rsidR="009534E2" w:rsidRDefault="003369EB">
      <w:pPr>
        <w:keepNext/>
        <w:keepLines/>
        <w:spacing w:after="200"/>
        <w:ind w:left="562" w:hanging="562"/>
        <w:rPr>
          <w:rFonts w:asciiTheme="majorHAnsi" w:hAnsiTheme="majorHAnsi" w:cstheme="majorHAnsi"/>
          <w:b/>
        </w:rPr>
      </w:pPr>
      <w:bookmarkStart w:name="_1fcd22c5_2da0_4b35_a3c2_2eeec21fc0e7" w:id="1164"/>
      <w:r>
        <w:rPr>
          <w:rFonts w:asciiTheme="majorHAnsi" w:hAnsiTheme="majorHAnsi" w:cstheme="majorHAnsi"/>
          <w:b/>
        </w:rPr>
        <w:t>2.4</w:t>
      </w:r>
      <w:r>
        <w:rPr>
          <w:rFonts w:asciiTheme="majorHAnsi" w:hAnsiTheme="majorHAnsi" w:cstheme="majorHAnsi"/>
          <w:b/>
        </w:rPr>
        <w:tab/>
        <w:t>Standards issued but not yet effective</w:t>
      </w:r>
    </w:p>
    <w:p w:rsidR="009534E2" w:rsidRDefault="003369EB">
      <w:pPr>
        <w:pStyle w:val="BodyText"/>
        <w:keepNext/>
        <w:rPr>
          <w:rFonts w:eastAsia="Times New Roman" w:asciiTheme="majorHAnsi" w:hAnsiTheme="majorHAnsi" w:cstheme="majorHAnsi"/>
          <w:lang w:eastAsia="ru-RU"/>
        </w:rPr>
      </w:pPr>
      <w:r>
        <w:rPr>
          <w:rFonts w:eastAsia="Times New Roman" w:asciiTheme="majorHAnsi" w:hAnsiTheme="majorHAnsi" w:cstheme="majorHAnsi"/>
          <w:lang w:eastAsia="ru-RU"/>
        </w:rPr>
        <w:t>The following other new pronouncements are not expected to have any material impact on the Group when adopted:</w:t>
      </w:r>
    </w:p>
    <w:bookmarkEnd w:id="1161"/>
    <w:p w:rsidR="009534E2" w:rsidRDefault="003369EB">
      <w:pPr>
        <w:pStyle w:val="BodyText"/>
        <w:numPr>
          <w:ilvl w:val="0"/>
          <w:numId w:val="30"/>
        </w:numPr>
        <w:ind w:left="360"/>
        <w:rPr>
          <w:rFonts w:eastAsia="Times New Roman" w:asciiTheme="majorHAnsi" w:hAnsiTheme="majorHAnsi" w:cstheme="majorHAnsi"/>
          <w:iCs/>
          <w:lang w:eastAsia="ru-RU"/>
        </w:rPr>
      </w:pPr>
      <w:r>
        <w:rPr>
          <w:rFonts w:eastAsia="Times New Roman" w:asciiTheme="majorHAnsi" w:hAnsiTheme="majorHAnsi" w:cstheme="majorHAnsi"/>
          <w:i/>
          <w:lang w:eastAsia="ru-RU"/>
        </w:rPr>
        <w:t xml:space="preserve">IFRS 17 Insurance Contracts </w:t>
      </w:r>
      <w:r>
        <w:rPr>
          <w:rFonts w:eastAsia="Times New Roman" w:asciiTheme="majorHAnsi" w:hAnsiTheme="majorHAnsi" w:cstheme="majorHAnsi"/>
          <w:iCs/>
          <w:lang w:eastAsia="ru-RU"/>
        </w:rPr>
        <w:t>(issued in May 2017 and effective for annual periods beginning on or after January 1, 2023)</w:t>
      </w:r>
    </w:p>
    <w:p w:rsidR="009534E2" w:rsidRDefault="003369EB">
      <w:pPr>
        <w:pStyle w:val="BodyText"/>
        <w:numPr>
          <w:ilvl w:val="0"/>
          <w:numId w:val="30"/>
        </w:numPr>
        <w:ind w:left="360"/>
        <w:rPr>
          <w:rFonts w:eastAsia="Times New Roman" w:asciiTheme="majorHAnsi" w:hAnsiTheme="majorHAnsi" w:cstheme="majorHAnsi"/>
          <w:iCs/>
          <w:lang w:eastAsia="ru-RU"/>
        </w:rPr>
      </w:pPr>
      <w:r>
        <w:rPr>
          <w:rFonts w:eastAsia="Times New Roman" w:asciiTheme="majorHAnsi" w:hAnsiTheme="majorHAnsi" w:cstheme="majorHAnsi"/>
          <w:i/>
          <w:lang w:eastAsia="ru-RU"/>
        </w:rPr>
        <w:t>Amendments to IFRS 17 Insurance contracts: Initial Application of IFRS 17 and IFRS 9 – Comparative Information</w:t>
      </w:r>
      <w:r>
        <w:rPr>
          <w:rFonts w:eastAsia="Times New Roman" w:asciiTheme="majorHAnsi" w:hAnsiTheme="majorHAnsi" w:cstheme="majorHAnsi"/>
          <w:iCs/>
          <w:lang w:eastAsia="ru-RU"/>
        </w:rPr>
        <w:t xml:space="preserve"> (issued in December 2021 and effective for annual periods beginning on or after January 1, 2023</w:t>
      </w:r>
      <w:r>
        <w:rPr>
          <w:rFonts w:eastAsia="Times New Roman" w:asciiTheme="majorHAnsi" w:hAnsiTheme="majorHAnsi" w:cstheme="majorHAnsi"/>
          <w:i/>
          <w:lang w:eastAsia="ru-RU"/>
        </w:rPr>
        <w:t>)</w:t>
      </w:r>
    </w:p>
    <w:p w:rsidR="009534E2" w:rsidRDefault="003369EB">
      <w:pPr>
        <w:pStyle w:val="BodyText"/>
        <w:numPr>
          <w:ilvl w:val="0"/>
          <w:numId w:val="30"/>
        </w:numPr>
        <w:ind w:left="360"/>
        <w:rPr>
          <w:rFonts w:eastAsia="Times New Roman" w:asciiTheme="majorHAnsi" w:hAnsiTheme="majorHAnsi" w:cstheme="majorHAnsi"/>
          <w:iCs/>
          <w:lang w:eastAsia="ru-RU"/>
        </w:rPr>
      </w:pPr>
      <w:r>
        <w:rPr>
          <w:rFonts w:eastAsia="Times New Roman" w:asciiTheme="majorHAnsi" w:hAnsiTheme="majorHAnsi" w:cstheme="majorHAnsi"/>
          <w:i/>
          <w:lang w:eastAsia="ru-RU"/>
        </w:rPr>
        <w:t xml:space="preserve">Amendments to IAS 1: Classification of liabilities as current or non-current </w:t>
      </w:r>
      <w:r>
        <w:rPr>
          <w:rFonts w:eastAsia="Times New Roman" w:asciiTheme="majorHAnsi" w:hAnsiTheme="majorHAnsi" w:cstheme="majorHAnsi"/>
          <w:iCs/>
          <w:lang w:eastAsia="ru-RU"/>
        </w:rPr>
        <w:t>(issued on January 23, 2020 and effective for annual periods beginning on or after January 1, 2024)</w:t>
      </w:r>
    </w:p>
    <w:p w:rsidR="009534E2" w:rsidRDefault="003369EB">
      <w:pPr>
        <w:pStyle w:val="BodyText"/>
        <w:numPr>
          <w:ilvl w:val="0"/>
          <w:numId w:val="30"/>
        </w:numPr>
        <w:ind w:left="360"/>
        <w:rPr>
          <w:rFonts w:eastAsia="Times New Roman" w:asciiTheme="majorHAnsi" w:hAnsiTheme="majorHAnsi" w:cstheme="majorHAnsi"/>
          <w:iCs/>
          <w:lang w:eastAsia="ru-RU"/>
        </w:rPr>
      </w:pPr>
      <w:r>
        <w:rPr>
          <w:rFonts w:eastAsia="Times New Roman" w:asciiTheme="majorHAnsi" w:hAnsiTheme="majorHAnsi" w:cstheme="majorHAnsi"/>
          <w:i/>
          <w:lang w:eastAsia="ru-RU"/>
        </w:rPr>
        <w:t>Amendments to IAS 1 Presentaion of Financial Statements and IFRS Practice Statement 2: Disclosure of Accounting policies</w:t>
      </w:r>
      <w:r>
        <w:rPr>
          <w:rFonts w:eastAsia="Times New Roman" w:asciiTheme="majorHAnsi" w:hAnsiTheme="majorHAnsi" w:cstheme="majorHAnsi"/>
          <w:iCs/>
          <w:lang w:eastAsia="ru-RU"/>
        </w:rPr>
        <w:t xml:space="preserve"> (issued in February 2021 and effective for annual periods beginning on or after January 1, 2023)</w:t>
      </w:r>
    </w:p>
    <w:p w:rsidR="009534E2" w:rsidRDefault="003369EB">
      <w:pPr>
        <w:pStyle w:val="BodyText"/>
        <w:numPr>
          <w:ilvl w:val="0"/>
          <w:numId w:val="30"/>
        </w:numPr>
        <w:ind w:left="360"/>
        <w:rPr>
          <w:rFonts w:eastAsia="Times New Roman" w:asciiTheme="majorHAnsi" w:hAnsiTheme="majorHAnsi" w:cstheme="majorHAnsi"/>
          <w:iCs/>
          <w:lang w:eastAsia="ru-RU"/>
        </w:rPr>
      </w:pPr>
      <w:r>
        <w:rPr>
          <w:rFonts w:eastAsia="Times New Roman" w:asciiTheme="majorHAnsi" w:hAnsiTheme="majorHAnsi" w:cstheme="majorHAnsi"/>
          <w:i/>
          <w:lang w:eastAsia="ru-RU"/>
        </w:rPr>
        <w:t>Amendments to IAS 8 Accounting policies, Changes in Accounting Estimates and Errors: Definition of Accounting Estimates</w:t>
      </w:r>
      <w:r>
        <w:rPr>
          <w:rFonts w:eastAsia="Times New Roman" w:asciiTheme="majorHAnsi" w:hAnsiTheme="majorHAnsi" w:cstheme="majorHAnsi"/>
          <w:iCs/>
          <w:lang w:eastAsia="ru-RU"/>
        </w:rPr>
        <w:t xml:space="preserve"> (issued in February 2021 and effective for annual periods beginning on or after January 1, 2023)</w:t>
      </w:r>
    </w:p>
    <w:p w:rsidR="009534E2" w:rsidRDefault="003369EB">
      <w:pPr>
        <w:pStyle w:val="BodyText"/>
        <w:numPr>
          <w:ilvl w:val="0"/>
          <w:numId w:val="30"/>
        </w:numPr>
        <w:ind w:left="360"/>
        <w:rPr>
          <w:rFonts w:eastAsia="Times New Roman" w:asciiTheme="majorHAnsi" w:hAnsiTheme="majorHAnsi" w:cstheme="majorHAnsi"/>
          <w:iCs/>
          <w:lang w:eastAsia="ru-RU"/>
        </w:rPr>
      </w:pPr>
      <w:r>
        <w:rPr>
          <w:rFonts w:eastAsia="Times New Roman" w:asciiTheme="majorHAnsi" w:hAnsiTheme="majorHAnsi" w:cstheme="majorHAnsi"/>
          <w:i/>
          <w:lang w:eastAsia="ru-RU"/>
        </w:rPr>
        <w:t>Amendments to IAS 12 Income tax: Deferred tax related to assets and liabilities arising from a single transaction</w:t>
      </w:r>
      <w:r>
        <w:rPr>
          <w:rFonts w:eastAsia="Times New Roman" w:asciiTheme="majorHAnsi" w:hAnsiTheme="majorHAnsi" w:cstheme="majorHAnsi"/>
          <w:iCs/>
          <w:lang w:eastAsia="ru-RU"/>
        </w:rPr>
        <w:t xml:space="preserve"> (issued in May 2021 and effective for annual periods beginning on or after January 1, 2023)</w:t>
      </w:r>
    </w:p>
    <w:p w:rsidR="009534E2" w:rsidRDefault="003369EB">
      <w:pPr>
        <w:pStyle w:val="BodyText"/>
        <w:numPr>
          <w:ilvl w:val="0"/>
          <w:numId w:val="30"/>
        </w:numPr>
        <w:ind w:left="360"/>
        <w:rPr>
          <w:rFonts w:eastAsia="Times New Roman" w:asciiTheme="majorHAnsi" w:hAnsiTheme="majorHAnsi" w:cstheme="majorHAnsi"/>
          <w:i/>
          <w:lang w:eastAsia="ru-RU"/>
        </w:rPr>
      </w:pPr>
      <w:r>
        <w:rPr>
          <w:rFonts w:eastAsia="Times New Roman" w:asciiTheme="majorHAnsi" w:hAnsiTheme="majorHAnsi" w:cstheme="majorHAnsi"/>
          <w:i/>
          <w:lang w:eastAsia="ru-RU"/>
        </w:rPr>
        <w:t xml:space="preserve">Amendments to IFRS 16 Lease: Lease Liability in a Sale and Leaseback </w:t>
      </w:r>
      <w:r>
        <w:rPr>
          <w:rFonts w:eastAsia="Times New Roman" w:asciiTheme="majorHAnsi" w:hAnsiTheme="majorHAnsi" w:cstheme="majorHAnsi"/>
          <w:iCs/>
          <w:lang w:eastAsia="ru-RU"/>
        </w:rPr>
        <w:t>(issued in September 2022 and effective for annual periods beginning on or after January 1, 2024)</w:t>
      </w:r>
    </w:p>
    <w:p w:rsidR="009534E2" w:rsidRDefault="00EC0AE1">
      <w:pPr>
        <w:pStyle w:val="BodyText"/>
        <w:spacing w:after="0"/>
        <w:ind w:left="360"/>
        <w:rPr>
          <w:rFonts w:eastAsia="Times New Roman" w:asciiTheme="majorHAnsi" w:hAnsiTheme="majorHAnsi" w:cstheme="majorHAnsi"/>
          <w:iCs/>
          <w:sz w:val="2"/>
          <w:szCs w:val="2"/>
          <w:lang w:eastAsia="ru-RU"/>
        </w:rPr>
      </w:pPr>
    </w:p>
    <w:bookmarkEnd w:displacedByCustomXml="next" w:id="1164"/>
    <w:bookmarkEnd w:displacedByCustomXml="next" w:id="1163"/>
    <w:bookmarkEnd w:displacedByCustomXml="next" w:id="1162"/>
    <w:bookmarkEnd w:id="1138"/>
    <w:bookmarkEnd w:id="1139"/>
    <w:bookmarkEnd w:id="1140"/>
    <w:bookmarkEnd w:id="1141"/>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Heading1"/>
        <w:tabs>
          <w:tab w:val="left" w:pos="360"/>
        </w:tabs>
        <w:ind w:left="360" w:hanging="360"/>
      </w:pPr>
      <w:r>
        <w:rPr>
          <w:lang w:eastAsia="ru-RU"/>
        </w:rPr>
        <w:t>3.</w:t>
      </w:r>
      <w:r>
        <w:rPr>
          <w:lang w:eastAsia="ru-RU"/>
        </w:rPr>
        <w:tab/>
      </w:r>
      <w:r>
        <w:t>Summary of significant accounting policies</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Set out below are the principal accounting policies used to prepare these consolidated financial statements:</w:t>
      </w:r>
    </w:p>
    <w:p w:rsidR="009534E2" w:rsidRDefault="003369EB">
      <w:pPr>
        <w:pStyle w:val="Heading1"/>
        <w:tabs>
          <w:tab w:val="left" w:pos="576"/>
        </w:tabs>
        <w:ind w:left="562" w:hanging="562"/>
      </w:pPr>
      <w:bookmarkStart w:name="_f1f8adfc_9b3f_42e0_a99c_59506d9eddc4" w:id="1165"/>
      <w:r>
        <w:t>3.1</w:t>
      </w:r>
      <w:r>
        <w:tab/>
        <w:t>Business combinations and goodwill</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Business combinations are accounted for using the acquisition method.</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Consideration transferred includes the fair values of the assets transferred, liabilities incurred by the Group to the previous owners of the acquiree, and equity interests issued by the Group. Consideration transferred also includes the fair value of any contingent consideration and share-based payment awards of the acquiree that are replaced mandatorily in the business combination.</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If a business combination results in the termination of pre-existing relationships between the Group and the acquiree, then the Group identifies any amounts that are not part of what the Group and the acquiree exchanged in the business combination. The Group recognizes as part of applying the acquisition method, only the consideration transferred for the acquiree and the assets acquired and liabilities assumed in the exchange for the acquiree.</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If the business combination is achieved in stages, any previously held equity interest is re-measured at its acquisition date fair value and any resulting gain or loss is recognized in profit or loss. It is then considered in the determination of goodwill.</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Any contingent consideration to be transferred by the acquirer will be recognized at fair value at the acquisition date. Subsequently, contingent consideration classified as an asset or liability, is measured at fair value with changes in fair value recognized in profit or loss. Contingent consideration that is classified as equity is not re-measured and subsequent settlement is accounted for within equity.</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Group measures any non-controlling interest at its proportionate interest in the identifiable net assets of the acquiree.</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Goodwill is initially measured at cost, being the excess of the aggregate of the consideration transferred and the amount recognized for non-controlling interests, and any previous interest held, over the net identifiable assets acquired and liabilities assumed. If the fair value of the net assets acquired is in excess of the aggregate consideration transferred, the Group re-assesses whether it has correctly identified all of the assets acquired and all of the liabilities assumed and reviews the procedures used to measure the amounts to be recognized at the acquisition date. If the re-assessment still results in an excess of the fair value of net assets acquired over the aggregate consideration transferred, then the gain is recognized in profit or loss.</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After initial recognition, goodwill is measured at cost less any accumulated impairment losses. For the purpose of impairment testing, goodwill acquired in a business combination is, from the acquisition date, allocated of the Group’s cash generating units that are expected to benefit from the synergies of the combination, irrespective of whether other assets or liabilities of the acquired entity are assigned to those units.</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Where goodwill has been allocated to a cash-generating unit and certain operation within that unit is disposed of, the goodwill associated with the operation disposed of is included in the carrying amount of the operation when determining the gain or loss on disposal of the operation. Goodwill disposed in this circumstance is measured based on the relative values of the operation disposed and the portion of the cash-generating unit retained.</w:t>
      </w:r>
    </w:p>
    <w:p w:rsidR="009534E2" w:rsidRDefault="003369EB">
      <w:pPr>
        <w:pStyle w:val="Heading1"/>
        <w:ind w:left="562" w:hanging="562"/>
      </w:pPr>
      <w:bookmarkStart w:name="_98f8be5f_76f6_4b00_af82_9a5797ccd0b8" w:id="1166"/>
      <w:bookmarkStart w:name="_c184c365_d616_4ca4_9669_6145fcf97e41" w:id="1167"/>
      <w:bookmarkStart w:name="_3eece87c_5740_460b_842f_3297663bef76" w:id="1168"/>
      <w:bookmarkStart w:name="_7ffbf486_b323_42e4_b8fb_bd87b33e6e13" w:id="1169"/>
      <w:bookmarkEnd w:id="1165"/>
      <w:r>
        <w:t>3.2</w:t>
      </w:r>
      <w:r>
        <w:tab/>
        <w:t>Investments in associates and joint ventures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Group’s investment in its associate and joint ventures are accounted for using the equity method. An associate is an entity in which the Group has significant influence. A joint venture is a joint arrangement whereby the parties that have joint control of the arrangement (i.e. unanimous consent of the parties) have rights to the net assets of the arrangement.</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Under the equity method, the investment in the associate or joint venture is carried on the statement of financial position at cost plus post acquisition changes in the Group’s share of net assets of the associate/joint venture. Goodwill relating to the associate/joint venture is included in the carrying amount of the investment and is neither amortized nor individually tested for impairment.</w:t>
      </w:r>
      <w:bookmarkEnd w:id="1166"/>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BodyText"/>
        <w:keepNext/>
        <w:keepLines/>
        <w:ind w:left="360" w:hanging="360"/>
        <w:outlineLvl w:val="0"/>
        <w:rPr>
          <w:rFonts w:eastAsia="Times New Roman" w:asciiTheme="majorHAnsi" w:hAnsiTheme="majorHAnsi" w:cstheme="majorHAnsi"/>
          <w:b/>
          <w:bCs/>
          <w:lang w:eastAsia="ru-RU"/>
        </w:rPr>
      </w:pPr>
      <w:r>
        <w:rPr>
          <w:rFonts w:eastAsia="Times New Roman" w:asciiTheme="majorHAnsi" w:hAnsiTheme="majorHAnsi" w:cstheme="majorHAnsi"/>
          <w:b/>
          <w:bCs/>
          <w:lang w:eastAsia="ru-RU"/>
        </w:rPr>
        <w:t>3.</w:t>
      </w:r>
      <w:r>
        <w:rPr>
          <w:rFonts w:eastAsia="Times New Roman" w:asciiTheme="majorHAnsi" w:hAnsiTheme="majorHAnsi" w:cstheme="majorHAnsi"/>
          <w:b/>
          <w:bCs/>
          <w:lang w:eastAsia="ru-RU"/>
        </w:rPr>
        <w:tab/>
        <w:t>Summary of significant accounting policies (continued)</w:t>
      </w:r>
    </w:p>
    <w:p w:rsidR="009534E2" w:rsidRDefault="003369EB">
      <w:pPr>
        <w:pStyle w:val="BodyText"/>
        <w:keepNext/>
        <w:keepLines/>
        <w:ind w:left="562" w:hanging="562"/>
        <w:rPr>
          <w:rFonts w:eastAsia="Times New Roman" w:asciiTheme="majorHAnsi" w:hAnsiTheme="majorHAnsi" w:cstheme="majorHAnsi"/>
          <w:b/>
          <w:bCs/>
          <w:lang w:eastAsia="ru-RU"/>
        </w:rPr>
      </w:pPr>
      <w:r>
        <w:rPr>
          <w:rFonts w:asciiTheme="majorHAnsi" w:hAnsiTheme="majorHAnsi" w:cstheme="majorHAnsi"/>
          <w:b/>
          <w:bCs/>
        </w:rPr>
        <w:t>3.2</w:t>
      </w:r>
      <w:r>
        <w:rPr>
          <w:rFonts w:asciiTheme="majorHAnsi" w:hAnsiTheme="majorHAnsi" w:cstheme="majorHAnsi"/>
          <w:b/>
          <w:bCs/>
        </w:rPr>
        <w:tab/>
        <w:t xml:space="preserve">Investments in associates and joint ventures </w:t>
      </w:r>
      <w:r>
        <w:rPr>
          <w:rFonts w:eastAsia="Times New Roman" w:asciiTheme="majorHAnsi" w:hAnsiTheme="majorHAnsi" w:cstheme="majorHAnsi"/>
          <w:b/>
          <w:bCs/>
          <w:lang w:eastAsia="ru-RU"/>
        </w:rPr>
        <w:t>(continued)</w:t>
      </w:r>
    </w:p>
    <w:p w:rsidR="009534E2" w:rsidRDefault="003369EB">
      <w:pPr>
        <w:pStyle w:val="BodyText"/>
        <w:rPr>
          <w:rFonts w:eastAsia="Times New Roman" w:asciiTheme="majorHAnsi" w:hAnsiTheme="majorHAnsi" w:cstheme="majorHAnsi"/>
          <w:lang w:eastAsia="ru-RU"/>
        </w:rPr>
      </w:pPr>
      <w:bookmarkStart w:name="_27850362_672f_41d6_aad2_e5162fdb57f8" w:id="1170"/>
      <w:r>
        <w:rPr>
          <w:rFonts w:eastAsia="Times New Roman" w:asciiTheme="majorHAnsi" w:hAnsiTheme="majorHAnsi" w:cstheme="majorHAnsi"/>
          <w:lang w:eastAsia="ru-RU"/>
        </w:rPr>
        <w:t>The statement of comprehensive income reflects the Group’s share of the results of operations of the associate/joint venture. When there has been a change recognized directly in the equity of the investment, the Group recognizes its share of any changes and discloses this, when applicable, in the statement of changes in equity. Unrealized gains and losses resulting from transactions between the Group and the associate/joint venture are eliminated to the extent of the interest in it.</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Group’s share of profit of an associate/joint venture is shown on the face of the statement of comprehensive income or in the notes. This is the profit attributable to equity holders of the associate/joint venture and, therefore, is profit after tax and non-controlling interests in the subsidiaries of the associate/joint venture.</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financial statements of the associates/joint ventures are prepared for the same reporting period as the Group. When necessary, adjustments are made to bring the accounting policies in line with those of the Group.</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After application of the equity method, the Group determines whether it is necessary to recognize an additional impairment loss on its investment in its associates/joint ventures. The Group determines at each reporting date whether there is any objective evidence that the investment in the associate/joint venture is impaired. If this is the case, the Group calculates the amount of impairment as the difference between the recoverable amount of an investment in associate/joint venture and its carrying value and recognizes any respective loss in the statement of comprehensive income.</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Upon loss of significant influence over the associate/joint venture, the Group measures and recognizes any retaining investment at its fair value. Any difference between the carrying amount of the associate/joint venture upon loss of significant influence and the fair value of the retained investment and proceeds from disposal is recognized in profit or loss</w:t>
      </w:r>
      <w:bookmarkEnd w:id="1167"/>
      <w:r>
        <w:rPr>
          <w:rFonts w:eastAsia="Times New Roman" w:asciiTheme="majorHAnsi" w:hAnsiTheme="majorHAnsi" w:cstheme="majorHAnsi"/>
          <w:lang w:eastAsia="ru-RU"/>
        </w:rPr>
        <w:t>.</w:t>
      </w:r>
      <w:bookmarkEnd w:id="1168"/>
      <w:bookmarkEnd w:id="1170"/>
    </w:p>
    <w:p w:rsidR="009534E2" w:rsidRDefault="003369EB">
      <w:pPr>
        <w:pStyle w:val="Heading1"/>
        <w:ind w:left="562" w:hanging="562"/>
      </w:pPr>
      <w:bookmarkStart w:name="_1d3b6a64_43be_4175_bcfb_9bb9042e42a4" w:id="1171"/>
      <w:bookmarkStart w:name="_4385bf15_be98_4ec0_b9f4_5654da058b94" w:id="1172"/>
      <w:bookmarkStart w:name="_6cc7e169_04ed_4f60_a11f_4cf828befb8c" w:id="1173"/>
      <w:bookmarkEnd w:id="1169"/>
      <w:r>
        <w:t>3.3</w:t>
      </w:r>
      <w:r>
        <w:tab/>
        <w:t>Foreign currency translation</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consolidated financial statements are presented in Russian rubles (RUB), which is the Company’s functional and the Group’s presentation currency. Each entity in the Group determines its own functional currency, depending on what the underlying economic environment is, and items included in the financial statements of each entity are measured using that functional currency. Transactions in foreign currencies are initially recorded in the functional currency at the functional currency rate at the date of the transaction. Monetary assets and liabilities denominated in foreign currencies are re-measured into the functional currency at the functional currency rate of exchange at the reporting date. All differences are taken to profit or loss. They are shown separately for each Group company but netted by major types of monetary assets and liabilities. Non-monetary items that are measured in terms of historical cost in a foreign currency are translated using the exchange rates as of the dates of the initial transactions.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Non-monetary items measured at fair value in a foreign currency are translated using the exchange rates at the date when the fair value is determined. The gain or loss arising on retranslation of non-monetary items is treated in line with the recognition of gain or loss on change in fair value of the item (i.e., translation differences on items whose fair value gain or loss is recognized in other comprehensive income or profit or loss is also recognized in other comprehensive income or profit or loss, respectively).</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functional currency of the foreign operations is generally the respective local currency – US Dollar (U.S.$), Euro (€), Kazakhstan tenge (KZT), Belarussian ruble (BYR), Moldovan leu (MDL). As of the reporting date, the assets and liabilities of these operations are translated into the presentation currency of the Group (the Russian Ruble) at the rate of exchange at the reporting date and their statements of comprehensive income are translated at the average exchange rates for the year or exchange rates prevailing on the date of specific transactions. The exchange differences arising on the translation are recognized in other comprehensive income. On disposal of a foreign entity, the deferred cumulative amount recognized in equity relating to that particular foreign operation is reclassified to the profit or loss.</w:t>
      </w:r>
    </w:p>
    <w:bookmarkEnd w:id="1171"/>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Heading1"/>
        <w:ind w:left="360" w:hanging="360"/>
      </w:pPr>
      <w:r>
        <w:rPr>
          <w:lang w:eastAsia="ru-RU"/>
        </w:rPr>
        <w:t>3.</w:t>
      </w:r>
      <w:r>
        <w:rPr>
          <w:lang w:eastAsia="ru-RU"/>
        </w:rPr>
        <w:tab/>
      </w:r>
      <w:r>
        <w:t>Summary of significant accounting policies (continued)</w:t>
      </w:r>
    </w:p>
    <w:p w:rsidR="009534E2" w:rsidRDefault="003369EB">
      <w:pPr>
        <w:pStyle w:val="Heading1"/>
        <w:ind w:left="562" w:hanging="562"/>
      </w:pPr>
      <w:r>
        <w:t>3.3</w:t>
      </w:r>
      <w:r>
        <w:tab/>
        <w:t>Foreign currency translation (continued)</w:t>
      </w:r>
    </w:p>
    <w:p w:rsidR="009534E2" w:rsidRDefault="003369EB">
      <w:pPr>
        <w:pStyle w:val="BodyText"/>
        <w:keepNext/>
        <w:spacing w:after="0"/>
        <w:rPr>
          <w:rFonts w:eastAsia="Times New Roman" w:asciiTheme="majorHAnsi" w:hAnsiTheme="majorHAnsi" w:cstheme="majorHAnsi"/>
          <w:lang w:eastAsia="ru-RU"/>
        </w:rPr>
      </w:pPr>
      <w:bookmarkStart w:name="_0de1558a_1e0f_4b6f_a8d8_f2935d28031f" w:id="1174"/>
      <w:r>
        <w:rPr>
          <w:rFonts w:eastAsia="Times New Roman" w:asciiTheme="majorHAnsi" w:hAnsiTheme="majorHAnsi" w:cstheme="majorHAnsi"/>
          <w:lang w:eastAsia="ru-RU"/>
        </w:rPr>
        <w:t>The exchange rates of the Russian ruble to each respective currency as of December 31, 2022 and 2021 were as follows:</w:t>
      </w:r>
      <w:bookmarkStart w:name="_0562a0cf_3a40_4e38_a2f0_9c545424c16d" w:id="1175"/>
    </w:p>
    <w:p w:rsidR="009534E2" w:rsidRDefault="009534E2">
      <w:pPr>
        <w:keepNext/>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455"/>
        <w:gridCol w:w="205"/>
        <w:gridCol w:w="957"/>
        <w:gridCol w:w="205"/>
        <w:gridCol w:w="881"/>
        <w:gridCol w:w="205"/>
        <w:gridCol w:w="808"/>
        <w:gridCol w:w="205"/>
        <w:gridCol w:w="879"/>
      </w:tblGrid>
      <w:tr w:rsidR="009534E2">
        <w:trPr>
          <w:trHeight w:val="20" w:hRule="exact"/>
          <w:jc w:val="center"/>
        </w:trPr>
        <w:tc>
          <w:tcPr>
            <w:tcW w:w="2988" w:type="pct"/>
            <w:tcBorders>
              <w:top w:val="nil"/>
              <w:left w:val="nil"/>
              <w:bottom w:val="nil"/>
              <w:right w:val="nil"/>
            </w:tcBorders>
            <w:vAlign w:val="bottom"/>
          </w:tcPr>
          <w:p w:rsidR="009534E2" w:rsidRDefault="009534E2">
            <w:pPr>
              <w:keepNext/>
              <w:rPr>
                <w:sz w:val="2"/>
              </w:rPr>
            </w:pPr>
            <w:bookmarkStart w:name="_e513c9a2_6c5a_4361_a178_f811a945b7b8" w:id="1176"/>
            <w:bookmarkStart w:name="_5f29da05_c53b_46b6_8bb6_5831f0c7c4f4" w:colFirst="0" w:colLast="0" w:id="1177"/>
            <w:bookmarkStart w:name="_8669faa4_7389_456b_b37a_97260ba811f3" w:colFirst="1" w:colLast="1" w:id="1178"/>
            <w:bookmarkStart w:name="_76bde586_2920_47a7_bd58_22e0e8e96600" w:colFirst="2" w:colLast="2" w:id="1179"/>
            <w:bookmarkStart w:name="_1d79641f_8aef_4d36_ad36_a103e4bf3695" w:colFirst="3" w:colLast="3" w:id="1180"/>
            <w:bookmarkStart w:name="_8085ba9e_f782_42de_9eb9_66cdbb571ee1" w:colFirst="4" w:colLast="4" w:id="1181"/>
            <w:bookmarkStart w:name="_79002ebb_417c_4520_a89c_96cd5d6501bc" w:colFirst="5" w:colLast="5" w:id="1182"/>
            <w:bookmarkStart w:name="_157ae64b_8b1d_46e7_a492_45c309621af1" w:colFirst="6" w:colLast="6" w:id="1183"/>
            <w:bookmarkStart w:name="_9236d272_dafc_4569_b8a7_756bfcf63c01" w:colFirst="7" w:colLast="7" w:id="1184"/>
            <w:bookmarkStart w:name="_044b310f_6176_4f62_9fa8_ce2b9c144acd" w:colFirst="8" w:colLast="8" w:id="1185"/>
            <w:bookmarkStart w:name="_678a2755_9827_4586_840c_96e7ce647a97" w:id="1186"/>
            <w:bookmarkEnd w:id="1176"/>
          </w:p>
        </w:tc>
        <w:tc>
          <w:tcPr>
            <w:tcW w:w="95" w:type="pct"/>
            <w:tcBorders>
              <w:top w:val="nil"/>
              <w:left w:val="nil"/>
              <w:bottom w:val="nil"/>
              <w:right w:val="nil"/>
            </w:tcBorders>
            <w:noWrap/>
            <w:vAlign w:val="bottom"/>
          </w:tcPr>
          <w:p w:rsidR="009534E2" w:rsidRDefault="009534E2">
            <w:pPr>
              <w:keepNext/>
              <w:rPr>
                <w:sz w:val="2"/>
              </w:rPr>
            </w:pPr>
          </w:p>
        </w:tc>
        <w:tc>
          <w:tcPr>
            <w:tcW w:w="443" w:type="pct"/>
            <w:tcBorders>
              <w:top w:val="nil"/>
              <w:left w:val="nil"/>
              <w:bottom w:val="nil"/>
              <w:right w:val="nil"/>
            </w:tcBorders>
            <w:noWrap/>
            <w:vAlign w:val="bottom"/>
          </w:tcPr>
          <w:p w:rsidR="009534E2" w:rsidRDefault="009534E2">
            <w:pPr>
              <w:keepNext/>
              <w:rPr>
                <w:sz w:val="2"/>
              </w:rPr>
            </w:pPr>
          </w:p>
        </w:tc>
        <w:tc>
          <w:tcPr>
            <w:tcW w:w="95" w:type="pct"/>
            <w:tcBorders>
              <w:top w:val="nil"/>
              <w:left w:val="nil"/>
              <w:bottom w:val="nil"/>
              <w:right w:val="nil"/>
            </w:tcBorders>
            <w:noWrap/>
            <w:vAlign w:val="bottom"/>
          </w:tcPr>
          <w:p w:rsidR="009534E2" w:rsidRDefault="009534E2">
            <w:pPr>
              <w:keepNext/>
              <w:rPr>
                <w:sz w:val="2"/>
              </w:rPr>
            </w:pPr>
          </w:p>
        </w:tc>
        <w:tc>
          <w:tcPr>
            <w:tcW w:w="408" w:type="pct"/>
            <w:tcBorders>
              <w:top w:val="nil"/>
              <w:left w:val="nil"/>
              <w:bottom w:val="nil"/>
              <w:right w:val="nil"/>
            </w:tcBorders>
            <w:noWrap/>
            <w:vAlign w:val="bottom"/>
          </w:tcPr>
          <w:p w:rsidR="009534E2" w:rsidRDefault="009534E2">
            <w:pPr>
              <w:keepNext/>
              <w:rPr>
                <w:sz w:val="2"/>
              </w:rPr>
            </w:pPr>
          </w:p>
        </w:tc>
        <w:tc>
          <w:tcPr>
            <w:tcW w:w="95" w:type="pct"/>
            <w:tcBorders>
              <w:top w:val="nil"/>
              <w:left w:val="nil"/>
              <w:bottom w:val="nil"/>
              <w:right w:val="nil"/>
            </w:tcBorders>
            <w:noWrap/>
            <w:vAlign w:val="bottom"/>
          </w:tcPr>
          <w:p w:rsidR="009534E2" w:rsidRDefault="009534E2">
            <w:pPr>
              <w:keepNext/>
              <w:rPr>
                <w:sz w:val="2"/>
              </w:rPr>
            </w:pPr>
          </w:p>
        </w:tc>
        <w:tc>
          <w:tcPr>
            <w:tcW w:w="374" w:type="pct"/>
            <w:tcBorders>
              <w:top w:val="nil"/>
              <w:left w:val="nil"/>
              <w:bottom w:val="nil"/>
              <w:right w:val="nil"/>
            </w:tcBorders>
            <w:noWrap/>
            <w:vAlign w:val="bottom"/>
          </w:tcPr>
          <w:p w:rsidR="009534E2" w:rsidRDefault="009534E2">
            <w:pPr>
              <w:keepNext/>
              <w:rPr>
                <w:sz w:val="2"/>
              </w:rPr>
            </w:pPr>
          </w:p>
        </w:tc>
        <w:tc>
          <w:tcPr>
            <w:tcW w:w="95" w:type="pct"/>
            <w:tcBorders>
              <w:top w:val="nil"/>
              <w:left w:val="nil"/>
              <w:bottom w:val="nil"/>
              <w:right w:val="nil"/>
            </w:tcBorders>
            <w:noWrap/>
            <w:vAlign w:val="bottom"/>
          </w:tcPr>
          <w:p w:rsidR="009534E2" w:rsidRDefault="009534E2">
            <w:pPr>
              <w:keepNext/>
              <w:rPr>
                <w:sz w:val="2"/>
              </w:rPr>
            </w:pPr>
          </w:p>
        </w:tc>
        <w:tc>
          <w:tcPr>
            <w:tcW w:w="407" w:type="pct"/>
            <w:tcBorders>
              <w:top w:val="nil"/>
              <w:left w:val="nil"/>
              <w:bottom w:val="nil"/>
              <w:right w:val="nil"/>
            </w:tcBorders>
            <w:noWrap/>
            <w:vAlign w:val="bottom"/>
          </w:tcPr>
          <w:p w:rsidR="009534E2" w:rsidRDefault="009534E2">
            <w:pPr>
              <w:keepNext/>
              <w:rPr>
                <w:sz w:val="2"/>
              </w:rPr>
            </w:pPr>
          </w:p>
        </w:tc>
      </w:tr>
      <w:tr w:rsidR="009534E2">
        <w:trPr>
          <w:jc w:val="center"/>
        </w:trPr>
        <w:tc>
          <w:tcPr>
            <w:tcW w:w="2988" w:type="pct"/>
            <w:tcBorders>
              <w:top w:val="nil"/>
              <w:left w:val="nil"/>
              <w:bottom w:val="nil"/>
              <w:right w:val="nil"/>
              <w:tl2br w:val="nil"/>
              <w:tr2bl w:val="nil"/>
            </w:tcBorders>
            <w:shd w:val="clear" w:color="auto" w:fill="auto"/>
            <w:vAlign w:val="bottom"/>
          </w:tcPr>
          <w:p w:rsidR="009534E2" w:rsidRDefault="009534E2">
            <w:pPr>
              <w:keepNext/>
              <w:rPr>
                <w:b/>
                <w:color w:val="000000"/>
                <w:sz w:val="16"/>
              </w:rPr>
            </w:pPr>
            <w:bookmarkStart w:name="_6543c60d_4a66_47db_89f1_7208e3e7d4b1" w:id="1187"/>
            <w:bookmarkEnd w:id="1177"/>
            <w:bookmarkEnd w:id="1178"/>
            <w:bookmarkEnd w:id="1179"/>
            <w:bookmarkEnd w:id="1180"/>
            <w:bookmarkEnd w:id="1181"/>
            <w:bookmarkEnd w:id="1182"/>
            <w:bookmarkEnd w:id="1183"/>
            <w:bookmarkEnd w:id="1184"/>
            <w:bookmarkEnd w:id="1185"/>
          </w:p>
        </w:tc>
        <w:tc>
          <w:tcPr>
            <w:tcW w:w="95" w:type="pct"/>
            <w:tcBorders>
              <w:top w:val="nil"/>
              <w:left w:val="nil"/>
              <w:bottom w:val="nil"/>
              <w:right w:val="nil"/>
              <w:tl2br w:val="nil"/>
              <w:tr2bl w:val="nil"/>
            </w:tcBorders>
            <w:shd w:val="clear" w:color="auto" w:fill="auto"/>
            <w:noWrap/>
            <w:vAlign w:val="bottom"/>
          </w:tcPr>
          <w:p w:rsidR="009534E2" w:rsidRDefault="009534E2">
            <w:pPr>
              <w:keepNext/>
              <w:rPr>
                <w:b/>
                <w:color w:val="000000"/>
                <w:sz w:val="16"/>
              </w:rPr>
            </w:pPr>
          </w:p>
        </w:tc>
        <w:tc>
          <w:tcPr>
            <w:tcW w:w="946" w:type="pct"/>
            <w:gridSpan w:val="3"/>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Average exchange rates for</w:t>
            </w:r>
          </w:p>
        </w:tc>
        <w:tc>
          <w:tcPr>
            <w:tcW w:w="95" w:type="pct"/>
            <w:tcBorders>
              <w:top w:val="nil"/>
              <w:left w:val="nil"/>
              <w:bottom w:val="nil"/>
              <w:right w:val="nil"/>
              <w:tl2br w:val="nil"/>
              <w:tr2bl w:val="nil"/>
            </w:tcBorders>
            <w:shd w:val="clear" w:color="auto" w:fill="auto"/>
            <w:noWrap/>
            <w:vAlign w:val="bottom"/>
          </w:tcPr>
          <w:p w:rsidR="009534E2" w:rsidRDefault="009534E2">
            <w:pPr>
              <w:keepNext/>
              <w:rPr>
                <w:b/>
                <w:color w:val="000000"/>
                <w:sz w:val="16"/>
              </w:rPr>
            </w:pPr>
          </w:p>
        </w:tc>
        <w:tc>
          <w:tcPr>
            <w:tcW w:w="876" w:type="pct"/>
            <w:gridSpan w:val="3"/>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Exchange rates at</w:t>
            </w:r>
          </w:p>
        </w:tc>
      </w:tr>
      <w:tr w:rsidR="009534E2">
        <w:trPr>
          <w:jc w:val="center"/>
        </w:trPr>
        <w:tc>
          <w:tcPr>
            <w:tcW w:w="2988" w:type="pct"/>
            <w:tcBorders>
              <w:top w:val="nil"/>
              <w:left w:val="nil"/>
              <w:bottom w:val="nil"/>
              <w:right w:val="nil"/>
              <w:tl2br w:val="nil"/>
              <w:tr2bl w:val="nil"/>
            </w:tcBorders>
            <w:shd w:val="clear" w:color="auto" w:fill="auto"/>
            <w:vAlign w:val="bottom"/>
          </w:tcPr>
          <w:p w:rsidR="009534E2" w:rsidRDefault="009534E2">
            <w:pPr>
              <w:keepNext/>
              <w:rPr>
                <w:b/>
                <w:color w:val="000000"/>
                <w:sz w:val="16"/>
              </w:rPr>
            </w:pPr>
            <w:bookmarkStart w:name="_59e5633a_5009_477d_9462_67e2b46c3320" w:id="1188"/>
            <w:bookmarkEnd w:id="1187"/>
          </w:p>
        </w:tc>
        <w:tc>
          <w:tcPr>
            <w:tcW w:w="95" w:type="pct"/>
            <w:tcBorders>
              <w:top w:val="nil"/>
              <w:left w:val="nil"/>
              <w:bottom w:val="nil"/>
              <w:right w:val="nil"/>
              <w:tl2br w:val="nil"/>
              <w:tr2bl w:val="nil"/>
            </w:tcBorders>
            <w:shd w:val="clear" w:color="auto" w:fill="auto"/>
            <w:noWrap/>
            <w:vAlign w:val="bottom"/>
          </w:tcPr>
          <w:p w:rsidR="009534E2" w:rsidRDefault="009534E2">
            <w:pPr>
              <w:keepNext/>
              <w:rPr>
                <w:b/>
                <w:color w:val="000000"/>
                <w:sz w:val="16"/>
              </w:rPr>
            </w:pPr>
          </w:p>
        </w:tc>
        <w:tc>
          <w:tcPr>
            <w:tcW w:w="946" w:type="pct"/>
            <w:gridSpan w:val="3"/>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the year ended December 31, </w:t>
            </w:r>
          </w:p>
        </w:tc>
        <w:tc>
          <w:tcPr>
            <w:tcW w:w="95" w:type="pct"/>
            <w:tcBorders>
              <w:top w:val="nil"/>
              <w:left w:val="nil"/>
              <w:bottom w:val="nil"/>
              <w:right w:val="nil"/>
              <w:tl2br w:val="nil"/>
              <w:tr2bl w:val="nil"/>
            </w:tcBorders>
            <w:shd w:val="clear" w:color="auto" w:fill="auto"/>
            <w:noWrap/>
            <w:vAlign w:val="bottom"/>
          </w:tcPr>
          <w:p w:rsidR="009534E2" w:rsidRDefault="009534E2">
            <w:pPr>
              <w:keepNext/>
              <w:rPr>
                <w:b/>
                <w:color w:val="000000"/>
                <w:sz w:val="16"/>
              </w:rPr>
            </w:pPr>
          </w:p>
        </w:tc>
        <w:tc>
          <w:tcPr>
            <w:tcW w:w="876" w:type="pct"/>
            <w:gridSpan w:val="3"/>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December 31, </w:t>
            </w:r>
          </w:p>
        </w:tc>
      </w:tr>
      <w:tr w:rsidR="009534E2">
        <w:trPr>
          <w:jc w:val="center"/>
        </w:trPr>
        <w:tc>
          <w:tcPr>
            <w:tcW w:w="2988" w:type="pct"/>
            <w:tcBorders>
              <w:top w:val="nil"/>
              <w:left w:val="nil"/>
              <w:bottom w:val="nil"/>
              <w:right w:val="nil"/>
              <w:tl2br w:val="nil"/>
              <w:tr2bl w:val="nil"/>
            </w:tcBorders>
            <w:shd w:val="clear" w:color="auto" w:fill="auto"/>
            <w:vAlign w:val="bottom"/>
          </w:tcPr>
          <w:p w:rsidR="009534E2" w:rsidRDefault="009534E2">
            <w:pPr>
              <w:keepNext/>
              <w:rPr>
                <w:b/>
                <w:color w:val="000000"/>
                <w:sz w:val="16"/>
              </w:rPr>
            </w:pPr>
            <w:bookmarkStart w:name="_214a7cec_a137_44f4_8058_e787b555a2a6" w:id="1189"/>
            <w:bookmarkEnd w:id="1188"/>
          </w:p>
        </w:tc>
        <w:tc>
          <w:tcPr>
            <w:tcW w:w="95"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4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2021</w:t>
            </w:r>
          </w:p>
        </w:tc>
        <w:tc>
          <w:tcPr>
            <w:tcW w:w="95"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08"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2022</w:t>
            </w:r>
          </w:p>
        </w:tc>
        <w:tc>
          <w:tcPr>
            <w:tcW w:w="95"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374"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2021</w:t>
            </w:r>
          </w:p>
        </w:tc>
        <w:tc>
          <w:tcPr>
            <w:tcW w:w="95"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07"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2022</w:t>
            </w:r>
          </w:p>
        </w:tc>
      </w:tr>
      <w:tr w:rsidR="009534E2">
        <w:trPr>
          <w:jc w:val="center"/>
        </w:trPr>
        <w:tc>
          <w:tcPr>
            <w:tcW w:w="2988"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75329414_3341_41f1_9ce3_0d34f79762f4" w:id="1190"/>
            <w:bookmarkEnd w:id="1189"/>
            <w:r>
              <w:rPr>
                <w:rFonts w:ascii="Times New Roman" w:hAnsi="Times New Roman" w:eastAsia="Times New Roman" w:cs="Times New Roman"/>
                <w:color w:val="000000"/>
              </w:rPr>
              <w:t xml:space="preserve">US Dollar </w:t>
            </w:r>
          </w:p>
        </w:tc>
        <w:tc>
          <w:tcPr>
            <w:tcW w:w="95"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73.6541</w:t>
            </w:r>
          </w:p>
        </w:tc>
        <w:tc>
          <w:tcPr>
            <w:tcW w:w="95"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0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68.5494</w:t>
            </w:r>
          </w:p>
        </w:tc>
        <w:tc>
          <w:tcPr>
            <w:tcW w:w="95"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4"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74.2926</w:t>
            </w:r>
          </w:p>
        </w:tc>
        <w:tc>
          <w:tcPr>
            <w:tcW w:w="95"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0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70.3375</w:t>
            </w:r>
          </w:p>
        </w:tc>
      </w:tr>
      <w:tr w:rsidR="009534E2">
        <w:trPr>
          <w:jc w:val="center"/>
        </w:trPr>
        <w:tc>
          <w:tcPr>
            <w:tcW w:w="2988" w:type="pct"/>
            <w:tcBorders>
              <w:top w:val="nil"/>
              <w:left w:val="nil"/>
              <w:bottom w:val="nil"/>
              <w:right w:val="nil"/>
              <w:tl2br w:val="nil"/>
              <w:tr2bl w:val="nil"/>
            </w:tcBorders>
            <w:vAlign w:val="bottom"/>
          </w:tcPr>
          <w:p w:rsidR="009534E2" w:rsidRDefault="003369EB">
            <w:pPr>
              <w:keepNext/>
              <w:rPr>
                <w:color w:val="000000"/>
              </w:rPr>
            </w:pPr>
            <w:bookmarkStart w:name="_8695a1e9_0d13_437e_b8c0_3b05ed6ee3aa" w:id="1191"/>
            <w:bookmarkEnd w:id="1190"/>
            <w:r>
              <w:rPr>
                <w:rFonts w:ascii="Times New Roman" w:hAnsi="Times New Roman" w:eastAsia="Times New Roman" w:cs="Times New Roman"/>
                <w:color w:val="000000"/>
              </w:rPr>
              <w:t>Euro</w:t>
            </w:r>
          </w:p>
        </w:tc>
        <w:tc>
          <w:tcPr>
            <w:tcW w:w="95"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3"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87.1877</w:t>
            </w:r>
          </w:p>
        </w:tc>
        <w:tc>
          <w:tcPr>
            <w:tcW w:w="95"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08"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72.5259</w:t>
            </w:r>
          </w:p>
        </w:tc>
        <w:tc>
          <w:tcPr>
            <w:tcW w:w="95"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4"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84.0695</w:t>
            </w:r>
          </w:p>
        </w:tc>
        <w:tc>
          <w:tcPr>
            <w:tcW w:w="95"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0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75.6553</w:t>
            </w:r>
          </w:p>
        </w:tc>
      </w:tr>
      <w:tr w:rsidR="009534E2">
        <w:trPr>
          <w:jc w:val="center"/>
        </w:trPr>
        <w:tc>
          <w:tcPr>
            <w:tcW w:w="2988"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40184525_4acd_4485_9186_3f86d36a5e91" w:id="1192"/>
            <w:bookmarkStart w:name="_b603a437_7398_4952_860e_7ec9502d44e3" w:colFirst="2" w:colLast="2" w:id="1193"/>
            <w:bookmarkStart w:name="_350f7916_c2d4_4d21_9c89_9279f5dd0865" w:colFirst="4" w:colLast="4" w:id="1194"/>
            <w:bookmarkStart w:name="_e1f04ea1_ba4c_4b1f_adbb_dddbb27fba79" w:colFirst="6" w:colLast="6" w:id="1195"/>
            <w:bookmarkStart w:name="_27e41e6c_00bc_4139_9093_514eb70244f6" w:colFirst="8" w:colLast="8" w:id="1196"/>
            <w:bookmarkEnd w:id="1191"/>
            <w:r>
              <w:rPr>
                <w:rFonts w:ascii="Times New Roman" w:hAnsi="Times New Roman" w:eastAsia="Times New Roman" w:cs="Times New Roman"/>
                <w:color w:val="000000"/>
              </w:rPr>
              <w:t>Kazakhstan Tenge (100)</w:t>
            </w:r>
          </w:p>
        </w:tc>
        <w:tc>
          <w:tcPr>
            <w:tcW w:w="95"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17.2630</w:t>
            </w:r>
          </w:p>
        </w:tc>
        <w:tc>
          <w:tcPr>
            <w:tcW w:w="95"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0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14.8608</w:t>
            </w:r>
          </w:p>
        </w:tc>
        <w:tc>
          <w:tcPr>
            <w:tcW w:w="95"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4"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16.9000</w:t>
            </w:r>
          </w:p>
        </w:tc>
        <w:tc>
          <w:tcPr>
            <w:tcW w:w="95"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0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15.2583</w:t>
            </w:r>
          </w:p>
        </w:tc>
      </w:tr>
      <w:tr w:rsidR="009534E2">
        <w:trPr>
          <w:jc w:val="center"/>
        </w:trPr>
        <w:tc>
          <w:tcPr>
            <w:tcW w:w="2988" w:type="pct"/>
            <w:tcBorders>
              <w:top w:val="nil"/>
              <w:left w:val="nil"/>
              <w:bottom w:val="nil"/>
              <w:right w:val="nil"/>
              <w:tl2br w:val="nil"/>
              <w:tr2bl w:val="nil"/>
            </w:tcBorders>
            <w:vAlign w:val="bottom"/>
          </w:tcPr>
          <w:p w:rsidR="009534E2" w:rsidRDefault="003369EB">
            <w:pPr>
              <w:keepNext/>
              <w:rPr>
                <w:color w:val="000000"/>
              </w:rPr>
            </w:pPr>
            <w:bookmarkStart w:name="_6daee171_d1f5_42ec_b33d_525f58b99f22" w:id="1197"/>
            <w:bookmarkEnd w:id="1192"/>
            <w:bookmarkEnd w:id="1193"/>
            <w:bookmarkEnd w:id="1194"/>
            <w:bookmarkEnd w:id="1195"/>
            <w:bookmarkEnd w:id="1196"/>
            <w:r>
              <w:rPr>
                <w:rFonts w:ascii="Times New Roman" w:hAnsi="Times New Roman" w:eastAsia="Times New Roman" w:cs="Times New Roman"/>
                <w:color w:val="000000"/>
              </w:rPr>
              <w:t>Belarussian Ruble</w:t>
            </w:r>
          </w:p>
        </w:tc>
        <w:tc>
          <w:tcPr>
            <w:tcW w:w="95"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3"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29.0198</w:t>
            </w:r>
          </w:p>
        </w:tc>
        <w:tc>
          <w:tcPr>
            <w:tcW w:w="95"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08"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25.9463</w:t>
            </w:r>
          </w:p>
        </w:tc>
        <w:tc>
          <w:tcPr>
            <w:tcW w:w="95"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4"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29.1458</w:t>
            </w:r>
          </w:p>
        </w:tc>
        <w:tc>
          <w:tcPr>
            <w:tcW w:w="95"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07"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25.7044</w:t>
            </w:r>
          </w:p>
        </w:tc>
      </w:tr>
      <w:tr w:rsidR="009534E2">
        <w:trPr>
          <w:jc w:val="center"/>
        </w:trPr>
        <w:tc>
          <w:tcPr>
            <w:tcW w:w="2988" w:type="pct"/>
            <w:tcBorders>
              <w:top w:val="nil"/>
              <w:left w:val="nil"/>
              <w:bottom w:val="nil"/>
              <w:right w:val="nil"/>
              <w:tl2br w:val="nil"/>
              <w:tr2bl w:val="nil"/>
            </w:tcBorders>
            <w:shd w:val="clear" w:color="auto" w:fill="CCEEFF"/>
            <w:vAlign w:val="bottom"/>
          </w:tcPr>
          <w:p w:rsidR="009534E2" w:rsidRDefault="003369EB">
            <w:pPr>
              <w:keepNext/>
              <w:rPr>
                <w:color w:val="000000"/>
              </w:rPr>
            </w:pPr>
            <w:bookmarkStart w:name="_699ad720_81d7_4e88_8be8_8af928578375" w:id="1198"/>
            <w:bookmarkStart w:name="_30a7ff16_b835_431b_bffa_08c12123f4cb" w:colFirst="2" w:colLast="2" w:id="1199"/>
            <w:bookmarkStart w:name="_44c0a278_6bc6_453a_ba78_b0bf99fac851" w:colFirst="4" w:colLast="4" w:id="1200"/>
            <w:bookmarkStart w:name="_6aaec660_5a5d_444f_abbe_3f085994a340" w:colFirst="6" w:colLast="6" w:id="1201"/>
            <w:bookmarkStart w:name="_3fad7886_c04b_4725_8cf4_f761400324db" w:colFirst="8" w:colLast="8" w:id="1202"/>
            <w:bookmarkEnd w:id="1197"/>
            <w:r>
              <w:rPr>
                <w:rFonts w:ascii="Times New Roman" w:hAnsi="Times New Roman" w:eastAsia="Times New Roman" w:cs="Times New Roman"/>
                <w:color w:val="000000"/>
              </w:rPr>
              <w:t>Moldovan Leu (10)</w:t>
            </w:r>
          </w:p>
        </w:tc>
        <w:tc>
          <w:tcPr>
            <w:tcW w:w="95"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4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41.6625</w:t>
            </w:r>
          </w:p>
        </w:tc>
        <w:tc>
          <w:tcPr>
            <w:tcW w:w="95"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0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36.4533</w:t>
            </w:r>
          </w:p>
        </w:tc>
        <w:tc>
          <w:tcPr>
            <w:tcW w:w="95"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374"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41.8550</w:t>
            </w:r>
          </w:p>
        </w:tc>
        <w:tc>
          <w:tcPr>
            <w:tcW w:w="95"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0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36.7146</w:t>
            </w:r>
          </w:p>
        </w:tc>
      </w:tr>
      <w:bookmarkEnd w:id="1175"/>
      <w:bookmarkEnd w:id="1186"/>
      <w:bookmarkEnd w:id="1198"/>
      <w:bookmarkEnd w:id="1199"/>
      <w:bookmarkEnd w:id="1200"/>
      <w:bookmarkEnd w:id="1201"/>
      <w:bookmarkEnd w:id="1202"/>
    </w:tbl>
    <w:p w:rsidR="009534E2" w:rsidRDefault="009534E2">
      <w:pPr>
        <w:rPr>
          <w:rFonts w:asciiTheme="majorHAnsi" w:hAnsiTheme="majorHAnsi" w:cstheme="majorHAnsi"/>
        </w:rPr>
      </w:pP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The currencies listed above are not a fully convertible outside the territories of countries of their operations. Related official exchange rates are determined daily by the Central Bank of the Russian Federation (further CBR). Market rates may differ from the official rates but the differences are, generally, within narrow parameters monitored by the respective Central Banks. The translation of assets and liabilities denominated in the currencies listed above into RUB for the purposes of these financial statements does not indicate that the Group could realize or settle, in RUB, the reported values of these assets and liabilities. Likewise, it does not indicate that the Group could return or distribute the reported RUB value of capital and retained earnings to its shareholders</w:t>
      </w:r>
      <w:bookmarkEnd w:id="1172"/>
      <w:r>
        <w:rPr>
          <w:rFonts w:eastAsia="Times New Roman" w:asciiTheme="majorHAnsi" w:hAnsiTheme="majorHAnsi" w:cstheme="majorHAnsi"/>
        </w:rPr>
        <w:t>.</w:t>
      </w:r>
    </w:p>
    <w:p w:rsidR="009534E2" w:rsidRDefault="003369EB">
      <w:pPr>
        <w:pStyle w:val="Heading1"/>
        <w:ind w:left="562" w:hanging="562"/>
      </w:pPr>
      <w:bookmarkStart w:name="_d0f19892_fdff_403d_8491_4e3d9b9d08cd" w:id="1203"/>
      <w:bookmarkEnd w:id="1173"/>
      <w:bookmarkEnd w:id="1174"/>
      <w:r>
        <w:t>3.4</w:t>
      </w:r>
      <w:r>
        <w:tab/>
        <w:t>Property and equipment</w:t>
      </w:r>
    </w:p>
    <w:p w:rsidR="009534E2" w:rsidRDefault="003369EB">
      <w:pPr>
        <w:pStyle w:val="Heading1"/>
        <w:ind w:left="562" w:hanging="562"/>
        <w:rPr>
          <w:i/>
          <w:lang w:eastAsia="ru-RU"/>
        </w:rPr>
      </w:pPr>
      <w:r>
        <w:rPr>
          <w:i/>
          <w:lang w:eastAsia="ru-RU"/>
        </w:rPr>
        <w:t>3.4.1 Cost of property and equipment</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Property and equipment are stated at cost less accumulated depreciation and any accumulated impairment loss. Expenditures for continuing repairs and maintenance are charged to the profit or loss as incurred.</w:t>
      </w:r>
    </w:p>
    <w:p w:rsidR="009534E2" w:rsidRDefault="003369EB">
      <w:pPr>
        <w:pStyle w:val="Heading1"/>
        <w:ind w:left="562" w:hanging="562"/>
        <w:rPr>
          <w:i/>
          <w:lang w:eastAsia="ru-RU"/>
        </w:rPr>
      </w:pPr>
      <w:r>
        <w:rPr>
          <w:i/>
          <w:lang w:eastAsia="ru-RU"/>
        </w:rPr>
        <w:t>3.4.2 Depreciation and useful lives</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Depreciation is calculated on property and equipment on a straight-line basis from the time the assets are available for use, over their estimated useful lives as follows:</w:t>
      </w:r>
      <w:bookmarkStart w:name="_f5ddff39_a345_4bf3_8621_e8becaefc056" w:id="1204"/>
    </w:p>
    <w:p w:rsidR="009534E2" w:rsidRDefault="009534E2">
      <w:pPr>
        <w:pStyle w:val="BodyText"/>
        <w:keepNext/>
        <w:spacing w:after="0"/>
        <w:rPr>
          <w:rFonts w:eastAsia="Times New Roman" w:asciiTheme="majorHAnsi" w:hAnsiTheme="majorHAnsi" w:cstheme="majorHAnsi"/>
          <w:lang w:eastAsia="ru-RU"/>
        </w:rPr>
      </w:pPr>
    </w:p>
    <w:tbl>
      <w:tblPr>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160"/>
        <w:gridCol w:w="263"/>
        <w:gridCol w:w="2217"/>
      </w:tblGrid>
      <w:tr w:rsidR="009534E2">
        <w:trPr>
          <w:trHeight w:val="20" w:hRule="exact"/>
          <w:jc w:val="center"/>
        </w:trPr>
        <w:tc>
          <w:tcPr>
            <w:tcW w:w="3565"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c216cd9d_472f_44d2_b15b_ce56b51d283d" w:id="1205"/>
            <w:bookmarkStart w:name="_34d2c32a_28a2_4c98_8b26_43e357a48ee4" w:colFirst="0" w:colLast="0" w:id="1206"/>
            <w:bookmarkStart w:name="_992a07ad_0ede_4693_91c1_dc50ee32b164" w:colFirst="1" w:colLast="1" w:id="1207"/>
            <w:bookmarkStart w:name="_f605105e_98bb_434a_8aed_f53ea4560bb8" w:colFirst="2" w:colLast="2" w:id="1208"/>
            <w:bookmarkStart w:name="_301a07d4_9180_4c15_9494_13b68dbdeb96" w:id="1209"/>
            <w:bookmarkEnd w:id="1205"/>
          </w:p>
        </w:tc>
        <w:tc>
          <w:tcPr>
            <w:tcW w:w="15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28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3565"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ea353109_9425_4b61_b7ad_1caf83394d64" w:id="1210"/>
            <w:bookmarkEnd w:id="1206"/>
            <w:bookmarkEnd w:id="1207"/>
            <w:bookmarkEnd w:id="1208"/>
            <w:r>
              <w:rPr>
                <w:rFonts w:eastAsia="Times New Roman" w:asciiTheme="majorHAnsi" w:hAnsiTheme="majorHAnsi" w:cstheme="majorHAnsi"/>
                <w:color w:val="000000"/>
              </w:rPr>
              <w:t>Processing servers and engineering equipment</w:t>
            </w:r>
          </w:p>
        </w:tc>
        <w:tc>
          <w:tcPr>
            <w:tcW w:w="15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128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bookmarkStart w:name="_9e2e0847_75a6_4c26_9635_6984edf3baf1" w:id="1211"/>
            <w:r>
              <w:rPr>
                <w:rFonts w:eastAsia="Times New Roman" w:asciiTheme="majorHAnsi" w:hAnsiTheme="majorHAnsi" w:cstheme="majorHAnsi"/>
                <w:color w:val="000000"/>
              </w:rPr>
              <w:t>3</w:t>
            </w:r>
            <w:bookmarkEnd w:id="1211"/>
            <w:r>
              <w:rPr>
                <w:rFonts w:eastAsia="Times New Roman" w:asciiTheme="majorHAnsi" w:hAnsiTheme="majorHAnsi" w:cstheme="majorHAnsi"/>
                <w:color w:val="000000"/>
              </w:rPr>
              <w:t>-</w:t>
            </w:r>
            <w:bookmarkStart w:name="_5d2fb208_dcea_467d_89bd_ff0bdea24484" w:id="1212"/>
            <w:bookmarkStart w:name="_54b8ab70_4776_481a_825c_15d75d8c3ba7" w:id="1213"/>
            <w:r>
              <w:rPr>
                <w:rFonts w:eastAsia="Times New Roman" w:asciiTheme="majorHAnsi" w:hAnsiTheme="majorHAnsi" w:cstheme="majorHAnsi"/>
                <w:color w:val="000000"/>
              </w:rPr>
              <w:t>10</w:t>
            </w:r>
            <w:bookmarkEnd w:id="1212"/>
            <w:r>
              <w:rPr>
                <w:rFonts w:eastAsia="Times New Roman" w:asciiTheme="majorHAnsi" w:hAnsiTheme="majorHAnsi" w:cstheme="majorHAnsi"/>
                <w:color w:val="000000"/>
              </w:rPr>
              <w:t xml:space="preserve"> years</w:t>
            </w:r>
            <w:bookmarkEnd w:id="1213"/>
          </w:p>
        </w:tc>
      </w:tr>
      <w:tr w:rsidR="009534E2">
        <w:trPr>
          <w:jc w:val="center"/>
        </w:trPr>
        <w:tc>
          <w:tcPr>
            <w:tcW w:w="3565"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45b781f0_cdc5_4e8f_9a24_1d5b533f9eb7" w:id="1214"/>
            <w:bookmarkEnd w:id="1210"/>
            <w:r>
              <w:rPr>
                <w:rFonts w:eastAsia="Times New Roman" w:asciiTheme="majorHAnsi" w:hAnsiTheme="majorHAnsi" w:cstheme="majorHAnsi"/>
                <w:color w:val="000000"/>
              </w:rPr>
              <w:t xml:space="preserve">Computers and office equipment </w:t>
            </w:r>
          </w:p>
        </w:tc>
        <w:tc>
          <w:tcPr>
            <w:tcW w:w="15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128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bookmarkStart w:name="_f0b6f59e_66af_4845_a5ec_61dd2f182b3a" w:id="1215"/>
            <w:r>
              <w:rPr>
                <w:rFonts w:eastAsia="Times New Roman" w:asciiTheme="majorHAnsi" w:hAnsiTheme="majorHAnsi" w:cstheme="majorHAnsi"/>
                <w:color w:val="000000"/>
              </w:rPr>
              <w:t>3</w:t>
            </w:r>
            <w:bookmarkEnd w:id="1215"/>
            <w:r>
              <w:rPr>
                <w:rFonts w:eastAsia="Times New Roman" w:asciiTheme="majorHAnsi" w:hAnsiTheme="majorHAnsi" w:cstheme="majorHAnsi"/>
                <w:color w:val="000000"/>
              </w:rPr>
              <w:t>-</w:t>
            </w:r>
            <w:bookmarkStart w:name="_523e6596_2948_4ec4_85db_e9730af7198d" w:id="1216"/>
            <w:bookmarkStart w:name="_3ba7c587_3f2e_475b_9c00_5d604312c868" w:id="1217"/>
            <w:r>
              <w:rPr>
                <w:rFonts w:eastAsia="Times New Roman" w:asciiTheme="majorHAnsi" w:hAnsiTheme="majorHAnsi" w:cstheme="majorHAnsi"/>
                <w:color w:val="000000"/>
              </w:rPr>
              <w:t>6</w:t>
            </w:r>
            <w:bookmarkEnd w:id="1216"/>
            <w:r>
              <w:rPr>
                <w:rFonts w:eastAsia="Times New Roman" w:asciiTheme="majorHAnsi" w:hAnsiTheme="majorHAnsi" w:cstheme="majorHAnsi"/>
                <w:color w:val="000000"/>
              </w:rPr>
              <w:t xml:space="preserve"> years</w:t>
            </w:r>
            <w:bookmarkEnd w:id="1217"/>
          </w:p>
        </w:tc>
      </w:tr>
      <w:tr w:rsidR="009534E2">
        <w:trPr>
          <w:jc w:val="center"/>
        </w:trPr>
        <w:tc>
          <w:tcPr>
            <w:tcW w:w="3565"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2c205aca_6b0d_4042_887b_4748872eb551" w:id="1218"/>
            <w:bookmarkEnd w:id="1214"/>
            <w:r>
              <w:rPr>
                <w:rFonts w:eastAsia="Times New Roman" w:asciiTheme="majorHAnsi" w:hAnsiTheme="majorHAnsi" w:cstheme="majorHAnsi"/>
                <w:color w:val="000000"/>
              </w:rPr>
              <w:t xml:space="preserve">Other equipment </w:t>
            </w:r>
          </w:p>
        </w:tc>
        <w:tc>
          <w:tcPr>
            <w:tcW w:w="15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128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bookmarkStart w:name="_5a39da3b_41ab_4a01_bf85_fafe5c2c0633" w:id="1219"/>
            <w:r>
              <w:rPr>
                <w:rFonts w:eastAsia="Times New Roman" w:asciiTheme="majorHAnsi" w:hAnsiTheme="majorHAnsi" w:cstheme="majorHAnsi"/>
                <w:color w:val="000000"/>
              </w:rPr>
              <w:t>2</w:t>
            </w:r>
            <w:bookmarkEnd w:id="1219"/>
            <w:r>
              <w:rPr>
                <w:rFonts w:eastAsia="Times New Roman" w:asciiTheme="majorHAnsi" w:hAnsiTheme="majorHAnsi" w:cstheme="majorHAnsi"/>
                <w:color w:val="000000"/>
              </w:rPr>
              <w:t>-</w:t>
            </w:r>
            <w:bookmarkStart w:name="_4f35a46d_6665_49fc_8ad9_669c01e53802" w:id="1220"/>
            <w:bookmarkStart w:name="_ce215cf9_1ee9_4a45_95eb_32e13c9848f1" w:id="1221"/>
            <w:r>
              <w:rPr>
                <w:rFonts w:eastAsia="Times New Roman" w:asciiTheme="majorHAnsi" w:hAnsiTheme="majorHAnsi" w:cstheme="majorHAnsi"/>
                <w:color w:val="000000"/>
              </w:rPr>
              <w:t>11</w:t>
            </w:r>
            <w:bookmarkEnd w:id="1220"/>
            <w:r>
              <w:rPr>
                <w:rFonts w:eastAsia="Times New Roman" w:asciiTheme="majorHAnsi" w:hAnsiTheme="majorHAnsi" w:cstheme="majorHAnsi"/>
                <w:color w:val="000000"/>
              </w:rPr>
              <w:t xml:space="preserve"> years</w:t>
            </w:r>
            <w:bookmarkEnd w:id="1221"/>
          </w:p>
        </w:tc>
      </w:tr>
      <w:bookmarkEnd w:id="1204"/>
      <w:bookmarkEnd w:id="1209"/>
      <w:bookmarkEnd w:id="1218"/>
    </w:tbl>
    <w:p w:rsidR="009534E2" w:rsidRDefault="009534E2">
      <w:pPr>
        <w:rPr>
          <w:rFonts w:asciiTheme="majorHAnsi" w:hAnsiTheme="majorHAnsi" w:cstheme="majorHAnsi"/>
        </w:rPr>
      </w:pP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Useful lives of leasehold improvements of leased office premises are determined at the lower between the useful live of the asset or the lease term. The asset’s residual values, useful lives and depreciation methods are reviewed, and adjusted as appropriate, at each financial year-end.</w:t>
      </w:r>
    </w:p>
    <w:p w:rsidR="009534E2" w:rsidRDefault="003369EB">
      <w:pPr>
        <w:pStyle w:val="Heading1"/>
        <w:ind w:left="562" w:hanging="562"/>
      </w:pPr>
      <w:bookmarkStart w:name="_c2e7860e_ae40_4e73_be80_88b46ae28d4f" w:id="1222"/>
      <w:bookmarkStart w:name="_7b846a82_4a9a_4724_9767_8b322b64bcf3" w:id="1223"/>
      <w:bookmarkStart w:name="_bb0bf130_8974_46f5_94ea_c456e4d36989" w:id="1224"/>
      <w:bookmarkStart w:name="_a716a8b3_8ee5_42e8_ad0c_2e2a8b121929" w:id="1225"/>
      <w:bookmarkStart w:name="_d67a3bec_0338_4171_a7d1_f3aeaafe3c79" w:id="1226"/>
      <w:bookmarkEnd w:id="1203"/>
      <w:r>
        <w:t>3.5</w:t>
      </w:r>
      <w:r>
        <w:tab/>
        <w:t>Intangible assets</w:t>
      </w:r>
    </w:p>
    <w:p w:rsidR="009534E2" w:rsidRDefault="003369EB">
      <w:pPr>
        <w:pStyle w:val="Heading1"/>
        <w:ind w:left="562" w:hanging="562"/>
        <w:rPr>
          <w:i/>
          <w:lang w:eastAsia="ru-RU"/>
        </w:rPr>
      </w:pPr>
      <w:r>
        <w:rPr>
          <w:i/>
          <w:lang w:eastAsia="ru-RU"/>
        </w:rPr>
        <w:t>3.5.1 Software and other intangible assets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Software and other intangible assets acquired separately are measured on initial recognition at cost. The cost of intangible assets acquired in a business combination is their fair value as of the date of acquisition. Following initial recognition, intangible assets are carried at cost less any accumulated amortization and accumulated impairment losses.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Following initial recognition of the development expenditure as an asset, the cost model is applied requiring the asset to be carried at cost less any accumulated amortization and accumulated impairment losses. Amortization of the asset begins when development is complete and the asset is available for use. It is amortized over the period of expected generation of future benefits, generally </w:t>
      </w:r>
      <w:bookmarkStart w:name="_b956422a_fce6_447b_a441_cadfec65d5d4" w:id="1227"/>
      <w:bookmarkStart w:name="_b15a1fd0_c9b4_418f_a3af_0cd84eac8a3e" w:id="1228"/>
      <w:r>
        <w:rPr>
          <w:rFonts w:eastAsia="Times New Roman" w:asciiTheme="majorHAnsi" w:hAnsiTheme="majorHAnsi" w:cstheme="majorHAnsi"/>
          <w:lang w:eastAsia="ru-RU"/>
        </w:rPr>
        <w:t>3</w:t>
      </w:r>
      <w:bookmarkEnd w:id="1227"/>
      <w:r>
        <w:rPr>
          <w:rFonts w:eastAsia="Times New Roman" w:asciiTheme="majorHAnsi" w:hAnsiTheme="majorHAnsi" w:cstheme="majorHAnsi"/>
          <w:lang w:eastAsia="ru-RU"/>
        </w:rPr>
        <w:noBreakHyphen/>
      </w:r>
      <w:bookmarkStart w:name="_205e96ad_420b_4001_8014_a9c28b0002d5" w:id="1229"/>
      <w:bookmarkEnd w:id="1228"/>
      <w:r>
        <w:rPr>
          <w:rFonts w:eastAsia="Times New Roman" w:asciiTheme="majorHAnsi" w:hAnsiTheme="majorHAnsi" w:cstheme="majorHAnsi"/>
          <w:lang w:eastAsia="ru-RU"/>
        </w:rPr>
        <w:t>5 years</w:t>
      </w:r>
      <w:bookmarkEnd w:id="1229"/>
      <w:r>
        <w:rPr>
          <w:rFonts w:eastAsia="Times New Roman" w:asciiTheme="majorHAnsi" w:hAnsiTheme="majorHAnsi" w:cstheme="majorHAnsi"/>
          <w:lang w:eastAsia="ru-RU"/>
        </w:rPr>
        <w:t>. During the period of development, the asset is tested for impairment annually.</w:t>
      </w:r>
      <w:bookmarkEnd w:id="1222"/>
    </w:p>
    <w:bookmarkEnd w:id="1223"/>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Heading1"/>
        <w:ind w:left="360" w:hanging="360"/>
      </w:pPr>
      <w:r>
        <w:rPr>
          <w:lang w:eastAsia="ru-RU"/>
        </w:rPr>
        <w:t>3.</w:t>
      </w:r>
      <w:r>
        <w:rPr>
          <w:lang w:eastAsia="ru-RU"/>
        </w:rPr>
        <w:tab/>
      </w:r>
      <w:r>
        <w:t>Summary of significant accounting policies (continued)</w:t>
      </w:r>
    </w:p>
    <w:p w:rsidR="009534E2" w:rsidRDefault="003369EB">
      <w:pPr>
        <w:pStyle w:val="Heading1"/>
        <w:ind w:left="562" w:hanging="562"/>
      </w:pPr>
      <w:bookmarkStart w:name="_0c8c887a_69c8_4136_b420_09521a750d25" w:id="1230"/>
      <w:r>
        <w:t>3.5</w:t>
      </w:r>
      <w:r>
        <w:tab/>
        <w:t>Intangible assets (continued)</w:t>
      </w:r>
    </w:p>
    <w:p w:rsidR="009534E2" w:rsidRDefault="003369EB">
      <w:pPr>
        <w:pStyle w:val="Heading1"/>
        <w:ind w:left="562" w:hanging="562"/>
        <w:rPr>
          <w:i/>
          <w:lang w:eastAsia="ru-RU"/>
        </w:rPr>
      </w:pPr>
      <w:bookmarkStart w:name="_56278095_fa4b_4042_8d85_5ef52ae1a5e6" w:id="1231"/>
      <w:bookmarkStart w:name="_f60b7e20_d3cd_4944_b87a_edffdb646f35" w:id="1232"/>
      <w:r>
        <w:rPr>
          <w:i/>
          <w:lang w:eastAsia="ru-RU"/>
        </w:rPr>
        <w:t>3.5.2 Software development costs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Development expenditure on an individual project is recognized as an intangible asset when the Group can demonstrate the technical feasibility of completing the intangible asset so that it will be available for use or sale, its intention to complete and its ability to use or sell the asset, how the asset will generate future economic benefits, the availability of resources to complete the asset and the ability to measure reliably the expenditure during development.</w:t>
      </w:r>
      <w:bookmarkEnd w:id="1224"/>
    </w:p>
    <w:p w:rsidR="009534E2" w:rsidRDefault="003369EB">
      <w:pPr>
        <w:pStyle w:val="Heading1"/>
        <w:ind w:left="562" w:hanging="562"/>
        <w:rPr>
          <w:i/>
          <w:lang w:eastAsia="ru-RU"/>
        </w:rPr>
      </w:pPr>
      <w:r>
        <w:rPr>
          <w:i/>
          <w:lang w:eastAsia="ru-RU"/>
        </w:rPr>
        <w:t>3.5.3 Useful life and amortization of intangible assets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Group assesses whether the useful life of an intangible asset is finite or indefinite and, if finite, the length of that useful life. An intangible asset is regarded by the entity as having an indefinite useful life when, based on an analysis of all of the relevant factors, there is no foreseeable limit to the period over which the asset is expected to generate net cash inflows for the entity.</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Intangible assets with finite lives are amortized on a straight-line basis over the useful economic lives and assessed for impairment whenever there is an indication that the intangible asset may be impaired. Below is the summary of useful lives of intangible assets:</w:t>
      </w:r>
      <w:bookmarkStart w:name="_03cc5925_4ad1_4544_ad6c_5623a2a468a1" w:id="1233"/>
    </w:p>
    <w:p w:rsidR="009534E2" w:rsidRDefault="009534E2">
      <w:pPr>
        <w:pStyle w:val="BodyText"/>
        <w:keepNext/>
        <w:spacing w:after="0"/>
        <w:rPr>
          <w:rFonts w:eastAsia="Times New Roman" w:asciiTheme="majorHAnsi" w:hAnsiTheme="majorHAnsi" w:cstheme="majorHAnsi"/>
          <w:lang w:eastAsia="ru-RU"/>
        </w:rPr>
      </w:pPr>
    </w:p>
    <w:tbl>
      <w:tblPr>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934"/>
        <w:gridCol w:w="301"/>
        <w:gridCol w:w="1405"/>
      </w:tblGrid>
      <w:tr w:rsidR="009534E2">
        <w:trPr>
          <w:trHeight w:val="20"/>
          <w:jc w:val="center"/>
        </w:trPr>
        <w:tc>
          <w:tcPr>
            <w:tcW w:w="4013" w:type="pct"/>
            <w:tcBorders>
              <w:top w:val="nil"/>
              <w:left w:val="nil"/>
              <w:bottom w:val="nil"/>
              <w:right w:val="nil"/>
            </w:tcBorders>
            <w:noWrap/>
            <w:vAlign w:val="bottom"/>
          </w:tcPr>
          <w:p w:rsidR="009534E2" w:rsidRDefault="009534E2">
            <w:pPr>
              <w:keepNext/>
              <w:rPr>
                <w:sz w:val="2"/>
              </w:rPr>
            </w:pPr>
            <w:bookmarkStart w:name="_f71a026a_9516_42c7_8c22_254e9a68e84c" w:id="1234"/>
            <w:bookmarkStart w:name="_75838924_1763_4654_b8b7_91f5438b45a1" w:colFirst="0" w:colLast="0" w:id="1235"/>
            <w:bookmarkStart w:name="_2c1bec75_9b7f_47fd_9a01_b749e521c6cd" w:colFirst="1" w:colLast="1" w:id="1236"/>
            <w:bookmarkStart w:name="_dfeddc41_e5df_4ede_bd92_be074288891a" w:colFirst="2" w:colLast="2" w:id="1237"/>
            <w:bookmarkStart w:name="_1ba184df_8e65_49f0_ae0c_4c14bf844bb4" w:id="1238"/>
            <w:bookmarkEnd w:id="1234"/>
          </w:p>
        </w:tc>
        <w:tc>
          <w:tcPr>
            <w:tcW w:w="174" w:type="pct"/>
            <w:tcBorders>
              <w:top w:val="nil"/>
              <w:left w:val="nil"/>
              <w:bottom w:val="nil"/>
              <w:right w:val="nil"/>
            </w:tcBorders>
            <w:noWrap/>
            <w:vAlign w:val="bottom"/>
          </w:tcPr>
          <w:p w:rsidR="009534E2" w:rsidRDefault="009534E2">
            <w:pPr>
              <w:keepNext/>
              <w:rPr>
                <w:sz w:val="2"/>
              </w:rPr>
            </w:pPr>
          </w:p>
        </w:tc>
        <w:tc>
          <w:tcPr>
            <w:tcW w:w="813" w:type="pct"/>
            <w:tcBorders>
              <w:top w:val="nil"/>
              <w:left w:val="nil"/>
              <w:bottom w:val="nil"/>
              <w:right w:val="nil"/>
            </w:tcBorders>
            <w:noWrap/>
            <w:vAlign w:val="bottom"/>
          </w:tcPr>
          <w:p w:rsidR="009534E2" w:rsidRDefault="009534E2">
            <w:pPr>
              <w:keepNext/>
              <w:rPr>
                <w:sz w:val="2"/>
              </w:rPr>
            </w:pPr>
          </w:p>
        </w:tc>
      </w:tr>
      <w:tr w:rsidR="009534E2">
        <w:trPr>
          <w:jc w:val="center"/>
        </w:trPr>
        <w:tc>
          <w:tcPr>
            <w:tcW w:w="4013"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bookmarkStart w:name="_6c15cc25_c26c_4a47_b658_d80e9ff3cb9b" w:id="1239"/>
            <w:bookmarkStart w:name="_344b4c9a_263d_4496_8afb_1baa86041d54" w:colFirst="2" w:colLast="2" w:id="1240"/>
            <w:bookmarkEnd w:id="1235"/>
            <w:bookmarkEnd w:id="1236"/>
            <w:bookmarkEnd w:id="1237"/>
            <w:r>
              <w:rPr>
                <w:rFonts w:ascii="Times New Roman" w:hAnsi="Times New Roman" w:eastAsia="Times New Roman" w:cs="Times New Roman"/>
                <w:color w:val="000000"/>
              </w:rPr>
              <w:t>Bank license</w:t>
            </w:r>
          </w:p>
        </w:tc>
        <w:tc>
          <w:tcPr>
            <w:tcW w:w="174"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81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indefinite</w:t>
            </w:r>
          </w:p>
        </w:tc>
      </w:tr>
      <w:tr w:rsidR="009534E2">
        <w:trPr>
          <w:jc w:val="center"/>
        </w:trPr>
        <w:tc>
          <w:tcPr>
            <w:tcW w:w="4013" w:type="pct"/>
            <w:tcBorders>
              <w:top w:val="nil"/>
              <w:left w:val="nil"/>
              <w:bottom w:val="nil"/>
              <w:right w:val="nil"/>
              <w:tl2br w:val="nil"/>
              <w:tr2bl w:val="nil"/>
            </w:tcBorders>
            <w:vAlign w:val="bottom"/>
          </w:tcPr>
          <w:p w:rsidR="009534E2" w:rsidRDefault="003369EB">
            <w:pPr>
              <w:keepNext/>
              <w:rPr>
                <w:color w:val="000000"/>
              </w:rPr>
            </w:pPr>
            <w:bookmarkStart w:name="_b82500eb_be5f_4769_874e_98015a4f095e" w:id="1241"/>
            <w:bookmarkEnd w:id="1239"/>
            <w:bookmarkEnd w:id="1240"/>
            <w:r>
              <w:rPr>
                <w:rFonts w:ascii="Times New Roman" w:hAnsi="Times New Roman" w:eastAsia="Times New Roman" w:cs="Times New Roman"/>
                <w:color w:val="000000"/>
              </w:rPr>
              <w:t>Customer relationships</w:t>
            </w:r>
          </w:p>
        </w:tc>
        <w:tc>
          <w:tcPr>
            <w:tcW w:w="174"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813" w:type="pct"/>
            <w:tcBorders>
              <w:top w:val="nil"/>
              <w:left w:val="nil"/>
              <w:bottom w:val="nil"/>
              <w:right w:val="nil"/>
              <w:tl2br w:val="nil"/>
              <w:tr2bl w:val="nil"/>
            </w:tcBorders>
            <w:noWrap/>
            <w:vAlign w:val="bottom"/>
          </w:tcPr>
          <w:p w:rsidR="009534E2" w:rsidRDefault="003369EB">
            <w:pPr>
              <w:keepNext/>
              <w:ind w:right="60"/>
              <w:jc w:val="right"/>
              <w:rPr>
                <w:color w:val="000000"/>
              </w:rPr>
            </w:pPr>
            <w:bookmarkStart w:name="_00169a8e_900f_4c00_8ac3_25b71fb5e465" w:id="1242"/>
            <w:r>
              <w:rPr>
                <w:rFonts w:ascii="Times New Roman" w:hAnsi="Times New Roman" w:eastAsia="Times New Roman" w:cs="Times New Roman"/>
                <w:color w:val="000000"/>
              </w:rPr>
              <w:t>4</w:t>
            </w:r>
            <w:bookmarkEnd w:id="1242"/>
            <w:r>
              <w:rPr>
                <w:rFonts w:ascii="Times New Roman" w:hAnsi="Times New Roman" w:eastAsia="Times New Roman" w:cs="Times New Roman"/>
                <w:color w:val="000000"/>
              </w:rPr>
              <w:t>-</w:t>
            </w:r>
            <w:bookmarkStart w:name="_d644ca5f_e698_42ee_8f1e_34c429d72c12" w:id="1243"/>
            <w:bookmarkStart w:name="_ed5a6c0a_996a_4f66_9eaf_50e0626c9871" w:id="1244"/>
            <w:r>
              <w:rPr>
                <w:rFonts w:ascii="Times New Roman" w:hAnsi="Times New Roman" w:eastAsia="Times New Roman" w:cs="Times New Roman"/>
                <w:color w:val="000000"/>
              </w:rPr>
              <w:t>15</w:t>
            </w:r>
            <w:bookmarkEnd w:id="1243"/>
            <w:r>
              <w:rPr>
                <w:rFonts w:ascii="Times New Roman" w:hAnsi="Times New Roman" w:eastAsia="Times New Roman" w:cs="Times New Roman"/>
                <w:color w:val="000000"/>
              </w:rPr>
              <w:t xml:space="preserve"> years</w:t>
            </w:r>
            <w:bookmarkEnd w:id="1244"/>
          </w:p>
        </w:tc>
      </w:tr>
      <w:tr w:rsidR="009534E2">
        <w:trPr>
          <w:jc w:val="center"/>
        </w:trPr>
        <w:tc>
          <w:tcPr>
            <w:tcW w:w="4013"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bookmarkStart w:name="_d4461822_a418_4790_9636_5892fd9f4bda" w:id="1245"/>
            <w:bookmarkEnd w:id="1241"/>
            <w:r>
              <w:rPr>
                <w:rFonts w:ascii="Times New Roman" w:hAnsi="Times New Roman" w:eastAsia="Times New Roman" w:cs="Times New Roman"/>
                <w:color w:val="000000"/>
              </w:rPr>
              <w:t>Computer Software</w:t>
            </w:r>
          </w:p>
        </w:tc>
        <w:tc>
          <w:tcPr>
            <w:tcW w:w="174"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81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bookmarkStart w:name="_fc4182a4_c023_4fca_a008_46c5810e1bb5" w:id="1246"/>
            <w:r>
              <w:rPr>
                <w:rFonts w:ascii="Times New Roman" w:hAnsi="Times New Roman" w:eastAsia="Times New Roman" w:cs="Times New Roman"/>
                <w:color w:val="000000"/>
              </w:rPr>
              <w:t>2</w:t>
            </w:r>
            <w:bookmarkEnd w:id="1246"/>
            <w:r>
              <w:rPr>
                <w:rFonts w:ascii="Times New Roman" w:hAnsi="Times New Roman" w:eastAsia="Times New Roman" w:cs="Times New Roman"/>
                <w:color w:val="000000"/>
              </w:rPr>
              <w:t>-</w:t>
            </w:r>
            <w:bookmarkStart w:name="_d248ce11_e160_4ce7_88e7_0109b566da6d" w:id="1247"/>
            <w:bookmarkStart w:name="_74c64dd2_6c79_48cc_a5b8_e968b3923f20" w:id="1248"/>
            <w:r>
              <w:rPr>
                <w:rFonts w:ascii="Times New Roman" w:hAnsi="Times New Roman" w:eastAsia="Times New Roman" w:cs="Times New Roman"/>
                <w:color w:val="000000"/>
              </w:rPr>
              <w:t>9</w:t>
            </w:r>
            <w:bookmarkEnd w:id="1247"/>
            <w:r>
              <w:rPr>
                <w:rFonts w:ascii="Times New Roman" w:hAnsi="Times New Roman" w:eastAsia="Times New Roman" w:cs="Times New Roman"/>
                <w:color w:val="000000"/>
              </w:rPr>
              <w:t xml:space="preserve"> years</w:t>
            </w:r>
            <w:bookmarkEnd w:id="1248"/>
          </w:p>
        </w:tc>
      </w:tr>
      <w:tr w:rsidR="009534E2">
        <w:trPr>
          <w:jc w:val="center"/>
        </w:trPr>
        <w:tc>
          <w:tcPr>
            <w:tcW w:w="4013" w:type="pct"/>
            <w:tcBorders>
              <w:top w:val="nil"/>
              <w:left w:val="nil"/>
              <w:bottom w:val="nil"/>
              <w:right w:val="nil"/>
              <w:tl2br w:val="nil"/>
              <w:tr2bl w:val="nil"/>
            </w:tcBorders>
            <w:vAlign w:val="bottom"/>
          </w:tcPr>
          <w:p w:rsidR="009534E2" w:rsidRDefault="003369EB">
            <w:pPr>
              <w:keepNext/>
              <w:rPr>
                <w:color w:val="000000"/>
              </w:rPr>
            </w:pPr>
            <w:bookmarkStart w:name="_77e78113_838e_447c_92dd_37a64a403bc2" w:id="1249"/>
            <w:bookmarkEnd w:id="1245"/>
            <w:r>
              <w:rPr>
                <w:rFonts w:ascii="Times New Roman" w:hAnsi="Times New Roman" w:eastAsia="Times New Roman" w:cs="Times New Roman"/>
                <w:color w:val="000000"/>
              </w:rPr>
              <w:t>Trademarks and other intangible assets</w:t>
            </w:r>
          </w:p>
        </w:tc>
        <w:tc>
          <w:tcPr>
            <w:tcW w:w="174"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813" w:type="pct"/>
            <w:tcBorders>
              <w:top w:val="nil"/>
              <w:left w:val="nil"/>
              <w:bottom w:val="nil"/>
              <w:right w:val="nil"/>
              <w:tl2br w:val="nil"/>
              <w:tr2bl w:val="nil"/>
            </w:tcBorders>
            <w:noWrap/>
            <w:vAlign w:val="bottom"/>
          </w:tcPr>
          <w:p w:rsidR="009534E2" w:rsidRDefault="003369EB">
            <w:pPr>
              <w:keepNext/>
              <w:ind w:right="60"/>
              <w:jc w:val="right"/>
              <w:rPr>
                <w:color w:val="000000"/>
              </w:rPr>
            </w:pPr>
            <w:bookmarkStart w:name="_dc9ef6d5_c618_4e6e_b789_e12e9d468d75" w:id="1250"/>
            <w:r>
              <w:rPr>
                <w:rFonts w:ascii="Times New Roman" w:hAnsi="Times New Roman" w:eastAsia="Times New Roman" w:cs="Times New Roman"/>
                <w:color w:val="000000"/>
              </w:rPr>
              <w:t>3</w:t>
            </w:r>
            <w:bookmarkEnd w:id="1250"/>
            <w:r>
              <w:rPr>
                <w:rFonts w:ascii="Times New Roman" w:hAnsi="Times New Roman" w:eastAsia="Times New Roman" w:cs="Times New Roman"/>
                <w:color w:val="000000"/>
              </w:rPr>
              <w:t>-</w:t>
            </w:r>
            <w:bookmarkStart w:name="_255708ef_2079_4795_9be5_087d815b2235" w:id="1251"/>
            <w:bookmarkStart w:name="_d16ea575_420c_4937_8134_95be0b76e6e2" w:id="1252"/>
            <w:r>
              <w:rPr>
                <w:rFonts w:ascii="Times New Roman" w:hAnsi="Times New Roman" w:eastAsia="Times New Roman" w:cs="Times New Roman"/>
                <w:color w:val="000000"/>
              </w:rPr>
              <w:t>11</w:t>
            </w:r>
            <w:bookmarkEnd w:id="1251"/>
            <w:r>
              <w:rPr>
                <w:rFonts w:ascii="Times New Roman" w:hAnsi="Times New Roman" w:eastAsia="Times New Roman" w:cs="Times New Roman"/>
                <w:color w:val="000000"/>
              </w:rPr>
              <w:t xml:space="preserve"> years</w:t>
            </w:r>
            <w:bookmarkEnd w:id="1252"/>
          </w:p>
        </w:tc>
      </w:tr>
      <w:bookmarkEnd w:id="1233"/>
      <w:bookmarkEnd w:id="1238"/>
      <w:bookmarkEnd w:id="1249"/>
    </w:tbl>
    <w:p w:rsidR="009534E2" w:rsidRDefault="009534E2">
      <w:pPr>
        <w:rPr>
          <w:rFonts w:asciiTheme="majorHAnsi" w:hAnsiTheme="majorHAnsi" w:cstheme="majorHAnsi"/>
        </w:rPr>
      </w:pPr>
    </w:p>
    <w:p w:rsidR="009534E2" w:rsidRDefault="003369EB">
      <w:pPr>
        <w:pStyle w:val="BodyText"/>
        <w:spacing w:after="240"/>
        <w:rPr>
          <w:rFonts w:eastAsia="Times New Roman" w:asciiTheme="majorHAnsi" w:hAnsiTheme="majorHAnsi" w:cstheme="majorHAnsi"/>
          <w:lang w:eastAsia="ru-RU"/>
        </w:rPr>
      </w:pPr>
      <w:r>
        <w:rPr>
          <w:rFonts w:eastAsia="Times New Roman" w:asciiTheme="majorHAnsi" w:hAnsiTheme="majorHAnsi" w:cstheme="majorHAnsi"/>
          <w:lang w:eastAsia="ru-RU"/>
        </w:rPr>
        <w:t>Amortization periods and methods for intangible assets with finite useful lives are reviewed at least at each financial year-end. Changes in the expected useful life or the expected pattern of consumption of future economic benefits embodied in the asset are accounted for by changing the amortization period or method, as appropriate, and treated as changes in accounting estimates.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Intangible assets with indefinite useful lives are not amortized, but are tested for impairment annually, either individually or at the cash-generating unit level. The assessment of indefinite life is reviewed annually to determine whether the indefinite life continues to be supportable. Indefinite-lived intangible assets include the acquired licenses for banking operations. It is considered indefinite-lived as the related license is expected to be renewed indefinitely.</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Gains or losses arising from derecognition of an intangible asset are measured as the difference between the net disposal proceeds and the carrying amount of the asset and are recognized in the statement of comprehensive income when the asset is derecognized.</w:t>
      </w:r>
      <w:bookmarkEnd w:id="1225"/>
      <w:bookmarkEnd w:id="1231"/>
    </w:p>
    <w:p w:rsidR="009534E2" w:rsidRDefault="003369EB">
      <w:pPr>
        <w:pStyle w:val="Heading1"/>
        <w:ind w:left="562" w:hanging="562"/>
      </w:pPr>
      <w:bookmarkStart w:name="_df296073_4ec2_4670_b7f7_99f6d0dfdc2c" w:id="1253"/>
      <w:bookmarkStart w:name="_34275bfe_0203_4262_a3c4_c42a3b060c30" w:id="1254"/>
      <w:bookmarkStart w:name="_d9a2de8e_9b5b_405f_9281_c69dcf5db34a" w:id="1255"/>
      <w:bookmarkEnd w:id="1226"/>
      <w:bookmarkEnd w:id="1230"/>
      <w:bookmarkEnd w:id="1232"/>
      <w:r>
        <w:t>3.6</w:t>
      </w:r>
      <w:r>
        <w:tab/>
        <w:t>Impairment of non-financial assets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Group assesses at each reporting date whether there is an indication that an asset, other than goodwill and intangible assets with indefinite useful life, may be impaired. If any such indication exists, or when annual impairment testing for an asset is required, the Group estimates the asset’s recoverable amount. An asset’s recoverable amount is the higher of an asset’s or cash-generating unit’s fair value less costs to sell and its value in use and is determined for an individual asset, unless the asset does not generate cash inflows that are largely independent of those from other assets or groups of assets. Where the carrying amount of an asset exceeds its recoverable amount, the asset is considered impaired and is written down to its recoverable amount. In assessing value in use, the estimated future cash flows are discounted to their present value using a pre-tax discount rate that reflects current market assessments of the time value of money and the risks specific to the asset. In determining fair value less costs to sell, an appropriate valuation model is used.</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These calculations are corroborated by valuation multiples, quoted share prices for publicly traded analogues, if applicable, or other available fair value indicators.</w:t>
      </w:r>
    </w:p>
    <w:p w:rsidR="009534E2" w:rsidRDefault="003369EB">
      <w:pPr>
        <w:pStyle w:val="BodyText"/>
        <w:spacing w:after="0"/>
        <w:rPr>
          <w:rFonts w:eastAsia="Times New Roman" w:asciiTheme="majorHAnsi" w:hAnsiTheme="majorHAnsi" w:cstheme="majorHAnsi"/>
        </w:rPr>
      </w:pPr>
      <w:r>
        <w:rPr>
          <w:rFonts w:eastAsia="Times New Roman" w:asciiTheme="majorHAnsi" w:hAnsiTheme="majorHAnsi" w:cstheme="majorHAnsi"/>
        </w:rPr>
        <w:t>The Group bases its impairment calculation on detailed budgets and forecast calculations, which are prepared separately for each of the Group’s cash generating units (CGU), to which the individual assets are allocated.</w:t>
      </w:r>
    </w:p>
    <w:bookmarkEnd w:id="1253"/>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br w:type="page"/>
      </w:r>
    </w:p>
    <w:p w:rsidR="009534E2" w:rsidRDefault="003369EB">
      <w:pPr>
        <w:pStyle w:val="Heading1"/>
        <w:ind w:left="360" w:hanging="360"/>
      </w:pPr>
      <w:r>
        <w:rPr>
          <w:lang w:eastAsia="ru-RU"/>
        </w:rPr>
        <w:t>3.</w:t>
      </w:r>
      <w:r>
        <w:rPr>
          <w:lang w:eastAsia="ru-RU"/>
        </w:rPr>
        <w:tab/>
      </w:r>
      <w:r>
        <w:t>Summary of significant accounting policies (continued)</w:t>
      </w:r>
    </w:p>
    <w:p w:rsidR="009534E2" w:rsidRDefault="003369EB">
      <w:pPr>
        <w:pStyle w:val="BodyText"/>
        <w:keepNext/>
        <w:keepLines/>
        <w:ind w:left="562" w:hanging="562"/>
        <w:outlineLvl w:val="0"/>
        <w:rPr>
          <w:rFonts w:asciiTheme="majorHAnsi" w:hAnsiTheme="majorHAnsi" w:cstheme="majorHAnsi"/>
          <w:b/>
          <w:bCs/>
        </w:rPr>
      </w:pPr>
      <w:bookmarkStart w:name="_3385746d_2be6_42bb_8954_6700acc9b5f7" w:id="1256"/>
      <w:r>
        <w:rPr>
          <w:rFonts w:asciiTheme="majorHAnsi" w:hAnsiTheme="majorHAnsi" w:cstheme="majorHAnsi"/>
          <w:b/>
          <w:bCs/>
        </w:rPr>
        <w:t>3.6</w:t>
      </w:r>
      <w:r>
        <w:rPr>
          <w:rFonts w:asciiTheme="majorHAnsi" w:hAnsiTheme="majorHAnsi" w:cstheme="majorHAnsi"/>
          <w:b/>
          <w:bCs/>
        </w:rPr>
        <w:tab/>
        <w:t>Impairment of non-financial assets (continued)</w:t>
      </w:r>
      <w:bookmarkStart w:name="_cb04e31b_acd0_41c3_b81e_c580395cea55" w:id="1257"/>
    </w:p>
    <w:p w:rsidR="009534E2" w:rsidRDefault="003369EB">
      <w:pPr>
        <w:spacing w:after="200"/>
        <w:rPr>
          <w:rFonts w:asciiTheme="majorHAnsi" w:hAnsiTheme="majorHAnsi" w:cstheme="majorHAnsi"/>
        </w:rPr>
      </w:pPr>
      <w:r>
        <w:rPr>
          <w:rFonts w:asciiTheme="majorHAnsi" w:hAnsiTheme="majorHAnsi" w:cstheme="majorHAnsi"/>
        </w:rPr>
        <w:t>These budgets and forecast calculations generally cover a period of three years or longer, when management considers appropriate. For longer periods, a long-term growth rate is calculated and applied to project future cash flows after the last year.</w:t>
      </w:r>
    </w:p>
    <w:p w:rsidR="009534E2" w:rsidRDefault="003369EB">
      <w:pPr>
        <w:spacing w:after="200"/>
        <w:rPr>
          <w:rFonts w:asciiTheme="majorHAnsi" w:hAnsiTheme="majorHAnsi" w:cstheme="majorHAnsi"/>
        </w:rPr>
      </w:pPr>
      <w:r>
        <w:rPr>
          <w:rFonts w:asciiTheme="majorHAnsi" w:hAnsiTheme="majorHAnsi" w:cstheme="majorHAnsi"/>
        </w:rPr>
        <w:t>Impairment losses of continuing operations are recognized in profit or loss in those expense categories consistent with the function of the impaired asset.</w:t>
      </w:r>
    </w:p>
    <w:p w:rsidR="009534E2" w:rsidRDefault="003369EB">
      <w:pPr>
        <w:spacing w:after="200"/>
        <w:rPr>
          <w:rFonts w:asciiTheme="majorHAnsi" w:hAnsiTheme="majorHAnsi" w:cstheme="majorHAnsi"/>
        </w:rPr>
      </w:pPr>
      <w:r>
        <w:rPr>
          <w:rFonts w:asciiTheme="majorHAnsi" w:hAnsiTheme="majorHAnsi" w:cstheme="majorHAnsi"/>
        </w:rPr>
        <w:t>For assets excluding goodwill, an assessment is made at each reporting date as to whether there is any indication that previously recognized impairment losses may no longer exist or may have decreased. If such indication exists, the Group makes an estimate of recoverable amount. A previously recognized impairment loss is reversed only if there has been a change in the estimates used to determine the asset’s recoverable amount since the last impairment loss was recognized. If that is the case, the carrying amount of the asset is increased to its recoverable amount.</w:t>
      </w:r>
    </w:p>
    <w:p w:rsidR="009534E2" w:rsidRDefault="003369EB">
      <w:pPr>
        <w:spacing w:after="200"/>
        <w:rPr>
          <w:rFonts w:asciiTheme="majorHAnsi" w:hAnsiTheme="majorHAnsi" w:cstheme="majorHAnsi"/>
        </w:rPr>
      </w:pPr>
      <w:r>
        <w:rPr>
          <w:rFonts w:asciiTheme="majorHAnsi" w:hAnsiTheme="majorHAnsi" w:cstheme="majorHAnsi"/>
        </w:rPr>
        <w:t>That increased amount cannot exceed the carrying amount that would have been determined, net of depreciation, had no impairment loss been recognized for the asset in prior years. Such reversal is recognized in profit or loss. The following criteria are also applied in assessing impairment of specific assets:</w:t>
      </w:r>
    </w:p>
    <w:p w:rsidR="009534E2" w:rsidRDefault="003369EB">
      <w:pPr>
        <w:keepNext/>
        <w:keepLines/>
        <w:spacing w:after="200"/>
        <w:rPr>
          <w:rFonts w:asciiTheme="majorHAnsi" w:hAnsiTheme="majorHAnsi" w:cstheme="majorHAnsi"/>
          <w:i/>
          <w:iCs/>
        </w:rPr>
      </w:pPr>
      <w:r>
        <w:rPr>
          <w:rFonts w:asciiTheme="majorHAnsi" w:hAnsiTheme="majorHAnsi" w:cstheme="majorHAnsi"/>
          <w:i/>
          <w:iCs/>
        </w:rPr>
        <w:t>Goodwill</w:t>
      </w:r>
    </w:p>
    <w:p w:rsidR="009534E2" w:rsidRDefault="003369EB">
      <w:pPr>
        <w:spacing w:after="200"/>
        <w:rPr>
          <w:rFonts w:asciiTheme="majorHAnsi" w:hAnsiTheme="majorHAnsi" w:cstheme="majorHAnsi"/>
        </w:rPr>
      </w:pPr>
      <w:r>
        <w:rPr>
          <w:rFonts w:asciiTheme="majorHAnsi" w:hAnsiTheme="majorHAnsi" w:cstheme="majorHAnsi"/>
        </w:rPr>
        <w:t xml:space="preserve">The Group performs its impairment test of goodwill annually and whenever certain events and circumstances indicate that its carrying value may be impaired. Impairment is determined for goodwill by assessing the recoverable amount of the cash-generating units, to which the goodwill relates as higher of its value in use and its fair value less costs to sell. Where the recoverable amount of the cash-generating units is less than their carrying amount an impairment loss is recognized. Impairment losses relating to goodwill cannot be reversed in future periods. </w:t>
      </w:r>
    </w:p>
    <w:p w:rsidR="009534E2" w:rsidRDefault="003369EB">
      <w:pPr>
        <w:keepNext/>
        <w:keepLines/>
        <w:spacing w:after="200"/>
        <w:rPr>
          <w:rFonts w:asciiTheme="majorHAnsi" w:hAnsiTheme="majorHAnsi" w:cstheme="majorHAnsi"/>
          <w:i/>
          <w:iCs/>
        </w:rPr>
      </w:pPr>
      <w:r>
        <w:rPr>
          <w:rFonts w:asciiTheme="majorHAnsi" w:hAnsiTheme="majorHAnsi" w:cstheme="majorHAnsi"/>
          <w:i/>
          <w:iCs/>
        </w:rPr>
        <w:t>Intangible assets with indefinite useful life</w:t>
      </w:r>
    </w:p>
    <w:p w:rsidR="009534E2" w:rsidRDefault="003369EB">
      <w:pPr>
        <w:spacing w:after="200"/>
        <w:rPr>
          <w:rFonts w:asciiTheme="majorHAnsi" w:hAnsiTheme="majorHAnsi" w:cstheme="majorHAnsi"/>
        </w:rPr>
      </w:pPr>
      <w:r>
        <w:rPr>
          <w:rFonts w:asciiTheme="majorHAnsi" w:hAnsiTheme="majorHAnsi" w:cstheme="majorHAnsi"/>
        </w:rPr>
        <w:t>Intangible assets with indefinite useful life are tested for impairment annually as of December 31, at the cash generating unit level, as appropriate and whenever events and circumstances indicate that an asset may be impaired.</w:t>
      </w:r>
    </w:p>
    <w:p w:rsidR="009534E2" w:rsidRDefault="003369EB">
      <w:pPr>
        <w:pStyle w:val="Heading1"/>
        <w:ind w:left="562" w:hanging="562"/>
      </w:pPr>
      <w:bookmarkStart w:name="_b3073c2b_9a0f_4427_8bce_18cb8a443cec" w:id="1258"/>
      <w:bookmarkStart w:name="_54e16f43_a534_4ca2_bf7e_0215b7e84b2e" w:id="1259"/>
      <w:bookmarkStart w:name="_911129de_dddb_416a_a520_f5b85fd86b84" w:id="1260"/>
      <w:bookmarkStart w:name="_11f4843f_af8f_4847_ad78_e892b6af6470" w:id="1261"/>
      <w:bookmarkEnd w:id="1254"/>
      <w:bookmarkEnd w:id="1255"/>
      <w:bookmarkEnd w:id="1256"/>
      <w:bookmarkEnd w:id="1257"/>
      <w:r>
        <w:t>3.7</w:t>
      </w:r>
      <w:r>
        <w:tab/>
      </w:r>
      <w:bookmarkStart w:name="_25a3f3fc_3895_4d82_9615_78244020873e" w:id="1262"/>
      <w:r>
        <w:t>Financial assets</w:t>
      </w:r>
    </w:p>
    <w:p w:rsidR="009534E2" w:rsidRDefault="003369EB">
      <w:pPr>
        <w:pStyle w:val="Heading1"/>
        <w:ind w:left="562" w:hanging="562"/>
        <w:rPr>
          <w:i/>
          <w:lang w:eastAsia="ru-RU"/>
        </w:rPr>
      </w:pPr>
      <w:bookmarkStart w:name="_b3fb4f0f_abe9_4d35_9b3f_bab5b71d2691" w:id="1263"/>
      <w:r>
        <w:rPr>
          <w:i/>
          <w:lang w:eastAsia="ru-RU"/>
        </w:rPr>
        <w:t>3.7.1 Initial recognition and measurement</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Financial assets are classified, at initial recognition, as subsequently measured at amortised cost, fair value through other comprehensive income (OCI), and fair value through profit or loss.</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The classification of financial assets at initial recognition depends on the financial asset’s contractual cash flow characteristics and the Group’s business model for managing them. With the exception of trade receivables that do not contain a significant financing component or for which the Group has applied the practical expedient, the Group initially measures a financial asset at its fair value plus, in the case of a financial asset not at fair value through profit or loss, transaction costs. Trade receivables that do not contain a significant financing component or for which the Group has applied the practical expedient are measured at the transaction price determined under IFRS 15.</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In order for a financial asset to be classified and measured at amortised cost or fair value through OCI, it needs to give rise to cash flows that are ‘solely payments of principal and interest (SPPI)’ on the principal amount outstanding. This assessment is referred to as the SPPI test and is performed at an instrument level.</w:t>
      </w:r>
    </w:p>
    <w:p w:rsidR="009534E2" w:rsidRDefault="003369EB">
      <w:pPr>
        <w:pStyle w:val="BodyText"/>
        <w:spacing w:after="0"/>
        <w:rPr>
          <w:rFonts w:eastAsia="Times New Roman" w:asciiTheme="majorHAnsi" w:hAnsiTheme="majorHAnsi" w:cstheme="majorHAnsi"/>
        </w:rPr>
      </w:pPr>
      <w:r>
        <w:rPr>
          <w:rFonts w:eastAsia="Times New Roman" w:asciiTheme="majorHAnsi" w:hAnsiTheme="majorHAnsi" w:cstheme="majorHAnsi"/>
        </w:rPr>
        <w:t>The Group’s business model for managing financial assets refers to how it manages its financial assets in order to generate cash flows. The business model determines whether cash flows will result from collecting contractual cash flows, selling the financial assets, or both.</w:t>
      </w:r>
    </w:p>
    <w:bookmarkEnd w:id="1258"/>
    <w:bookmarkEnd w:id="1259"/>
    <w:bookmarkEnd w:id="1262"/>
    <w:bookmarkEnd w:id="1263"/>
    <w:p w:rsidR="009534E2" w:rsidRDefault="003369EB">
      <w:pPr>
        <w:rPr>
          <w:rFonts w:eastAsia="Times New Roman" w:asciiTheme="majorHAnsi" w:hAnsiTheme="majorHAnsi" w:cstheme="majorHAnsi"/>
        </w:rPr>
      </w:pPr>
      <w:r>
        <w:rPr>
          <w:rFonts w:eastAsia="Times New Roman" w:asciiTheme="majorHAnsi" w:hAnsiTheme="majorHAnsi" w:cstheme="majorHAnsi"/>
        </w:rPr>
        <w:br w:type="page"/>
      </w:r>
    </w:p>
    <w:p w:rsidR="009534E2" w:rsidRDefault="003369EB">
      <w:pPr>
        <w:pStyle w:val="Heading2"/>
        <w:spacing w:after="180"/>
        <w:ind w:left="360" w:hanging="360"/>
        <w:rPr>
          <w:b/>
          <w:bCs/>
          <w:i w:val="0"/>
          <w:iCs/>
        </w:rPr>
      </w:pPr>
      <w:r>
        <w:rPr>
          <w:b/>
          <w:bCs/>
          <w:i w:val="0"/>
          <w:iCs/>
        </w:rPr>
        <w:t>3.</w:t>
      </w:r>
      <w:r>
        <w:rPr>
          <w:b/>
          <w:bCs/>
          <w:i w:val="0"/>
          <w:iCs/>
        </w:rPr>
        <w:tab/>
        <w:t>Summary of significant accounting policies (continued)</w:t>
      </w:r>
    </w:p>
    <w:p w:rsidR="009534E2" w:rsidRDefault="003369EB">
      <w:pPr>
        <w:pStyle w:val="BodyText"/>
        <w:keepNext/>
        <w:keepLines/>
        <w:spacing w:after="180"/>
        <w:ind w:left="562" w:hanging="562"/>
        <w:rPr>
          <w:rFonts w:eastAsia="Times New Roman" w:asciiTheme="majorHAnsi" w:hAnsiTheme="majorHAnsi" w:cstheme="majorHAnsi"/>
          <w:b/>
          <w:bCs/>
          <w:lang w:eastAsia="ru-RU"/>
        </w:rPr>
      </w:pPr>
      <w:bookmarkStart w:name="_dcd41015_519d_4d5f_ad09_254cb09291ce" w:id="1264"/>
      <w:r>
        <w:rPr>
          <w:rFonts w:asciiTheme="majorHAnsi" w:hAnsiTheme="majorHAnsi" w:cstheme="majorHAnsi"/>
          <w:b/>
          <w:bCs/>
        </w:rPr>
        <w:t>3.7</w:t>
      </w:r>
      <w:r>
        <w:rPr>
          <w:rFonts w:asciiTheme="majorHAnsi" w:hAnsiTheme="majorHAnsi" w:cstheme="majorHAnsi"/>
          <w:b/>
          <w:bCs/>
        </w:rPr>
        <w:tab/>
        <w:t xml:space="preserve">Financial assets </w:t>
      </w:r>
      <w:r>
        <w:rPr>
          <w:rFonts w:eastAsia="Times New Roman" w:asciiTheme="majorHAnsi" w:hAnsiTheme="majorHAnsi" w:cstheme="majorHAnsi"/>
          <w:b/>
          <w:bCs/>
          <w:lang w:eastAsia="ru-RU"/>
        </w:rPr>
        <w:t>(continued)</w:t>
      </w:r>
    </w:p>
    <w:p w:rsidR="009534E2" w:rsidRDefault="003369EB">
      <w:pPr>
        <w:pStyle w:val="Heading1"/>
        <w:spacing w:after="180"/>
        <w:ind w:left="562" w:hanging="562"/>
        <w:rPr>
          <w:i/>
          <w:lang w:eastAsia="ru-RU"/>
        </w:rPr>
      </w:pPr>
      <w:bookmarkStart w:name="_b80d5dad_c1c8_459a_8540_58825c475c1a" w:id="1265"/>
      <w:r>
        <w:rPr>
          <w:i/>
          <w:lang w:eastAsia="ru-RU"/>
        </w:rPr>
        <w:t>3.7.2 Subsequent measurement</w:t>
      </w:r>
    </w:p>
    <w:p w:rsidR="009534E2" w:rsidRDefault="003369EB">
      <w:pPr>
        <w:pStyle w:val="BodyText"/>
        <w:keepNext/>
        <w:spacing w:after="180"/>
        <w:rPr>
          <w:rFonts w:eastAsia="Times New Roman" w:asciiTheme="majorHAnsi" w:hAnsiTheme="majorHAnsi" w:cstheme="majorHAnsi"/>
        </w:rPr>
      </w:pPr>
      <w:r>
        <w:rPr>
          <w:rFonts w:eastAsia="Times New Roman" w:asciiTheme="majorHAnsi" w:hAnsiTheme="majorHAnsi" w:cstheme="majorHAnsi"/>
        </w:rPr>
        <w:t>For purposes of subsequent measurement, financial assets are classified in four categories:</w:t>
      </w:r>
    </w:p>
    <w:p w:rsidR="009534E2" w:rsidRDefault="003369EB">
      <w:pPr>
        <w:pStyle w:val="BodyText"/>
        <w:numPr>
          <w:ilvl w:val="0"/>
          <w:numId w:val="53"/>
        </w:numPr>
        <w:spacing w:after="0"/>
        <w:ind w:left="360"/>
        <w:rPr>
          <w:rFonts w:eastAsia="Times New Roman" w:asciiTheme="majorHAnsi" w:hAnsiTheme="majorHAnsi" w:cstheme="majorHAnsi"/>
        </w:rPr>
      </w:pPr>
      <w:r>
        <w:rPr>
          <w:rFonts w:eastAsia="Times New Roman" w:asciiTheme="majorHAnsi" w:hAnsiTheme="majorHAnsi" w:cstheme="majorHAnsi"/>
        </w:rPr>
        <w:t>Financial assets at amortised cost</w:t>
      </w:r>
    </w:p>
    <w:p w:rsidR="009534E2" w:rsidRDefault="003369EB">
      <w:pPr>
        <w:pStyle w:val="BodyText"/>
        <w:numPr>
          <w:ilvl w:val="0"/>
          <w:numId w:val="53"/>
        </w:numPr>
        <w:spacing w:after="0"/>
        <w:ind w:left="360"/>
        <w:rPr>
          <w:rFonts w:eastAsia="Times New Roman" w:asciiTheme="majorHAnsi" w:hAnsiTheme="majorHAnsi" w:cstheme="majorHAnsi"/>
        </w:rPr>
      </w:pPr>
      <w:r>
        <w:rPr>
          <w:rFonts w:eastAsia="Times New Roman" w:asciiTheme="majorHAnsi" w:hAnsiTheme="majorHAnsi" w:cstheme="majorHAnsi"/>
        </w:rPr>
        <w:t>Financial assets at fair value through OCI with recycling of cumulative gains and losses</w:t>
      </w:r>
    </w:p>
    <w:p w:rsidR="009534E2" w:rsidRDefault="003369EB">
      <w:pPr>
        <w:pStyle w:val="BodyText"/>
        <w:numPr>
          <w:ilvl w:val="0"/>
          <w:numId w:val="53"/>
        </w:numPr>
        <w:spacing w:after="0"/>
        <w:ind w:left="360"/>
        <w:rPr>
          <w:rFonts w:eastAsia="Times New Roman" w:asciiTheme="majorHAnsi" w:hAnsiTheme="majorHAnsi" w:cstheme="majorHAnsi"/>
        </w:rPr>
      </w:pPr>
      <w:r>
        <w:rPr>
          <w:rFonts w:eastAsia="Times New Roman" w:asciiTheme="majorHAnsi" w:hAnsiTheme="majorHAnsi" w:cstheme="majorHAnsi"/>
        </w:rPr>
        <w:t>Financial assets designated at fair value through OCI with no recycling of cumulative gains and losses upon derecognition</w:t>
      </w:r>
    </w:p>
    <w:p w:rsidR="009534E2" w:rsidP="00FB65A2" w:rsidRDefault="003369EB">
      <w:pPr>
        <w:pStyle w:val="BodyText"/>
        <w:numPr>
          <w:ilvl w:val="0"/>
          <w:numId w:val="53"/>
        </w:numPr>
        <w:spacing w:after="120"/>
        <w:ind w:left="360"/>
        <w:rPr>
          <w:rFonts w:eastAsia="Times New Roman" w:asciiTheme="majorHAnsi" w:hAnsiTheme="majorHAnsi" w:cstheme="majorHAnsi"/>
        </w:rPr>
      </w:pPr>
      <w:r>
        <w:rPr>
          <w:rFonts w:eastAsia="Times New Roman" w:asciiTheme="majorHAnsi" w:hAnsiTheme="majorHAnsi" w:cstheme="majorHAnsi"/>
        </w:rPr>
        <w:t>Financial assets at fair value through profit or loss</w:t>
      </w:r>
    </w:p>
    <w:p w:rsidR="009534E2" w:rsidRDefault="003369EB">
      <w:pPr>
        <w:pStyle w:val="Heading2"/>
        <w:spacing w:after="180"/>
      </w:pPr>
      <w:r>
        <w:t>Financial assets at amortised cost</w:t>
      </w:r>
    </w:p>
    <w:p w:rsidR="009534E2" w:rsidRDefault="003369EB">
      <w:pPr>
        <w:pStyle w:val="BodyText"/>
        <w:keepNext/>
        <w:spacing w:after="180"/>
        <w:rPr>
          <w:rFonts w:eastAsia="Times New Roman" w:asciiTheme="majorHAnsi" w:hAnsiTheme="majorHAnsi" w:cstheme="majorHAnsi"/>
        </w:rPr>
      </w:pPr>
      <w:r>
        <w:rPr>
          <w:rFonts w:eastAsia="Times New Roman" w:asciiTheme="majorHAnsi" w:hAnsiTheme="majorHAnsi" w:cstheme="majorHAnsi"/>
        </w:rPr>
        <w:t>This category is the most relevant to the Group. The Group measures financial assets at amortised cost if both of the following conditions are met:</w:t>
      </w:r>
    </w:p>
    <w:p w:rsidR="009534E2" w:rsidRDefault="003369EB">
      <w:pPr>
        <w:pStyle w:val="BodyText"/>
        <w:numPr>
          <w:ilvl w:val="0"/>
          <w:numId w:val="54"/>
        </w:numPr>
        <w:spacing w:after="0"/>
        <w:ind w:left="360"/>
        <w:rPr>
          <w:rFonts w:eastAsia="Times New Roman" w:asciiTheme="majorHAnsi" w:hAnsiTheme="majorHAnsi" w:cstheme="majorHAnsi"/>
        </w:rPr>
      </w:pPr>
      <w:r>
        <w:rPr>
          <w:rFonts w:eastAsia="Times New Roman" w:asciiTheme="majorHAnsi" w:hAnsiTheme="majorHAnsi" w:cstheme="majorHAnsi"/>
        </w:rPr>
        <w:t>The financial asset is held within a business model with the objective to hold financial assets in order to collect contractual cash flows, and</w:t>
      </w:r>
    </w:p>
    <w:p w:rsidR="009534E2" w:rsidRDefault="003369EB">
      <w:pPr>
        <w:pStyle w:val="BodyText"/>
        <w:numPr>
          <w:ilvl w:val="0"/>
          <w:numId w:val="54"/>
        </w:numPr>
        <w:spacing w:after="180"/>
        <w:ind w:left="360"/>
        <w:rPr>
          <w:rFonts w:eastAsia="Times New Roman" w:asciiTheme="majorHAnsi" w:hAnsiTheme="majorHAnsi" w:cstheme="majorHAnsi"/>
        </w:rPr>
      </w:pPr>
      <w:r>
        <w:rPr>
          <w:rFonts w:eastAsia="Times New Roman" w:asciiTheme="majorHAnsi" w:hAnsiTheme="majorHAnsi" w:cstheme="majorHAnsi"/>
        </w:rPr>
        <w:t>The contractual terms of the financial asset give rise on specified dates to cash flows that are solely payments of principal and interest on the principal amount outstanding.</w:t>
      </w:r>
    </w:p>
    <w:p w:rsidR="009534E2" w:rsidRDefault="003369EB">
      <w:pPr>
        <w:pStyle w:val="BodyText"/>
        <w:spacing w:after="180"/>
        <w:rPr>
          <w:rFonts w:eastAsia="Times New Roman" w:asciiTheme="majorHAnsi" w:hAnsiTheme="majorHAnsi" w:cstheme="majorHAnsi"/>
        </w:rPr>
      </w:pPr>
      <w:r>
        <w:rPr>
          <w:rFonts w:eastAsia="Times New Roman" w:asciiTheme="majorHAnsi" w:hAnsiTheme="majorHAnsi" w:cstheme="majorHAnsi"/>
        </w:rPr>
        <w:t>Financial assets at amortised cost are subsequently measured using the effective interest (EIR) method and are subject to impairment. Gains and losses are recognised in profit or loss when the asset is derecognised, modified or impaired.</w:t>
      </w:r>
    </w:p>
    <w:p w:rsidR="009534E2" w:rsidRDefault="003369EB">
      <w:pPr>
        <w:pStyle w:val="BodyText"/>
        <w:spacing w:after="180"/>
        <w:rPr>
          <w:rFonts w:eastAsia="Times New Roman" w:asciiTheme="majorHAnsi" w:hAnsiTheme="majorHAnsi" w:cstheme="majorHAnsi"/>
        </w:rPr>
      </w:pPr>
      <w:r>
        <w:rPr>
          <w:rFonts w:eastAsia="Times New Roman" w:asciiTheme="majorHAnsi" w:hAnsiTheme="majorHAnsi" w:cstheme="majorHAnsi"/>
        </w:rPr>
        <w:t>The Group’s financial assets at amortised cost includes cash and cash equivalents, reserves at CBR, debt instruments, trade and other receivables and loans issued.</w:t>
      </w:r>
    </w:p>
    <w:p w:rsidR="009534E2" w:rsidRDefault="003369EB">
      <w:pPr>
        <w:pStyle w:val="Heading2"/>
        <w:spacing w:after="180"/>
        <w:rPr>
          <w:lang w:eastAsia="ru-RU"/>
        </w:rPr>
      </w:pPr>
      <w:r>
        <w:rPr>
          <w:lang w:eastAsia="ru-RU"/>
        </w:rPr>
        <w:t>Financial assets at fair value through profit or loss</w:t>
      </w:r>
    </w:p>
    <w:p w:rsidR="009534E2" w:rsidRDefault="003369EB">
      <w:pPr>
        <w:pStyle w:val="BodyText"/>
        <w:spacing w:after="180"/>
        <w:rPr>
          <w:rFonts w:eastAsia="Times New Roman" w:asciiTheme="majorHAnsi" w:hAnsiTheme="majorHAnsi" w:cstheme="majorHAnsi"/>
        </w:rPr>
      </w:pPr>
      <w:r>
        <w:rPr>
          <w:rFonts w:eastAsia="Times New Roman" w:asciiTheme="majorHAnsi" w:hAnsiTheme="majorHAnsi" w:cstheme="majorHAnsi"/>
        </w:rPr>
        <w:t>Financial assets at fair value through profit or loss include financial assets held for trading, financial assets designated upon initial recognition at fair value through profit or loss, or financial assets mandatorily required to be measured at fair value. Financial assets are classified as held for trading if they are acquired for the purpose of selling or repurchasing in the near term. Derivatives, including separated embedded derivatives, are also classified as held for trading unless they are designated as effective hedging instruments. Financial assets with cash flows that are not solely payments of principal and interest are classified and measured at fair value through profit or loss, irrespective of the business model.</w:t>
      </w:r>
    </w:p>
    <w:p w:rsidR="009534E2" w:rsidRDefault="003369EB">
      <w:pPr>
        <w:pStyle w:val="BodyText"/>
        <w:spacing w:after="180"/>
        <w:rPr>
          <w:rFonts w:eastAsia="Times New Roman" w:asciiTheme="majorHAnsi" w:hAnsiTheme="majorHAnsi" w:cstheme="majorHAnsi"/>
        </w:rPr>
      </w:pPr>
      <w:r>
        <w:rPr>
          <w:rFonts w:eastAsia="Times New Roman" w:asciiTheme="majorHAnsi" w:hAnsiTheme="majorHAnsi" w:cstheme="majorHAnsi"/>
        </w:rPr>
        <w:t>Financial assets at fair value through profit or loss are carried in the consolidated statement of financial position at fair value with net changes in fair value recognised in the profit or loss section of the consolidated statement of comprehensive income.</w:t>
      </w:r>
    </w:p>
    <w:p w:rsidR="009534E2" w:rsidRDefault="003369EB">
      <w:pPr>
        <w:pStyle w:val="BodyText"/>
        <w:spacing w:after="180"/>
        <w:rPr>
          <w:rFonts w:eastAsia="Times New Roman" w:asciiTheme="majorHAnsi" w:hAnsiTheme="majorHAnsi" w:cstheme="majorHAnsi"/>
        </w:rPr>
      </w:pPr>
      <w:r>
        <w:rPr>
          <w:rFonts w:eastAsia="Times New Roman" w:asciiTheme="majorHAnsi" w:hAnsiTheme="majorHAnsi" w:cstheme="majorHAnsi"/>
        </w:rPr>
        <w:t xml:space="preserve">The Group’s financial assets </w:t>
      </w:r>
      <w:r>
        <w:rPr>
          <w:rFonts w:eastAsia="Times New Roman" w:asciiTheme="majorHAnsi" w:hAnsiTheme="majorHAnsi" w:cstheme="majorHAnsi"/>
          <w:lang w:eastAsia="ru-RU"/>
        </w:rPr>
        <w:t>at fair value through profit or loss</w:t>
      </w:r>
      <w:r>
        <w:rPr>
          <w:rFonts w:eastAsia="Times New Roman" w:asciiTheme="majorHAnsi" w:hAnsiTheme="majorHAnsi" w:cstheme="majorHAnsi"/>
        </w:rPr>
        <w:t xml:space="preserve"> includes several loans that did not pass SPPI test and option to increase its share in the associate.</w:t>
      </w:r>
    </w:p>
    <w:p w:rsidR="009534E2" w:rsidRDefault="003369EB">
      <w:pPr>
        <w:pStyle w:val="Heading2"/>
      </w:pPr>
      <w:r>
        <w:t>Financial assets at fair value through OCI</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For debt securities at fair value through OCI, interest income, foreign exchange revaluation and impairment losses or reversals are recognised in the profit or loss section of consolidated statement of comprehensive income and computed in the same manner as for financial assets measured at amortised cost. The remaining fair value changes are recognised in OCI. Upon derecognition, the cumulative fair value change recognised in OCI is recycled to profit or loss.</w:t>
      </w:r>
    </w:p>
    <w:p w:rsidR="009534E2" w:rsidRDefault="003369EB">
      <w:pPr>
        <w:pStyle w:val="BodyText"/>
        <w:spacing w:after="0"/>
        <w:rPr>
          <w:rFonts w:eastAsia="Times New Roman" w:asciiTheme="majorHAnsi" w:hAnsiTheme="majorHAnsi" w:cstheme="majorHAnsi"/>
        </w:rPr>
      </w:pPr>
      <w:r>
        <w:rPr>
          <w:rFonts w:eastAsia="Times New Roman" w:asciiTheme="majorHAnsi" w:hAnsiTheme="majorHAnsi" w:cstheme="majorHAnsi"/>
        </w:rPr>
        <w:t>The Group’s debt securities at fair value through OCI mostly represent investments in quoted debt securities included under short-term debt securities.</w:t>
      </w:r>
      <w:bookmarkEnd w:id="1264"/>
    </w:p>
    <w:bookmarkEnd w:id="1265"/>
    <w:p w:rsidR="009534E2" w:rsidRDefault="003369EB">
      <w:pPr>
        <w:pStyle w:val="BodyText"/>
        <w:spacing w:after="0"/>
        <w:rPr>
          <w:rFonts w:eastAsia="Times New Roman" w:asciiTheme="majorHAnsi" w:hAnsiTheme="majorHAnsi" w:cstheme="majorHAnsi"/>
          <w:sz w:val="10"/>
        </w:rPr>
      </w:pPr>
      <w:r>
        <w:rPr>
          <w:rFonts w:eastAsia="Times New Roman" w:asciiTheme="majorHAnsi" w:hAnsiTheme="majorHAnsi" w:cstheme="majorHAnsi"/>
          <w:sz w:val="10"/>
        </w:rPr>
        <w:br w:type="page"/>
      </w:r>
    </w:p>
    <w:p w:rsidR="009534E2" w:rsidRDefault="003369EB">
      <w:pPr>
        <w:pStyle w:val="Heading2"/>
        <w:ind w:left="360" w:hanging="360"/>
        <w:rPr>
          <w:b/>
          <w:bCs/>
          <w:i w:val="0"/>
          <w:iCs/>
        </w:rPr>
      </w:pPr>
      <w:r>
        <w:rPr>
          <w:b/>
          <w:bCs/>
          <w:i w:val="0"/>
          <w:iCs/>
        </w:rPr>
        <w:t>3.</w:t>
      </w:r>
      <w:r>
        <w:rPr>
          <w:b/>
          <w:bCs/>
          <w:i w:val="0"/>
          <w:iCs/>
        </w:rPr>
        <w:tab/>
        <w:t>Summary of significant accounting policies (continued)</w:t>
      </w:r>
    </w:p>
    <w:p w:rsidR="009534E2" w:rsidRDefault="003369EB">
      <w:pPr>
        <w:pStyle w:val="BodyText"/>
        <w:keepNext/>
        <w:keepLines/>
        <w:ind w:left="562" w:hanging="562"/>
        <w:rPr>
          <w:rFonts w:eastAsia="Times New Roman" w:asciiTheme="majorHAnsi" w:hAnsiTheme="majorHAnsi" w:cstheme="majorHAnsi"/>
          <w:b/>
          <w:bCs/>
          <w:lang w:eastAsia="ru-RU"/>
        </w:rPr>
      </w:pPr>
      <w:r>
        <w:rPr>
          <w:rFonts w:asciiTheme="majorHAnsi" w:hAnsiTheme="majorHAnsi" w:cstheme="majorHAnsi"/>
          <w:b/>
          <w:bCs/>
        </w:rPr>
        <w:t>3.7</w:t>
      </w:r>
      <w:r>
        <w:rPr>
          <w:rFonts w:asciiTheme="majorHAnsi" w:hAnsiTheme="majorHAnsi" w:cstheme="majorHAnsi"/>
          <w:b/>
          <w:bCs/>
        </w:rPr>
        <w:tab/>
        <w:t xml:space="preserve">Financial assets </w:t>
      </w:r>
      <w:r>
        <w:rPr>
          <w:rFonts w:eastAsia="Times New Roman" w:asciiTheme="majorHAnsi" w:hAnsiTheme="majorHAnsi" w:cstheme="majorHAnsi"/>
          <w:b/>
          <w:bCs/>
          <w:lang w:eastAsia="ru-RU"/>
        </w:rPr>
        <w:t>(continued)</w:t>
      </w:r>
    </w:p>
    <w:p w:rsidR="009534E2" w:rsidRDefault="003369EB">
      <w:pPr>
        <w:pStyle w:val="Heading1"/>
        <w:ind w:left="562" w:hanging="562"/>
        <w:rPr>
          <w:i/>
          <w:lang w:eastAsia="ru-RU"/>
        </w:rPr>
      </w:pPr>
      <w:bookmarkStart w:name="_7c5039a8_ee55_48a0_8b3f_69a25ce61eef" w:id="1266"/>
      <w:bookmarkStart w:name="_48918ef8_84e8_4ff0_bbd6_a438a161b4ec" w:id="1267"/>
      <w:bookmarkStart w:name="_57b9ad6d_4f92_4771_9d81_662166bc2a2a" w:id="1268"/>
      <w:r>
        <w:rPr>
          <w:i/>
          <w:lang w:eastAsia="ru-RU"/>
        </w:rPr>
        <w:t>3.7.3</w:t>
      </w:r>
      <w:r>
        <w:rPr>
          <w:i/>
          <w:lang w:eastAsia="ru-RU"/>
        </w:rPr>
        <w:tab/>
        <w:t>Impairment - credit loss allowance for ECL</w:t>
      </w:r>
    </w:p>
    <w:p w:rsidR="009534E2" w:rsidRDefault="003369EB">
      <w:pPr>
        <w:pStyle w:val="BodyText"/>
        <w:spacing w:after="18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 Group assesses </w:t>
      </w:r>
      <w:r>
        <w:rPr>
          <w:rFonts w:eastAsia="Times New Roman" w:asciiTheme="majorHAnsi" w:hAnsiTheme="majorHAnsi" w:cstheme="majorHAnsi"/>
        </w:rPr>
        <w:t>and</w:t>
      </w:r>
      <w:r>
        <w:rPr>
          <w:rFonts w:eastAsia="Times New Roman" w:asciiTheme="majorHAnsi" w:hAnsiTheme="majorHAnsi" w:cstheme="majorHAnsi"/>
          <w:lang w:eastAsia="ru-RU"/>
        </w:rPr>
        <w:t xml:space="preserve"> recognises an allowance for expected credit losses (ECLs) for all debt instruments not held at fair value through profit or loss.</w:t>
      </w:r>
    </w:p>
    <w:p w:rsidR="009534E2" w:rsidRDefault="003369EB">
      <w:pPr>
        <w:pStyle w:val="BodyText"/>
        <w:spacing w:after="180"/>
        <w:rPr>
          <w:rFonts w:eastAsia="Times New Roman" w:asciiTheme="majorHAnsi" w:hAnsiTheme="majorHAnsi" w:cstheme="majorHAnsi"/>
          <w:lang w:eastAsia="ru-RU"/>
        </w:rPr>
      </w:pPr>
      <w:r>
        <w:rPr>
          <w:rFonts w:eastAsia="Times New Roman" w:asciiTheme="majorHAnsi" w:hAnsiTheme="majorHAnsi" w:cstheme="majorHAnsi"/>
          <w:lang w:eastAsia="ru-RU"/>
        </w:rPr>
        <w:t>The measurement of ECL reflects:</w:t>
      </w:r>
    </w:p>
    <w:p w:rsidR="009534E2" w:rsidRDefault="003369EB">
      <w:pPr>
        <w:pStyle w:val="BodyText"/>
        <w:numPr>
          <w:ilvl w:val="0"/>
          <w:numId w:val="55"/>
        </w:numPr>
        <w:spacing w:after="0"/>
        <w:ind w:left="360"/>
        <w:rPr>
          <w:rFonts w:eastAsia="Times New Roman" w:asciiTheme="majorHAnsi" w:hAnsiTheme="majorHAnsi" w:cstheme="majorHAnsi"/>
          <w:lang w:eastAsia="ru-RU"/>
        </w:rPr>
      </w:pPr>
      <w:r>
        <w:rPr>
          <w:rFonts w:eastAsia="Times New Roman" w:asciiTheme="majorHAnsi" w:hAnsiTheme="majorHAnsi" w:cstheme="majorHAnsi"/>
          <w:lang w:eastAsia="ru-RU"/>
        </w:rPr>
        <w:t>an unbiased and probability weighted amount that is determined by evaluating a range of possible outcomes;</w:t>
      </w:r>
    </w:p>
    <w:p w:rsidR="009534E2" w:rsidRDefault="003369EB">
      <w:pPr>
        <w:pStyle w:val="BodyText"/>
        <w:numPr>
          <w:ilvl w:val="0"/>
          <w:numId w:val="55"/>
        </w:numPr>
        <w:spacing w:after="0"/>
        <w:ind w:left="360"/>
        <w:rPr>
          <w:rFonts w:eastAsia="Times New Roman" w:asciiTheme="majorHAnsi" w:hAnsiTheme="majorHAnsi" w:cstheme="majorHAnsi"/>
          <w:lang w:eastAsia="ru-RU"/>
        </w:rPr>
      </w:pPr>
      <w:r>
        <w:rPr>
          <w:rFonts w:eastAsia="Times New Roman" w:asciiTheme="majorHAnsi" w:hAnsiTheme="majorHAnsi" w:cstheme="majorHAnsi"/>
          <w:lang w:eastAsia="ru-RU"/>
        </w:rPr>
        <w:t>the time value of money; and</w:t>
      </w:r>
    </w:p>
    <w:p w:rsidR="009534E2" w:rsidRDefault="003369EB">
      <w:pPr>
        <w:pStyle w:val="BodyText"/>
        <w:numPr>
          <w:ilvl w:val="0"/>
          <w:numId w:val="55"/>
        </w:numPr>
        <w:ind w:left="360"/>
        <w:rPr>
          <w:rFonts w:eastAsia="Times New Roman" w:asciiTheme="majorHAnsi" w:hAnsiTheme="majorHAnsi" w:cstheme="majorHAnsi"/>
          <w:lang w:eastAsia="ru-RU"/>
        </w:rPr>
      </w:pPr>
      <w:r>
        <w:rPr>
          <w:rFonts w:eastAsia="Times New Roman" w:asciiTheme="majorHAnsi" w:hAnsiTheme="majorHAnsi" w:cstheme="majorHAnsi"/>
          <w:lang w:eastAsia="ru-RU"/>
        </w:rPr>
        <w:t>all reasonable and supportable information that is available without undue cost and effort at the end of each reporting period about past events, current conditions and forecasts of future economic conditions.</w:t>
      </w:r>
    </w:p>
    <w:p w:rsidR="009534E2" w:rsidRDefault="003369EB">
      <w:pPr>
        <w:pStyle w:val="BodyText"/>
        <w:spacing w:after="180"/>
        <w:rPr>
          <w:rFonts w:eastAsia="Times New Roman" w:asciiTheme="majorHAnsi" w:hAnsiTheme="majorHAnsi" w:cstheme="majorHAnsi"/>
          <w:lang w:eastAsia="ru-RU"/>
        </w:rPr>
      </w:pPr>
      <w:r>
        <w:rPr>
          <w:rFonts w:eastAsia="Times New Roman" w:asciiTheme="majorHAnsi" w:hAnsiTheme="majorHAnsi" w:cstheme="majorHAnsi"/>
          <w:lang w:eastAsia="ru-RU"/>
        </w:rPr>
        <w:t>Debt instruments measured at AC are presented in the consolidated statement of financial position net of the allowance for ECL.</w:t>
      </w:r>
    </w:p>
    <w:p w:rsidR="009534E2" w:rsidRDefault="003369EB">
      <w:pPr>
        <w:pStyle w:val="BodyText"/>
        <w:spacing w:after="180"/>
        <w:rPr>
          <w:rFonts w:eastAsia="Times New Roman" w:asciiTheme="majorHAnsi" w:hAnsiTheme="majorHAnsi" w:cstheme="majorHAnsi"/>
          <w:lang w:eastAsia="ru-RU"/>
        </w:rPr>
      </w:pPr>
      <w:r>
        <w:rPr>
          <w:rFonts w:eastAsia="Times New Roman" w:asciiTheme="majorHAnsi" w:hAnsiTheme="majorHAnsi" w:cstheme="majorHAnsi"/>
          <w:lang w:eastAsia="ru-RU"/>
        </w:rPr>
        <w:t>For loan commitments (where those components can be separated from the loan), a separate provision for ECL is recognised as other financial liabilities as part of accounts payable in the consolidated statement of financial position. For debt instruments at FVOCI, an allowance for ECL is recognised in profit or loss and it affects fair value gains or losses recognised in OCI rather than the carrying amount of those instruments.</w:t>
      </w:r>
    </w:p>
    <w:p w:rsidR="009534E2" w:rsidRDefault="003369EB">
      <w:pPr>
        <w:pStyle w:val="BodyText"/>
        <w:spacing w:after="180"/>
        <w:rPr>
          <w:rFonts w:eastAsia="Times New Roman" w:asciiTheme="majorHAnsi" w:hAnsiTheme="majorHAnsi" w:cstheme="majorHAnsi"/>
          <w:lang w:eastAsia="ru-RU"/>
        </w:rPr>
      </w:pPr>
      <w:r>
        <w:rPr>
          <w:rFonts w:eastAsia="Times New Roman" w:asciiTheme="majorHAnsi" w:hAnsiTheme="majorHAnsi" w:cstheme="majorHAnsi"/>
          <w:lang w:eastAsia="ru-RU"/>
        </w:rPr>
        <w:t>The Group applies a “three stage” model for impairment in accordance with IFRS 9, based on changes in credit quality since initial recognition:</w:t>
      </w:r>
    </w:p>
    <w:p w:rsidR="009534E2" w:rsidRDefault="003369EB">
      <w:pPr>
        <w:pStyle w:val="ListParagraph"/>
        <w:numPr>
          <w:ilvl w:val="0"/>
          <w:numId w:val="28"/>
        </w:numPr>
        <w:ind w:left="360"/>
        <w:rPr>
          <w:rFonts w:eastAsia="Times New Roman" w:asciiTheme="majorHAnsi" w:hAnsiTheme="majorHAnsi" w:cstheme="majorHAnsi"/>
          <w:lang w:eastAsia="ru-RU"/>
        </w:rPr>
      </w:pPr>
      <w:r>
        <w:rPr>
          <w:rFonts w:eastAsia="Times New Roman" w:asciiTheme="majorHAnsi" w:hAnsiTheme="majorHAnsi" w:cstheme="majorHAnsi"/>
          <w:lang w:eastAsia="ru-RU"/>
        </w:rPr>
        <w:t>A financial instrument that is not credit-impaired on initial recognition is classified in Stage 1. Financial assets in Stage 1 have their ECL measured at an amount equal to the portion of lifetime ECL that results from default events possible within the next 12 months (12 month ECL).</w:t>
      </w:r>
    </w:p>
    <w:p w:rsidR="009534E2" w:rsidRDefault="003369EB">
      <w:pPr>
        <w:pStyle w:val="ListParagraph"/>
        <w:numPr>
          <w:ilvl w:val="0"/>
          <w:numId w:val="28"/>
        </w:numPr>
        <w:ind w:left="360"/>
        <w:rPr>
          <w:rFonts w:eastAsia="Times New Roman" w:asciiTheme="majorHAnsi" w:hAnsiTheme="majorHAnsi" w:cstheme="majorHAnsi"/>
          <w:lang w:eastAsia="ru-RU"/>
        </w:rPr>
      </w:pPr>
      <w:r>
        <w:rPr>
          <w:rFonts w:eastAsia="Times New Roman" w:asciiTheme="majorHAnsi" w:hAnsiTheme="majorHAnsi" w:cstheme="majorHAnsi"/>
          <w:lang w:eastAsia="ru-RU"/>
        </w:rPr>
        <w:t>If the Group identifies a significant increase in credit risk (“SICR”) since initial recognition, the asset is transferred to Stage 2 and its ECL is measured based on ECL on a lifetime basis (lifetime ECL).</w:t>
      </w:r>
    </w:p>
    <w:p w:rsidR="009534E2" w:rsidRDefault="003369EB">
      <w:pPr>
        <w:pStyle w:val="ListParagraph"/>
        <w:numPr>
          <w:ilvl w:val="0"/>
          <w:numId w:val="28"/>
        </w:numPr>
        <w:spacing w:after="200"/>
        <w:ind w:left="360"/>
        <w:rPr>
          <w:rFonts w:eastAsia="Times New Roman" w:asciiTheme="majorHAnsi" w:hAnsiTheme="majorHAnsi" w:cstheme="majorHAnsi"/>
          <w:lang w:eastAsia="ru-RU"/>
        </w:rPr>
      </w:pPr>
      <w:r>
        <w:rPr>
          <w:rFonts w:eastAsia="Times New Roman" w:asciiTheme="majorHAnsi" w:hAnsiTheme="majorHAnsi" w:cstheme="majorHAnsi"/>
          <w:lang w:eastAsia="ru-RU"/>
        </w:rPr>
        <w:t>If the Group determines that a financial asset is credit-impaired, the asset is transferred to Stage 3 and its ECL is measured as a lifetime ECL.</w:t>
      </w:r>
    </w:p>
    <w:p w:rsidR="009534E2" w:rsidRDefault="003369EB">
      <w:pPr>
        <w:pStyle w:val="BodyText"/>
        <w:spacing w:after="180"/>
        <w:rPr>
          <w:rFonts w:eastAsia="Times New Roman" w:asciiTheme="majorHAnsi" w:hAnsiTheme="majorHAnsi" w:cstheme="majorHAnsi"/>
          <w:lang w:eastAsia="ru-RU"/>
        </w:rPr>
      </w:pPr>
      <w:r>
        <w:rPr>
          <w:rFonts w:eastAsia="Times New Roman" w:asciiTheme="majorHAnsi" w:hAnsiTheme="majorHAnsi" w:cstheme="majorHAnsi"/>
          <w:lang w:eastAsia="ru-RU"/>
        </w:rPr>
        <w:t>For financial assets that are credit-impaired on purchase or at origination, the ECL is always measured at a lifetime ECL. Note 30 provides information about inputs, assumptions and estimation techniques used in measuring ECL, including an explanation of how the Group incorporates forward-looking information in the ECL models.</w:t>
      </w:r>
    </w:p>
    <w:p w:rsidR="009534E2" w:rsidRDefault="003369EB">
      <w:pPr>
        <w:pStyle w:val="Heading1"/>
        <w:spacing w:after="180"/>
        <w:ind w:left="562" w:hanging="562"/>
        <w:rPr>
          <w:i/>
          <w:lang w:eastAsia="ru-RU"/>
        </w:rPr>
      </w:pPr>
      <w:r>
        <w:rPr>
          <w:i/>
          <w:lang w:eastAsia="ru-RU"/>
        </w:rPr>
        <w:t>3.7.4</w:t>
      </w:r>
      <w:r>
        <w:rPr>
          <w:i/>
          <w:lang w:eastAsia="ru-RU"/>
        </w:rPr>
        <w:tab/>
        <w:t>Derecognition</w:t>
      </w:r>
    </w:p>
    <w:p w:rsidR="009534E2" w:rsidRDefault="003369EB">
      <w:pPr>
        <w:pStyle w:val="BodyText"/>
        <w:keepNext/>
        <w:rPr>
          <w:rFonts w:eastAsia="Times New Roman" w:asciiTheme="majorHAnsi" w:hAnsiTheme="majorHAnsi" w:cstheme="majorHAnsi"/>
        </w:rPr>
      </w:pPr>
      <w:r>
        <w:rPr>
          <w:rFonts w:eastAsia="Times New Roman" w:asciiTheme="majorHAnsi" w:hAnsiTheme="majorHAnsi" w:cstheme="majorHAnsi"/>
        </w:rPr>
        <w:t>A financial asset (or, where applicable a part of a financial asset or part of a group of similar financial assets) is derecognized when:</w:t>
      </w:r>
    </w:p>
    <w:p w:rsidR="009534E2" w:rsidRDefault="003369EB">
      <w:pPr>
        <w:pStyle w:val="BodyText"/>
        <w:numPr>
          <w:ilvl w:val="0"/>
          <w:numId w:val="56"/>
        </w:numPr>
        <w:spacing w:after="0"/>
        <w:ind w:left="360"/>
        <w:rPr>
          <w:rFonts w:eastAsia="Times New Roman" w:asciiTheme="majorHAnsi" w:hAnsiTheme="majorHAnsi" w:cstheme="majorHAnsi"/>
        </w:rPr>
      </w:pPr>
      <w:r>
        <w:rPr>
          <w:rFonts w:eastAsia="Times New Roman" w:asciiTheme="majorHAnsi" w:hAnsiTheme="majorHAnsi" w:cstheme="majorHAnsi"/>
        </w:rPr>
        <w:t>The rights to receive cash flows from the asset have expired</w:t>
      </w:r>
    </w:p>
    <w:p w:rsidR="009534E2" w:rsidRDefault="003369EB">
      <w:pPr>
        <w:pStyle w:val="BodyText"/>
        <w:numPr>
          <w:ilvl w:val="0"/>
          <w:numId w:val="56"/>
        </w:numPr>
        <w:ind w:left="360"/>
        <w:rPr>
          <w:rFonts w:eastAsia="Times New Roman" w:asciiTheme="majorHAnsi" w:hAnsiTheme="majorHAnsi" w:cstheme="majorHAnsi"/>
        </w:rPr>
      </w:pPr>
      <w:r>
        <w:rPr>
          <w:rFonts w:eastAsia="Times New Roman" w:asciiTheme="majorHAnsi" w:hAnsiTheme="majorHAnsi" w:cstheme="majorHAnsi"/>
        </w:rPr>
        <w:t>The Group has transferred its rights to receive cash flows from the asset or has assumed an obligation to pay the received cash flows in full without material delay to a third party under a ‘pass-through’ arrangement; and either (a) the Group has transferred substantially all the risks and rewards of the asset, or (b) the Group has neither transferred nor retained substantially all the risks and rewards of the asset, but has transferred control of the asset.</w:t>
      </w:r>
    </w:p>
    <w:p w:rsidR="009534E2" w:rsidRDefault="003369EB">
      <w:pPr>
        <w:pStyle w:val="BodyText"/>
        <w:spacing w:after="0"/>
        <w:rPr>
          <w:rFonts w:eastAsia="Times New Roman" w:asciiTheme="majorHAnsi" w:hAnsiTheme="majorHAnsi" w:cstheme="majorHAnsi"/>
        </w:rPr>
      </w:pPr>
      <w:r>
        <w:rPr>
          <w:rFonts w:eastAsia="Times New Roman" w:asciiTheme="majorHAnsi" w:hAnsiTheme="majorHAnsi" w:cstheme="majorHAnsi"/>
        </w:rPr>
        <w:t>When the Group has transferred its rights to receive cash flows from an asset or has entered into a pass-through arrangement, and has neither transferred nor retained substantially all of the risks and rewards of the asset nor transferred control of the asset, the asset is recognized to the extent of the Group’s continuing involvement in the asset.</w:t>
      </w:r>
      <w:bookmarkEnd w:id="1266"/>
    </w:p>
    <w:bookmarkEnd w:id="1267"/>
    <w:p w:rsidR="009534E2" w:rsidRDefault="003369EB">
      <w:pPr>
        <w:pStyle w:val="BodyText"/>
        <w:spacing w:after="0"/>
        <w:rPr>
          <w:rFonts w:asciiTheme="majorHAnsi" w:hAnsiTheme="majorHAnsi" w:eastAsiaTheme="majorEastAsia" w:cstheme="majorHAnsi"/>
          <w:b/>
          <w:bCs/>
          <w:iCs/>
          <w:sz w:val="4"/>
          <w:szCs w:val="4"/>
        </w:rPr>
      </w:pPr>
      <w:r>
        <w:rPr>
          <w:rFonts w:asciiTheme="majorHAnsi" w:hAnsiTheme="majorHAnsi" w:cstheme="majorHAnsi"/>
          <w:b/>
          <w:bCs/>
          <w:i/>
          <w:iCs/>
          <w:sz w:val="4"/>
          <w:szCs w:val="4"/>
        </w:rPr>
        <w:br w:type="page"/>
      </w:r>
    </w:p>
    <w:p w:rsidR="009534E2" w:rsidRDefault="003369EB">
      <w:pPr>
        <w:pStyle w:val="Heading2"/>
        <w:ind w:left="360" w:hanging="360"/>
        <w:rPr>
          <w:b/>
          <w:bCs/>
          <w:i w:val="0"/>
          <w:iCs/>
        </w:rPr>
      </w:pPr>
      <w:r>
        <w:rPr>
          <w:b/>
          <w:bCs/>
          <w:i w:val="0"/>
          <w:iCs/>
        </w:rPr>
        <w:t>3.</w:t>
      </w:r>
      <w:r>
        <w:rPr>
          <w:b/>
          <w:bCs/>
          <w:i w:val="0"/>
          <w:iCs/>
        </w:rPr>
        <w:tab/>
        <w:t>Summary of significant accounting policies (continued)</w:t>
      </w:r>
    </w:p>
    <w:p w:rsidR="009534E2" w:rsidRDefault="003369EB">
      <w:pPr>
        <w:pStyle w:val="BodyText"/>
        <w:keepNext/>
        <w:keepLines/>
        <w:spacing w:after="0"/>
        <w:ind w:left="562" w:hanging="562"/>
        <w:rPr>
          <w:rFonts w:eastAsia="Times New Roman" w:asciiTheme="majorHAnsi" w:hAnsiTheme="majorHAnsi" w:cstheme="majorHAnsi"/>
          <w:b/>
          <w:bCs/>
          <w:lang w:eastAsia="ru-RU"/>
        </w:rPr>
      </w:pPr>
      <w:r>
        <w:rPr>
          <w:rFonts w:asciiTheme="majorHAnsi" w:hAnsiTheme="majorHAnsi" w:cstheme="majorHAnsi"/>
          <w:b/>
          <w:bCs/>
        </w:rPr>
        <w:t>3.7</w:t>
      </w:r>
      <w:r>
        <w:rPr>
          <w:rFonts w:asciiTheme="majorHAnsi" w:hAnsiTheme="majorHAnsi" w:cstheme="majorHAnsi"/>
          <w:b/>
          <w:bCs/>
        </w:rPr>
        <w:tab/>
        <w:t xml:space="preserve">Financial assets </w:t>
      </w:r>
      <w:r>
        <w:rPr>
          <w:rFonts w:eastAsia="Times New Roman" w:asciiTheme="majorHAnsi" w:hAnsiTheme="majorHAnsi" w:cstheme="majorHAnsi"/>
          <w:b/>
          <w:bCs/>
          <w:lang w:eastAsia="ru-RU"/>
        </w:rPr>
        <w:t>(continued)</w:t>
      </w:r>
    </w:p>
    <w:p w:rsidR="009534E2" w:rsidRDefault="009534E2">
      <w:pPr>
        <w:pStyle w:val="BodyText"/>
        <w:keepNext/>
        <w:keepLines/>
        <w:spacing w:after="0"/>
        <w:ind w:left="562" w:hanging="562"/>
        <w:rPr>
          <w:rFonts w:asciiTheme="majorHAnsi" w:hAnsiTheme="majorHAnsi" w:cstheme="majorHAnsi"/>
          <w:b/>
          <w:bCs/>
          <w:sz w:val="18"/>
        </w:rPr>
      </w:pPr>
    </w:p>
    <w:p w:rsidR="009534E2" w:rsidRDefault="003369EB">
      <w:pPr>
        <w:pStyle w:val="BodyText"/>
        <w:keepNext/>
        <w:keepLines/>
        <w:ind w:left="562" w:hanging="562"/>
        <w:rPr>
          <w:rFonts w:eastAsia="Times New Roman" w:asciiTheme="majorHAnsi" w:hAnsiTheme="majorHAnsi" w:cstheme="majorHAnsi"/>
          <w:b/>
          <w:bCs/>
          <w:i/>
          <w:iCs/>
        </w:rPr>
      </w:pPr>
      <w:bookmarkStart w:name="_e3659930_c440_482b_b61f_fd8a9e08a186" w:id="1269"/>
      <w:r>
        <w:rPr>
          <w:rFonts w:eastAsia="Times New Roman" w:asciiTheme="majorHAnsi" w:hAnsiTheme="majorHAnsi" w:cstheme="majorHAnsi"/>
          <w:b/>
          <w:bCs/>
          <w:i/>
          <w:iCs/>
        </w:rPr>
        <w:t>3.7.4</w:t>
      </w:r>
      <w:r>
        <w:rPr>
          <w:rFonts w:eastAsia="Times New Roman" w:asciiTheme="majorHAnsi" w:hAnsiTheme="majorHAnsi" w:cstheme="majorHAnsi"/>
          <w:b/>
          <w:bCs/>
          <w:i/>
          <w:iCs/>
        </w:rPr>
        <w:tab/>
        <w:t>Derecognition (continued)</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In that case, the Group also recognizes an associated liability. The transferred asset and the associated liability are measured on a basis that reflects the rights and obligations that the Group has retained.</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Continuing involvement that takes the form of a guarantee over the transferred asset is measured at the lower of the original carrying amount of the asset and the maximum amount of consideration that the Group could be required to repay.</w:t>
      </w:r>
    </w:p>
    <w:p w:rsidR="009534E2" w:rsidRDefault="003369EB">
      <w:pPr>
        <w:pStyle w:val="Heading1"/>
        <w:ind w:left="360" w:hanging="360"/>
      </w:pPr>
      <w:bookmarkStart w:name="_f4731556_e4bf_4fa8_9d33_2f94599ffd15" w:id="1270"/>
      <w:bookmarkStart w:name="_b49789ff_189f_4da4_afbe_b8e169d7a837" w:id="1271"/>
      <w:bookmarkStart w:name="_7d274200_07bc_438b_b103_68cfa69a8db1" w:id="1272"/>
      <w:bookmarkEnd w:id="1260"/>
      <w:bookmarkEnd w:id="1261"/>
      <w:bookmarkEnd w:id="1269"/>
      <w:r>
        <w:t>3.8</w:t>
      </w:r>
      <w:r>
        <w:tab/>
        <w:t>Financial liabilities</w:t>
      </w:r>
    </w:p>
    <w:p w:rsidR="009534E2" w:rsidRDefault="003369EB">
      <w:pPr>
        <w:pStyle w:val="Heading1"/>
        <w:ind w:left="562" w:hanging="562"/>
        <w:rPr>
          <w:i/>
          <w:lang w:eastAsia="ru-RU"/>
        </w:rPr>
      </w:pPr>
      <w:r>
        <w:rPr>
          <w:i/>
          <w:lang w:eastAsia="ru-RU"/>
        </w:rPr>
        <w:t>3.8.1 Initial recognition and measurement</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All financial liabilities are recognised initially at fair value, minus, in the case of financial liability not at fair value through profit or loss, transaction costs that are directly attributable to issue of financial liability.</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Group classifies all financial liabilities as subsequently measured at amortised cost (trade and other payables, debt, deposits, customer accounts and amounts due to banks), except for financial liabilities at fair value through profit or loss and financial guarantees.</w:t>
      </w:r>
    </w:p>
    <w:p w:rsidR="009534E2" w:rsidRDefault="003369EB">
      <w:pPr>
        <w:pStyle w:val="Heading1"/>
        <w:ind w:left="562" w:hanging="562"/>
        <w:rPr>
          <w:i/>
          <w:lang w:eastAsia="ru-RU"/>
        </w:rPr>
      </w:pPr>
      <w:r>
        <w:rPr>
          <w:i/>
          <w:lang w:eastAsia="ru-RU"/>
        </w:rPr>
        <w:t>3.8.2 Subsequent measurement</w:t>
      </w:r>
    </w:p>
    <w:p w:rsidR="009534E2" w:rsidRDefault="003369EB">
      <w:pPr>
        <w:pStyle w:val="BodyText"/>
        <w:keepNext/>
        <w:rPr>
          <w:rFonts w:eastAsia="Times New Roman" w:asciiTheme="majorHAnsi" w:hAnsiTheme="majorHAnsi" w:cstheme="majorHAnsi"/>
          <w:lang w:eastAsia="ru-RU"/>
        </w:rPr>
      </w:pPr>
      <w:r>
        <w:rPr>
          <w:rFonts w:eastAsia="Times New Roman" w:asciiTheme="majorHAnsi" w:hAnsiTheme="majorHAnsi" w:cstheme="majorHAnsi"/>
          <w:lang w:eastAsia="ru-RU"/>
        </w:rPr>
        <w:t>The measurement of financial liabilities depends on their classification, as described below:</w:t>
      </w:r>
    </w:p>
    <w:p w:rsidR="009534E2" w:rsidRDefault="003369EB">
      <w:pPr>
        <w:pStyle w:val="Heading2"/>
        <w:rPr>
          <w:lang w:eastAsia="ru-RU"/>
        </w:rPr>
      </w:pPr>
      <w:r>
        <w:rPr>
          <w:lang w:eastAsia="ru-RU"/>
        </w:rPr>
        <w:t>Financial liabilities at fair value through profit or loss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Financial liabilities at fair value through profit or loss include financial liabilities held for trading and financial liabilities designated upon initial recognition as at fair value through profit or loss. The Group has no such instruments.</w:t>
      </w:r>
    </w:p>
    <w:p w:rsidR="009534E2" w:rsidRDefault="003369EB">
      <w:pPr>
        <w:pStyle w:val="Heading2"/>
        <w:rPr>
          <w:lang w:eastAsia="ru-RU"/>
        </w:rPr>
      </w:pPr>
      <w:r>
        <w:rPr>
          <w:lang w:eastAsia="ru-RU"/>
        </w:rPr>
        <w:t>Debt and deposits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This is the category most relevant to the Group. After initial recognition, interest-bearing loans and borrowings are subsequently measured at amortised cost using the EIR method. Gains and losses are recognised in profit or loss when the liabilities are derecognised as well as through the EIR amortisation process.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Amortised cost is calculated by taking into account any discount or premium on acquisition and fees or transaction costs that are an integral part of the EIR. The EIR amortisation is included as finance costs in the profit or loss section of the consolidated statement of comprehensive income.</w:t>
      </w:r>
    </w:p>
    <w:p w:rsidR="009534E2" w:rsidRDefault="003369EB">
      <w:pPr>
        <w:pStyle w:val="Heading2"/>
        <w:rPr>
          <w:lang w:eastAsia="ru-RU"/>
        </w:rPr>
      </w:pPr>
      <w:r>
        <w:rPr>
          <w:lang w:eastAsia="ru-RU"/>
        </w:rPr>
        <w:t>Financial guarantees</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Subsequent to initial recognition, the Group’s liability under each guarantee is measured at the higher of the commissions initially recognised less the cumulative amount of income recognised in the the consolidated statement of comprehensive income, and an ECL allowance. The commissions received is recognised in the consolidated statement of comprehensive income in other revenue on a straight line basis over the life of the guarantee.</w:t>
      </w:r>
    </w:p>
    <w:p w:rsidR="009534E2" w:rsidRDefault="003369EB">
      <w:pPr>
        <w:pStyle w:val="BodyText"/>
        <w:keepNext/>
        <w:keepLines/>
        <w:rPr>
          <w:rFonts w:eastAsia="Times New Roman" w:asciiTheme="majorHAnsi" w:hAnsiTheme="majorHAnsi" w:cstheme="majorHAnsi"/>
          <w:i/>
        </w:rPr>
      </w:pPr>
      <w:r>
        <w:rPr>
          <w:rFonts w:eastAsia="Times New Roman" w:asciiTheme="majorHAnsi" w:hAnsiTheme="majorHAnsi" w:cstheme="majorHAnsi"/>
          <w:i/>
        </w:rPr>
        <w:t>Undrawn loan commitments</w:t>
      </w:r>
    </w:p>
    <w:p w:rsidR="009534E2" w:rsidRDefault="003369EB">
      <w:pPr>
        <w:pStyle w:val="BodyText"/>
        <w:spacing w:after="0"/>
        <w:rPr>
          <w:rFonts w:eastAsia="Times New Roman" w:asciiTheme="majorHAnsi" w:hAnsiTheme="majorHAnsi" w:cstheme="majorHAnsi"/>
        </w:rPr>
      </w:pPr>
      <w:r>
        <w:rPr>
          <w:rFonts w:eastAsia="Times New Roman" w:asciiTheme="majorHAnsi" w:hAnsiTheme="majorHAnsi" w:cstheme="majorHAnsi"/>
        </w:rPr>
        <w:t>Undrawn loan commitments are commitments under which, over the duration of the commitment, the Group is required to provide a loan with pre-specified terms to the customer. Commitments to provide loans are initially recognised at their fair value, which is normally evidenced by the amount of fees received. At the end of each reporting period, the commitments are measured at the amount of the loss allowance determined based on the expected credit loss model. For loan commitments (where those components can be separated from the loan), a separate provision for ECL is recognised as a liability in the consolidated statement of financial position.</w:t>
      </w:r>
    </w:p>
    <w:bookmarkEnd w:id="1270"/>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br w:type="page"/>
      </w:r>
    </w:p>
    <w:p w:rsidR="009534E2" w:rsidRDefault="003369EB">
      <w:pPr>
        <w:pStyle w:val="Heading1"/>
        <w:ind w:left="360" w:hanging="360"/>
      </w:pPr>
      <w:r>
        <w:rPr>
          <w:lang w:eastAsia="ru-RU"/>
        </w:rPr>
        <w:t>3.</w:t>
      </w:r>
      <w:r>
        <w:rPr>
          <w:lang w:eastAsia="ru-RU"/>
        </w:rPr>
        <w:tab/>
      </w:r>
      <w:r>
        <w:t>Summary of significant accounting policies (continued)</w:t>
      </w:r>
    </w:p>
    <w:p w:rsidR="009534E2" w:rsidRDefault="003369EB">
      <w:pPr>
        <w:pStyle w:val="Heading1"/>
        <w:ind w:left="562" w:hanging="562"/>
      </w:pPr>
      <w:r>
        <w:t>3.8</w:t>
      </w:r>
      <w:r>
        <w:tab/>
        <w:t>Financial liabilities (continued)</w:t>
      </w:r>
    </w:p>
    <w:p w:rsidR="009534E2" w:rsidRDefault="003369EB">
      <w:pPr>
        <w:pStyle w:val="Heading1"/>
        <w:ind w:left="562" w:hanging="562"/>
        <w:rPr>
          <w:i/>
          <w:lang w:eastAsia="ru-RU"/>
        </w:rPr>
      </w:pPr>
      <w:bookmarkStart w:name="_dd51f9bb_af3e_444b_9312_eadac098f399" w:id="1273"/>
      <w:r>
        <w:rPr>
          <w:i/>
          <w:lang w:eastAsia="ru-RU"/>
        </w:rPr>
        <w:t>3.8.3 Derecognition</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A financial liability is derecognized when the obligation under the liability is discharged or cancelled or expires. Where an existing financial liability is replaced by another from the same lender on substantially different terms, or the terms of an existing liability are substantially modified, such an exchange or modification is treated as a derecognition of the original liability and the recognition of a new liability, and the difference in the respective carrying amounts is recognized in profit or loss.</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In accordance with terms and conditions of use of e-wallet accounts and system rules, the Group charges a fee on its consumers on the balance of unused accounts after certain period of inactivity and unclaimed payments. Such fees are recorded as revenues in the period a fee is charged.</w:t>
      </w:r>
    </w:p>
    <w:p w:rsidR="009534E2" w:rsidRDefault="003369EB">
      <w:pPr>
        <w:pStyle w:val="Heading1"/>
        <w:ind w:left="562" w:hanging="562"/>
        <w:rPr>
          <w:i/>
          <w:lang w:eastAsia="ru-RU"/>
        </w:rPr>
      </w:pPr>
      <w:r>
        <w:rPr>
          <w:i/>
          <w:lang w:eastAsia="ru-RU"/>
        </w:rPr>
        <w:t>3.8.4 Offsetting financial assets and liabilities</w:t>
      </w:r>
    </w:p>
    <w:p w:rsidR="009534E2" w:rsidRDefault="003369EB">
      <w:pPr>
        <w:pStyle w:val="BodyText"/>
        <w:keepNext/>
        <w:rPr>
          <w:rFonts w:eastAsia="Times New Roman" w:asciiTheme="majorHAnsi" w:hAnsiTheme="majorHAnsi" w:cstheme="majorHAnsi"/>
        </w:rPr>
      </w:pPr>
      <w:r>
        <w:rPr>
          <w:rFonts w:eastAsia="Times New Roman" w:asciiTheme="majorHAnsi" w:hAnsiTheme="majorHAnsi" w:cstheme="majorHAnsi"/>
        </w:rPr>
        <w:t>Financial assets and financial liabilities are offset and the net amount reported in the consolidated statement of financial position if, and only if:</w:t>
      </w:r>
    </w:p>
    <w:p w:rsidR="009534E2" w:rsidRDefault="003369EB">
      <w:pPr>
        <w:pStyle w:val="BodyText"/>
        <w:numPr>
          <w:ilvl w:val="0"/>
          <w:numId w:val="57"/>
        </w:numPr>
        <w:spacing w:after="0"/>
        <w:ind w:left="360"/>
        <w:rPr>
          <w:rFonts w:eastAsia="Times New Roman" w:asciiTheme="majorHAnsi" w:hAnsiTheme="majorHAnsi" w:cstheme="majorHAnsi"/>
        </w:rPr>
      </w:pPr>
      <w:r>
        <w:rPr>
          <w:rFonts w:eastAsia="Times New Roman" w:asciiTheme="majorHAnsi" w:hAnsiTheme="majorHAnsi" w:cstheme="majorHAnsi"/>
        </w:rPr>
        <w:t>There is a currently enforceable legal right to offset the recognized amounts; and</w:t>
      </w:r>
    </w:p>
    <w:p w:rsidR="009534E2" w:rsidRDefault="003369EB">
      <w:pPr>
        <w:pStyle w:val="BodyText"/>
        <w:numPr>
          <w:ilvl w:val="0"/>
          <w:numId w:val="57"/>
        </w:numPr>
        <w:spacing w:after="0"/>
        <w:ind w:left="360"/>
        <w:rPr>
          <w:rFonts w:eastAsia="Times New Roman" w:asciiTheme="majorHAnsi" w:hAnsiTheme="majorHAnsi" w:cstheme="majorHAnsi"/>
        </w:rPr>
      </w:pPr>
      <w:r>
        <w:rPr>
          <w:rFonts w:eastAsia="Times New Roman" w:asciiTheme="majorHAnsi" w:hAnsiTheme="majorHAnsi" w:cstheme="majorHAnsi"/>
        </w:rPr>
        <w:t>There is an intention to settle on a net basis, or to realize the assets and settle the liabilities simultaneously.</w:t>
      </w:r>
    </w:p>
    <w:p w:rsidR="009534E2" w:rsidRDefault="003369EB">
      <w:pPr>
        <w:pStyle w:val="BodyText"/>
        <w:numPr>
          <w:ilvl w:val="0"/>
          <w:numId w:val="57"/>
        </w:numPr>
        <w:spacing w:after="0"/>
        <w:ind w:left="360"/>
        <w:rPr>
          <w:rFonts w:eastAsia="Times New Roman" w:asciiTheme="majorHAnsi" w:hAnsiTheme="majorHAnsi" w:cstheme="majorHAnsi"/>
          <w:lang w:eastAsia="ru-RU"/>
        </w:rPr>
      </w:pPr>
      <w:r>
        <w:rPr>
          <w:rFonts w:eastAsia="Times New Roman" w:asciiTheme="majorHAnsi" w:hAnsiTheme="majorHAnsi" w:cstheme="majorHAnsi"/>
          <w:lang w:eastAsia="ru-RU"/>
        </w:rPr>
        <w:t>The right of set-off:</w:t>
      </w:r>
    </w:p>
    <w:p w:rsidR="009534E2" w:rsidRDefault="003369EB">
      <w:pPr>
        <w:pStyle w:val="BodyText"/>
        <w:numPr>
          <w:ilvl w:val="0"/>
          <w:numId w:val="57"/>
        </w:numPr>
        <w:ind w:left="360"/>
        <w:rPr>
          <w:rFonts w:eastAsia="Times New Roman" w:asciiTheme="majorHAnsi" w:hAnsiTheme="majorHAnsi" w:cstheme="majorHAnsi"/>
          <w:lang w:eastAsia="ru-RU"/>
        </w:rPr>
      </w:pPr>
      <w:r>
        <w:rPr>
          <w:rFonts w:eastAsia="Times New Roman" w:asciiTheme="majorHAnsi" w:hAnsiTheme="majorHAnsi" w:cstheme="majorHAnsi"/>
          <w:lang w:eastAsia="ru-RU"/>
        </w:rPr>
        <w:t>Must not be contingent on a future event; and</w:t>
      </w:r>
    </w:p>
    <w:p w:rsidR="009534E2" w:rsidRDefault="003369EB">
      <w:pPr>
        <w:pStyle w:val="BodyText"/>
        <w:keepNext/>
        <w:rPr>
          <w:rFonts w:eastAsia="Times New Roman" w:asciiTheme="majorHAnsi" w:hAnsiTheme="majorHAnsi" w:cstheme="majorHAnsi"/>
          <w:lang w:eastAsia="ru-RU"/>
        </w:rPr>
      </w:pPr>
      <w:r>
        <w:rPr>
          <w:rFonts w:eastAsia="Times New Roman" w:asciiTheme="majorHAnsi" w:hAnsiTheme="majorHAnsi" w:cstheme="majorHAnsi"/>
          <w:lang w:eastAsia="ru-RU"/>
        </w:rPr>
        <w:t>Must be legally enforceable in all of the following circumstances:</w:t>
      </w:r>
    </w:p>
    <w:p w:rsidR="009534E2" w:rsidRDefault="003369EB">
      <w:pPr>
        <w:pStyle w:val="ListParagraph"/>
        <w:numPr>
          <w:ilvl w:val="0"/>
          <w:numId w:val="27"/>
        </w:numPr>
        <w:ind w:left="360"/>
        <w:rPr>
          <w:rFonts w:eastAsia="Times New Roman" w:asciiTheme="majorHAnsi" w:hAnsiTheme="majorHAnsi" w:cstheme="majorHAnsi"/>
          <w:lang w:eastAsia="ru-RU"/>
        </w:rPr>
      </w:pPr>
      <w:r>
        <w:rPr>
          <w:rFonts w:eastAsia="Times New Roman" w:asciiTheme="majorHAnsi" w:hAnsiTheme="majorHAnsi" w:cstheme="majorHAnsi"/>
          <w:lang w:eastAsia="ru-RU"/>
        </w:rPr>
        <w:t>the normal course of business;</w:t>
      </w:r>
    </w:p>
    <w:p w:rsidR="009534E2" w:rsidRDefault="003369EB">
      <w:pPr>
        <w:pStyle w:val="ListParagraph"/>
        <w:numPr>
          <w:ilvl w:val="0"/>
          <w:numId w:val="27"/>
        </w:numPr>
        <w:ind w:left="360"/>
        <w:rPr>
          <w:rFonts w:eastAsia="Times New Roman" w:asciiTheme="majorHAnsi" w:hAnsiTheme="majorHAnsi" w:cstheme="majorHAnsi"/>
          <w:lang w:eastAsia="ru-RU"/>
        </w:rPr>
      </w:pPr>
      <w:r>
        <w:rPr>
          <w:rFonts w:eastAsia="Times New Roman" w:asciiTheme="majorHAnsi" w:hAnsiTheme="majorHAnsi" w:cstheme="majorHAnsi"/>
          <w:lang w:eastAsia="ru-RU"/>
        </w:rPr>
        <w:t>the event of default; and</w:t>
      </w:r>
    </w:p>
    <w:p w:rsidR="009534E2" w:rsidRDefault="003369EB">
      <w:pPr>
        <w:pStyle w:val="ListParagraph"/>
        <w:numPr>
          <w:ilvl w:val="0"/>
          <w:numId w:val="27"/>
        </w:numPr>
        <w:spacing w:after="200"/>
        <w:ind w:left="360"/>
        <w:rPr>
          <w:rFonts w:eastAsia="Times New Roman" w:asciiTheme="majorHAnsi" w:hAnsiTheme="majorHAnsi" w:cstheme="majorHAnsi"/>
          <w:lang w:eastAsia="ru-RU"/>
        </w:rPr>
      </w:pPr>
      <w:r>
        <w:rPr>
          <w:rFonts w:eastAsia="Times New Roman" w:asciiTheme="majorHAnsi" w:hAnsiTheme="majorHAnsi" w:cstheme="majorHAnsi"/>
          <w:lang w:eastAsia="ru-RU"/>
        </w:rPr>
        <w:t>the event of insolvency or bankruptcy of the entity and all of the counterparties</w:t>
      </w:r>
      <w:bookmarkEnd w:id="1268"/>
      <w:bookmarkEnd w:id="1271"/>
      <w:bookmarkEnd w:id="1273"/>
    </w:p>
    <w:p w:rsidR="009534E2" w:rsidRDefault="003369EB">
      <w:pPr>
        <w:keepNext/>
        <w:keepLines/>
        <w:spacing w:after="200"/>
        <w:ind w:left="360" w:hanging="360"/>
        <w:outlineLvl w:val="0"/>
        <w:rPr>
          <w:rFonts w:eastAsia="Times New Roman" w:asciiTheme="majorHAnsi" w:hAnsiTheme="majorHAnsi" w:cstheme="majorHAnsi"/>
          <w:b/>
        </w:rPr>
      </w:pPr>
      <w:bookmarkStart w:name="_1c4b6dcd_9dbb_4ee8_bd98_25a021f82d0a" w:id="1274"/>
      <w:bookmarkEnd w:id="1272"/>
      <w:r>
        <w:rPr>
          <w:rFonts w:eastAsia="Times New Roman" w:asciiTheme="majorHAnsi" w:hAnsiTheme="majorHAnsi" w:cstheme="majorHAnsi"/>
          <w:b/>
        </w:rPr>
        <w:t>3.9</w:t>
      </w:r>
      <w:r>
        <w:rPr>
          <w:rFonts w:eastAsia="Times New Roman" w:asciiTheme="majorHAnsi" w:hAnsiTheme="majorHAnsi" w:cstheme="majorHAnsi"/>
          <w:b/>
        </w:rPr>
        <w:tab/>
        <w:t>Cash and cash equivalents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Cash comprises cash at banks and in hand and short-term deposits with an original maturity of three months or less and are included as a component of cash and cash equivalents for the purpose of the consolidated statement of financial position and consolidated statement of cash flows.</w:t>
      </w:r>
    </w:p>
    <w:p w:rsidR="009534E2" w:rsidRDefault="003369EB">
      <w:pPr>
        <w:pStyle w:val="Heading1"/>
        <w:ind w:left="540" w:hanging="540"/>
      </w:pPr>
      <w:bookmarkStart w:name="_eee75356_2e09_4edb_b900_2af36a456c03" w:id="1275"/>
      <w:bookmarkStart w:name="_2723b809_5651_4bff_8c0c_1e055ba100a0" w:id="1276"/>
      <w:bookmarkEnd w:id="1274"/>
      <w:r>
        <w:t>3.10</w:t>
      </w:r>
      <w:r>
        <w:tab/>
        <w:t>Employee benefits</w:t>
      </w:r>
    </w:p>
    <w:p w:rsidR="009534E2" w:rsidRDefault="003369EB">
      <w:pPr>
        <w:pStyle w:val="Heading1"/>
        <w:ind w:left="562" w:hanging="562"/>
        <w:rPr>
          <w:lang w:eastAsia="ru-RU"/>
        </w:rPr>
      </w:pPr>
      <w:r>
        <w:rPr>
          <w:i/>
          <w:lang w:eastAsia="ru-RU"/>
        </w:rPr>
        <w:t>3.10.1 Personnel expenses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Wages and salaries paid to employees are recognized as expenses in the current year. The Group also accrues expenses for future vacation payments and short-term or long-term employee bonuses.</w:t>
      </w:r>
    </w:p>
    <w:p w:rsidR="009534E2" w:rsidRDefault="003369EB">
      <w:pPr>
        <w:pStyle w:val="Heading1"/>
        <w:ind w:left="562" w:hanging="562"/>
        <w:rPr>
          <w:i/>
          <w:lang w:eastAsia="ru-RU"/>
        </w:rPr>
      </w:pPr>
      <w:r>
        <w:rPr>
          <w:i/>
          <w:lang w:eastAsia="ru-RU"/>
        </w:rPr>
        <w:t>3.10.2 Social contributions and defined contributions to pension fund</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Under provisions of the Russian legislation, social contributions include defined contributions to pension and other social funds of Russia and are calculated by the Group by the application of a regressive rate (from </w:t>
      </w:r>
      <w:bookmarkStart w:name="_f94cc4c8_e817_42fe_9549_0f401df483e1" w:id="1277"/>
      <w:r>
        <w:rPr>
          <w:rFonts w:eastAsia="Times New Roman" w:asciiTheme="majorHAnsi" w:hAnsiTheme="majorHAnsi" w:cstheme="majorHAnsi"/>
          <w:lang w:eastAsia="ru-RU"/>
        </w:rPr>
        <w:t>30%</w:t>
      </w:r>
      <w:bookmarkEnd w:id="1277"/>
      <w:r>
        <w:rPr>
          <w:rFonts w:eastAsia="Times New Roman" w:asciiTheme="majorHAnsi" w:hAnsiTheme="majorHAnsi" w:cstheme="majorHAnsi"/>
          <w:lang w:eastAsia="ru-RU"/>
        </w:rPr>
        <w:t xml:space="preserve"> to </w:t>
      </w:r>
      <w:bookmarkStart w:name="_16048b2b_b4df_4ecf_a2ed_e47d2c3ee742" w:id="1278"/>
      <w:r>
        <w:rPr>
          <w:rFonts w:eastAsia="Times New Roman" w:asciiTheme="majorHAnsi" w:hAnsiTheme="majorHAnsi" w:cstheme="majorHAnsi"/>
          <w:lang w:eastAsia="ru-RU"/>
        </w:rPr>
        <w:t>15%</w:t>
      </w:r>
      <w:bookmarkEnd w:id="1278"/>
      <w:r>
        <w:rPr>
          <w:rFonts w:eastAsia="Times New Roman" w:asciiTheme="majorHAnsi" w:hAnsiTheme="majorHAnsi" w:cstheme="majorHAnsi"/>
          <w:lang w:eastAsia="ru-RU"/>
        </w:rPr>
        <w:t xml:space="preserve"> in 2022, 2021 and 2020) to the annual gross remuneration of each employee. For the year ended December 31, 2022 defined contributions to pension funds of Russia of the Group amounted to </w:t>
      </w:r>
      <w:bookmarkStart w:name="_f77c21ec_ebd0_4c46_9574_120082fa77e5" w:id="1279"/>
      <w:r>
        <w:rPr>
          <w:rFonts w:eastAsia="Times New Roman" w:asciiTheme="majorHAnsi" w:hAnsiTheme="majorHAnsi" w:cstheme="majorHAnsi"/>
          <w:lang w:eastAsia="ru-RU"/>
        </w:rPr>
        <w:t>749</w:t>
      </w:r>
      <w:bookmarkEnd w:id="1279"/>
      <w:r>
        <w:rPr>
          <w:rFonts w:eastAsia="Times New Roman" w:asciiTheme="majorHAnsi" w:hAnsiTheme="majorHAnsi" w:cstheme="majorHAnsi"/>
          <w:lang w:eastAsia="ru-RU"/>
        </w:rPr>
        <w:t xml:space="preserve"> (2021 – </w:t>
      </w:r>
      <w:bookmarkStart w:name="_9b4fa85d_47bd_4e93_9540_f88585c07846" w:id="1280"/>
      <w:r>
        <w:rPr>
          <w:rFonts w:eastAsia="Times New Roman" w:asciiTheme="majorHAnsi" w:hAnsiTheme="majorHAnsi" w:cstheme="majorHAnsi"/>
          <w:lang w:eastAsia="ru-RU"/>
        </w:rPr>
        <w:t>679</w:t>
      </w:r>
      <w:bookmarkEnd w:id="1280"/>
      <w:r>
        <w:rPr>
          <w:rFonts w:eastAsia="Times New Roman" w:asciiTheme="majorHAnsi" w:hAnsiTheme="majorHAnsi" w:cstheme="majorHAnsi"/>
          <w:lang w:eastAsia="ru-RU"/>
        </w:rPr>
        <w:t xml:space="preserve">; 2020 – </w:t>
      </w:r>
      <w:bookmarkStart w:name="_327a47c9_c695_4c1b_a79a_252249eed0e9" w:id="1281"/>
      <w:r>
        <w:rPr>
          <w:rFonts w:eastAsia="Times New Roman" w:asciiTheme="majorHAnsi" w:hAnsiTheme="majorHAnsi" w:cstheme="majorHAnsi"/>
          <w:lang w:eastAsia="ru-RU"/>
        </w:rPr>
        <w:t>861</w:t>
      </w:r>
      <w:bookmarkEnd w:id="1281"/>
      <w:r>
        <w:rPr>
          <w:rFonts w:eastAsia="Times New Roman" w:asciiTheme="majorHAnsi" w:hAnsiTheme="majorHAnsi" w:cstheme="majorHAnsi"/>
          <w:lang w:eastAsia="ru-RU"/>
        </w:rPr>
        <w:t>).</w:t>
      </w:r>
    </w:p>
    <w:bookmarkEnd w:id="1275"/>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Heading1"/>
        <w:ind w:left="360" w:hanging="360"/>
      </w:pPr>
      <w:bookmarkStart w:name="_4512ec1b_dfba_424c_9b05_663bb3ac19a3" w:id="1282"/>
      <w:r>
        <w:t>3.</w:t>
      </w:r>
      <w:r>
        <w:tab/>
        <w:t>Summary of significant accounting policies (continued)</w:t>
      </w:r>
    </w:p>
    <w:p w:rsidR="009534E2" w:rsidRDefault="003369EB">
      <w:pPr>
        <w:pStyle w:val="Heading1"/>
        <w:ind w:left="562" w:hanging="562"/>
      </w:pPr>
      <w:bookmarkStart w:name="_6df5ece8_b01c_4853_82cb_4ddfb1072055" w:id="1283"/>
      <w:bookmarkEnd w:id="1276"/>
      <w:r>
        <w:t>3.11</w:t>
      </w:r>
      <w:r>
        <w:tab/>
        <w:t>Provisions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Provisions are recognized when the Group has a present legal or constructive obligation as a result of past events, it is probable that an outflow of resources will be required to settle the obligation, and a reliable estimate of the amount can be made. Where the Group expects a provision to be reimbursed, for example under an insurance contract, the reimbursement is recognized as a separate asset but only when the reimbursement is virtually certain.</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If the effect of discounting is material, provisions are determined by discounting the expected value of future cash flows at a pre-tax rate that reflects current market assessments of the time value of money and, where appropriate, the risks specific to the liability. Where discounting is used, the increase in the provision due to the passage of time is recognized as an interest expense.</w:t>
      </w:r>
    </w:p>
    <w:p w:rsidR="009534E2" w:rsidRDefault="003369EB">
      <w:pPr>
        <w:pStyle w:val="BodyText"/>
        <w:keepNext/>
        <w:keepLines/>
        <w:rPr>
          <w:rFonts w:eastAsia="Times New Roman" w:asciiTheme="majorHAnsi" w:hAnsiTheme="majorHAnsi" w:cstheme="majorHAnsi"/>
          <w:i/>
          <w:lang w:eastAsia="ru-RU"/>
        </w:rPr>
      </w:pPr>
      <w:r>
        <w:rPr>
          <w:rFonts w:eastAsia="Times New Roman" w:asciiTheme="majorHAnsi" w:hAnsiTheme="majorHAnsi" w:cstheme="majorHAnsi"/>
          <w:i/>
          <w:lang w:eastAsia="ru-RU"/>
        </w:rPr>
        <w:t>Performance guarantees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Performance guarantees are contracts that provide compensation if another party fails to perform a contractual obligation. Performance guarantees are initially recognized at their fair value, which is usually equal to the amount of fees received. This amount is amortised on a straight line basis over the life of the contract. Performance guarantees do not transfer credit risk. The risk under performance guarantee contracts is the possibility that the failure to perform the contractual obligation by another party occurs.</w:t>
      </w:r>
      <w:bookmarkEnd w:id="1283"/>
    </w:p>
    <w:p w:rsidR="009534E2" w:rsidRDefault="003369EB">
      <w:pPr>
        <w:pStyle w:val="Heading1"/>
        <w:ind w:left="562" w:hanging="562"/>
      </w:pPr>
      <w:bookmarkStart w:name="_c101ca05_7e57_4471_a447_87ce1a25b9a6" w:id="1284"/>
      <w:bookmarkEnd w:id="1282"/>
      <w:r>
        <w:t>3.12</w:t>
      </w:r>
      <w:r>
        <w:tab/>
        <w:t>Special contribution for defence of the Republic of Cyprus</w:t>
      </w:r>
    </w:p>
    <w:p w:rsidR="009534E2" w:rsidRDefault="003369EB">
      <w:pPr>
        <w:pStyle w:val="Heading3"/>
        <w:rPr>
          <w:lang w:eastAsia="ru-RU"/>
        </w:rPr>
      </w:pPr>
      <w:r>
        <w:rPr>
          <w:lang w:eastAsia="ru-RU"/>
        </w:rPr>
        <w:t>Dividend Distribution</w:t>
      </w:r>
    </w:p>
    <w:p w:rsidR="009534E2" w:rsidRDefault="003369EB">
      <w:pPr>
        <w:pStyle w:val="BodyText"/>
        <w:rPr>
          <w:rFonts w:eastAsia="Times New Roman" w:asciiTheme="majorHAnsi" w:hAnsiTheme="majorHAnsi" w:cstheme="majorHAnsi"/>
          <w:lang w:eastAsia="ru-RU"/>
        </w:rPr>
      </w:pPr>
      <w:bookmarkStart w:name="_372c7517_a1cb_4844_80ff_4100644b4eaf" w:id="1285"/>
      <w:r>
        <w:rPr>
          <w:rFonts w:eastAsia="Times New Roman" w:asciiTheme="majorHAnsi" w:hAnsiTheme="majorHAnsi" w:cstheme="majorHAnsi"/>
          <w:lang w:eastAsia="ru-RU"/>
        </w:rPr>
        <w:t>Cyprus entities that do not distribute 70% of their profits after tax, as defined by the relevant tax law, within two years after the end of the relevant tax year, are deemed to have distributed as dividends 70% of these profits. A special contribution for the defence fund of the Republic of Cyprus is levied at the 17% rate for 2020, 2021, 2022 and thereafter will be payable on such deemed dividends distribution. Profits that are attributable to shareholders who are not tax resident of Cyprus and own shares in the Company either directly and/or indirectly at the end of two years from the end of the tax year to which the profits relate, are exempted. The amount of deemed distribution is reduced by any actual dividends paid out of the profits of the relevant year at any time. This special contribution for defence is payable by the Company for the account of the shareholders.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Company’s ultimate shareholder as of December 31, 2022 is non-Cypriot tax resident and as such the Cypriot deemed dividend distribution rules are not applicable.</w:t>
      </w:r>
    </w:p>
    <w:p w:rsidR="009534E2" w:rsidRDefault="003369EB">
      <w:pPr>
        <w:pStyle w:val="Heading3"/>
        <w:rPr>
          <w:lang w:eastAsia="ru-RU"/>
        </w:rPr>
      </w:pPr>
      <w:r>
        <w:rPr>
          <w:lang w:eastAsia="ru-RU"/>
        </w:rPr>
        <w:t>Dividend income</w:t>
      </w:r>
    </w:p>
    <w:p w:rsidR="009534E2" w:rsidRDefault="003369EB">
      <w:pPr>
        <w:pStyle w:val="BodyText"/>
        <w:rPr>
          <w:rFonts w:eastAsia="Times New Roman" w:asciiTheme="majorHAnsi" w:hAnsiTheme="majorHAnsi" w:cstheme="majorHAnsi"/>
          <w:lang w:val="en-GB" w:eastAsia="ru-RU"/>
        </w:rPr>
      </w:pPr>
      <w:r>
        <w:rPr>
          <w:rFonts w:eastAsia="Times New Roman" w:asciiTheme="majorHAnsi" w:hAnsiTheme="majorHAnsi" w:cstheme="majorHAnsi"/>
          <w:lang w:val="en-GB" w:eastAsia="ru-RU"/>
        </w:rPr>
        <w:t>Dividends received from a non-resident (foreign) company are exempt from the levy of defence contribution if either the dividend paying company derives at least 50% of its income directly or indirectly from activities which do not lead to investment income (“active versus passive investment income test” is met) or the foreign tax burden on the profit to be distributed as dividend has not been substantially lower than the Cypriot corporate income tax rate (i.e. lower than 6.25%) at the level of the dividend paying company (“effective minimum foreign tax test” is met).</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Company has not been subject to defence tax on dividends received from abroad as the dividend paying entities are engaged in other than investing activities</w:t>
      </w:r>
      <w:bookmarkEnd w:id="1285"/>
      <w:r>
        <w:rPr>
          <w:rFonts w:eastAsia="Times New Roman" w:asciiTheme="majorHAnsi" w:hAnsiTheme="majorHAnsi" w:cstheme="majorHAnsi"/>
          <w:lang w:eastAsia="ru-RU"/>
        </w:rPr>
        <w:t>.</w:t>
      </w:r>
    </w:p>
    <w:p w:rsidR="009534E2" w:rsidRDefault="003369EB">
      <w:pPr>
        <w:pStyle w:val="Heading2"/>
        <w:ind w:left="562" w:hanging="562"/>
        <w:rPr>
          <w:b/>
          <w:bCs/>
          <w:i w:val="0"/>
          <w:iCs/>
          <w:lang w:eastAsia="ru-RU"/>
        </w:rPr>
      </w:pPr>
      <w:bookmarkStart w:name="_d11bb2b7_50bb_4345_b7c0_056d33ee3016" w:id="1286"/>
      <w:bookmarkStart w:name="_49467a81_e213_421c_b41f_1c5d5ed59d58" w:id="1287"/>
      <w:bookmarkStart w:name="_2f09cdd8_53e9_4914_b95c_40003d15f6a6" w:id="1288"/>
      <w:bookmarkStart w:name="_adc8688f_e47e_4e97_a97d_d95a97706595" w:id="1289"/>
      <w:bookmarkEnd w:id="1284"/>
      <w:r>
        <w:rPr>
          <w:b/>
          <w:bCs/>
          <w:i w:val="0"/>
          <w:iCs/>
          <w:lang w:eastAsia="ru-RU"/>
        </w:rPr>
        <w:t>3.13</w:t>
      </w:r>
      <w:r>
        <w:rPr>
          <w:b/>
          <w:bCs/>
          <w:i w:val="0"/>
          <w:iCs/>
          <w:lang w:eastAsia="ru-RU"/>
        </w:rPr>
        <w:tab/>
        <w:t>Income taxes</w:t>
      </w:r>
    </w:p>
    <w:p w:rsidR="009534E2" w:rsidRDefault="003369EB">
      <w:pPr>
        <w:pStyle w:val="Heading2"/>
        <w:rPr>
          <w:lang w:eastAsia="ru-RU"/>
        </w:rPr>
      </w:pPr>
      <w:r>
        <w:rPr>
          <w:lang w:eastAsia="ru-RU"/>
        </w:rPr>
        <w:t>Current income tax</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Current income tax assets and liabilities for the current and prior periods are measured at the amount expected to be recovered from or paid to the taxation authorities. The tax rates and tax laws used to compute the amount are those that are enacted or substantively enacted by the reporting date.</w:t>
      </w:r>
    </w:p>
    <w:p w:rsidR="009534E2" w:rsidRDefault="003369EB">
      <w:pPr>
        <w:pStyle w:val="BodyT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Current income tax relating to items recognized in other comprehensive income is recognized in other comprehensive income.</w:t>
      </w:r>
      <w:bookmarkEnd w:id="1286"/>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Heading2"/>
        <w:ind w:left="360" w:hanging="360"/>
        <w:rPr>
          <w:b/>
          <w:bCs/>
          <w:i w:val="0"/>
          <w:iCs/>
          <w:lang w:eastAsia="ru-RU"/>
        </w:rPr>
      </w:pPr>
      <w:r>
        <w:rPr>
          <w:b/>
          <w:bCs/>
          <w:i w:val="0"/>
          <w:iCs/>
          <w:lang w:eastAsia="ru-RU"/>
        </w:rPr>
        <w:t>3.</w:t>
      </w:r>
      <w:r>
        <w:rPr>
          <w:b/>
          <w:bCs/>
          <w:i w:val="0"/>
          <w:iCs/>
          <w:lang w:eastAsia="ru-RU"/>
        </w:rPr>
        <w:tab/>
        <w:t>Summary of significant accounting policies (continued)</w:t>
      </w:r>
    </w:p>
    <w:p w:rsidR="009534E2" w:rsidRDefault="003369EB">
      <w:pPr>
        <w:pStyle w:val="Heading2"/>
        <w:ind w:left="562" w:hanging="562"/>
        <w:rPr>
          <w:b/>
          <w:bCs/>
          <w:i w:val="0"/>
          <w:iCs/>
          <w:lang w:eastAsia="ru-RU"/>
        </w:rPr>
      </w:pPr>
      <w:r>
        <w:rPr>
          <w:b/>
          <w:bCs/>
          <w:i w:val="0"/>
          <w:iCs/>
          <w:lang w:eastAsia="ru-RU"/>
        </w:rPr>
        <w:t>3.13</w:t>
      </w:r>
      <w:r>
        <w:rPr>
          <w:b/>
          <w:bCs/>
          <w:i w:val="0"/>
          <w:iCs/>
          <w:lang w:eastAsia="ru-RU"/>
        </w:rPr>
        <w:tab/>
        <w:t>Income taxes (continued)</w:t>
      </w:r>
    </w:p>
    <w:p w:rsidR="009534E2" w:rsidRDefault="003369EB">
      <w:pPr>
        <w:pStyle w:val="Heading2"/>
        <w:rPr>
          <w:lang w:eastAsia="ru-RU"/>
        </w:rPr>
      </w:pPr>
      <w:bookmarkStart w:name="_faafd8bf_8781_4104_a560_b9872c74cbf4" w:id="1290"/>
      <w:r>
        <w:rPr>
          <w:lang w:eastAsia="ru-RU"/>
        </w:rPr>
        <w:t>Deferred income tax</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Deferred tax is recognized in respect of temporary differences between the carrying amounts of assets and liabilities for financial reporting purposes and the amounts used for taxation purposes. Deferred tax is not recognized for the following temporary differences: the initial recognition of assets or liabilities in a transaction that is not a business combination and that affects neither accounting nor taxable profit or loss, and differences relating to investments in subsidiaries to the extent that it is probable that they will not reverse in the foreseeable future. In addition, deferred tax is not recognized for taxable temporary differences arising on the initial recognition of goodwill. Deferred tax is measured at the tax rates that are expected to be applied to temporary differences when they reverse, based on the laws that have been enacted or substantively enacted by the reporting date.</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Deferred tax assets and liabilities are offset if there is a legally enforceable right to offset current tax liabilities and assets, and they relate to income taxes levied by the same tax authority on the same taxable entity, or on different tax entities, but they intend to settle current tax liabilities and assets on a net basis or their tax assets and liabilities will be realized simultaneously.</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A deferred tax asset is recognized for unused tax losses, tax credits and deductible temporary differences, to the extent that it is probable that future taxable profits will be available against which they can be utilized. Deferred tax assets are reviewed at each reporting date and are reduced to the extent that it is no longer probable that the related tax benefit will be realized.</w:t>
      </w:r>
      <w:bookmarkEnd w:id="1287"/>
      <w:bookmarkEnd w:id="1290"/>
    </w:p>
    <w:p w:rsidR="009534E2" w:rsidRDefault="003369EB">
      <w:pPr>
        <w:pStyle w:val="BodyText"/>
        <w:keepNext/>
        <w:keepLines/>
        <w:ind w:left="562" w:hanging="562"/>
        <w:outlineLvl w:val="0"/>
        <w:rPr>
          <w:rFonts w:eastAsia="Times New Roman" w:asciiTheme="majorHAnsi" w:hAnsiTheme="majorHAnsi" w:cstheme="majorHAnsi"/>
          <w:b/>
          <w:bCs/>
          <w:lang w:eastAsia="ru-RU"/>
        </w:rPr>
      </w:pPr>
      <w:bookmarkStart w:name="_2d1aa552_d16e_41ab_b136_c82e85aeb599" w:id="1291"/>
      <w:bookmarkStart w:name="_b8c9aa0a_2d04_4bd4_aead_9206116f47e1" w:id="1292"/>
      <w:bookmarkStart w:name="_59ef5d65_66aa_45c6_8cc4_9ee02ee286dd" w:id="1293"/>
      <w:bookmarkEnd w:id="1288"/>
      <w:r>
        <w:rPr>
          <w:rFonts w:eastAsia="Times New Roman" w:asciiTheme="majorHAnsi" w:hAnsiTheme="majorHAnsi" w:cstheme="majorHAnsi"/>
          <w:b/>
          <w:bCs/>
          <w:lang w:eastAsia="ru-RU"/>
        </w:rPr>
        <w:t>3.14</w:t>
      </w:r>
      <w:r>
        <w:rPr>
          <w:rFonts w:eastAsia="Times New Roman" w:asciiTheme="majorHAnsi" w:hAnsiTheme="majorHAnsi" w:cstheme="majorHAnsi"/>
          <w:b/>
          <w:bCs/>
          <w:lang w:eastAsia="ru-RU"/>
        </w:rPr>
        <w:tab/>
        <w:t>Revenue from contracts with customers and transaction cost recognition</w:t>
      </w:r>
    </w:p>
    <w:p w:rsidR="009534E2" w:rsidRDefault="003369EB">
      <w:pPr>
        <w:pStyle w:val="BodyText"/>
        <w:rPr>
          <w:rFonts w:eastAsia="Times New Roman" w:asciiTheme="majorHAnsi" w:hAnsiTheme="majorHAnsi" w:cstheme="majorHAnsi"/>
          <w:lang w:eastAsia="ru-RU"/>
        </w:rPr>
      </w:pPr>
      <w:bookmarkStart w:name="_0ad190e3_11d1_47b2_879c_fd25adc4d6af" w:id="1294"/>
      <w:bookmarkStart w:name="_4dd64214_679f_4372_9bfe_392190c53bce" w:id="1295"/>
      <w:bookmarkStart w:name="_7a54c105_d69c_4624_8bac_9b789496ab13" w:id="1296"/>
      <w:bookmarkStart w:name="_38113f71_4131_48cb_b1c8_bd339893660f" w:id="1297"/>
      <w:bookmarkEnd w:id="1289"/>
      <w:r>
        <w:rPr>
          <w:rFonts w:eastAsia="Times New Roman" w:asciiTheme="majorHAnsi" w:hAnsiTheme="majorHAnsi" w:cstheme="majorHAnsi"/>
          <w:lang w:eastAsia="ru-RU"/>
        </w:rPr>
        <w:t>Revenue from contracts with customers is recognized when control of the services are transferred to the customer at an amount that reflects the consideration to which the Group expects to be entitled in exchange for those services. The Group has generally concluded that it is the principal in its revenue arrangements because it typically controls the services before transferring them to the customer. Revenues and related cost of revenue from services are recognized in the period when services are rendered, regardless of when payment is made.</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All performance obligations are either satisfied at a point of time or over time. In the former case they represent a separate instantaneous service, in the latter – a series of distinct services that are substantially the same and that have the same pattern of transfer to the customers. Such performance obligations are invoiced at least monthly. Progress of performance obligations satisfied over time is measured by the output method. The Group recognizes the majority of its revenue at a point of time.</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Contract price is allocated separately to each performance obligation. There are generally no variable amounts affecting consideration at the moment such consideration is recognized as revenue. In the rare cases when the variability exists, the Group makes estimate of the amount to be recognized basing on appropriate budgets and models. Consideration from customers does not have any non-cash component. </w:t>
      </w:r>
      <w:r>
        <w:rPr>
          <w:rFonts w:eastAsia="Times New Roman" w:asciiTheme="majorHAnsi" w:hAnsiTheme="majorHAnsi" w:cstheme="majorHAnsi"/>
        </w:rPr>
        <w:t>Consideration payable to a customer is accounted for as a reduction of the transaction price and, therefore, a reduction of revenue</w:t>
      </w:r>
      <w:r>
        <w:rPr>
          <w:rFonts w:eastAsia="Times New Roman" w:asciiTheme="majorHAnsi" w:hAnsiTheme="majorHAnsi" w:cstheme="majorHAnsi"/>
          <w:lang w:eastAsia="ru-RU"/>
        </w:rPr>
        <w:t>. Consideration from customers is normally received within a few months and never in more than a year. Consequently, the Group believes it contains no significant financing component.</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Within some components of its business, the Group pays remuneration to its employees and third parties for attracting customers. The costs which are incremental to acquisition of new customers are further analysed for recoverability. If this expenditure is expected to be reimbursed by future income, it is capitalized as costs to obtain a contract and amortized during the contract term.</w:t>
      </w:r>
    </w:p>
    <w:p w:rsidR="009534E2" w:rsidRDefault="003369EB">
      <w:pPr>
        <w:pStyle w:val="Heading2"/>
        <w:rPr>
          <w:lang w:eastAsia="ru-RU"/>
        </w:rPr>
      </w:pPr>
      <w:r>
        <w:rPr>
          <w:lang w:eastAsia="ru-RU"/>
        </w:rPr>
        <w:t>Payment processing fee revenues and related transaction costs</w:t>
      </w:r>
    </w:p>
    <w:p w:rsidR="009534E2" w:rsidRDefault="003369EB">
      <w:pPr>
        <w:pStyle w:val="BodyText"/>
        <w:keepNext/>
        <w:rPr>
          <w:rFonts w:eastAsia="Times New Roman" w:asciiTheme="majorHAnsi" w:hAnsiTheme="majorHAnsi" w:cstheme="majorHAnsi"/>
          <w:lang w:eastAsia="ru-RU"/>
        </w:rPr>
      </w:pPr>
      <w:r>
        <w:rPr>
          <w:rFonts w:eastAsia="Times New Roman" w:asciiTheme="majorHAnsi" w:hAnsiTheme="majorHAnsi" w:cstheme="majorHAnsi"/>
          <w:lang w:eastAsia="ru-RU"/>
        </w:rPr>
        <w:t>Payment processing fee revenues include the following types:</w:t>
      </w:r>
    </w:p>
    <w:p w:rsidR="009534E2" w:rsidRDefault="003369EB">
      <w:pPr>
        <w:pStyle w:val="BodyText"/>
        <w:numPr>
          <w:ilvl w:val="0"/>
          <w:numId w:val="58"/>
        </w:numPr>
        <w:spacing w:after="0"/>
        <w:ind w:left="360"/>
        <w:rPr>
          <w:rFonts w:eastAsia="Times New Roman" w:asciiTheme="majorHAnsi" w:hAnsiTheme="majorHAnsi" w:cstheme="majorHAnsi"/>
          <w:lang w:eastAsia="ru-RU"/>
        </w:rPr>
      </w:pPr>
      <w:r>
        <w:rPr>
          <w:rFonts w:eastAsia="Times New Roman" w:asciiTheme="majorHAnsi" w:hAnsiTheme="majorHAnsi" w:cstheme="majorHAnsi"/>
          <w:lang w:eastAsia="ru-RU"/>
        </w:rPr>
        <w:t>fees for processing of consumer payment (consumer fee and merchant fee),</w:t>
      </w:r>
    </w:p>
    <w:p w:rsidR="009534E2" w:rsidRDefault="003369EB">
      <w:pPr>
        <w:pStyle w:val="BodyText"/>
        <w:numPr>
          <w:ilvl w:val="0"/>
          <w:numId w:val="58"/>
        </w:numPr>
        <w:ind w:left="360"/>
        <w:rPr>
          <w:rFonts w:eastAsia="Times New Roman" w:asciiTheme="majorHAnsi" w:hAnsiTheme="majorHAnsi" w:cstheme="majorHAnsi"/>
          <w:lang w:eastAsia="ru-RU"/>
        </w:rPr>
      </w:pPr>
      <w:r>
        <w:rPr>
          <w:rFonts w:eastAsia="Times New Roman" w:asciiTheme="majorHAnsi" w:hAnsiTheme="majorHAnsi" w:cstheme="majorHAnsi"/>
          <w:lang w:eastAsia="ru-RU"/>
        </w:rPr>
        <w:t>conversion fees.</w:t>
      </w:r>
      <w:bookmarkEnd w:id="1291"/>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BodyText"/>
        <w:keepNext/>
        <w:keepLines/>
        <w:ind w:left="360" w:hanging="360"/>
        <w:outlineLvl w:val="1"/>
        <w:rPr>
          <w:rFonts w:eastAsia="Times New Roman" w:asciiTheme="majorHAnsi" w:hAnsiTheme="majorHAnsi" w:cstheme="majorHAnsi"/>
          <w:b/>
          <w:bCs/>
          <w:lang w:eastAsia="ru-RU"/>
        </w:rPr>
      </w:pPr>
      <w:r>
        <w:rPr>
          <w:rFonts w:eastAsia="Times New Roman" w:asciiTheme="majorHAnsi" w:hAnsiTheme="majorHAnsi" w:cstheme="majorHAnsi"/>
          <w:b/>
          <w:bCs/>
          <w:lang w:eastAsia="ru-RU"/>
        </w:rPr>
        <w:t>3.</w:t>
      </w:r>
      <w:r>
        <w:rPr>
          <w:rFonts w:eastAsia="Times New Roman" w:asciiTheme="majorHAnsi" w:hAnsiTheme="majorHAnsi" w:cstheme="majorHAnsi"/>
          <w:b/>
          <w:bCs/>
          <w:lang w:eastAsia="ru-RU"/>
        </w:rPr>
        <w:tab/>
        <w:t>Summary of significant accounting policies (continued)</w:t>
      </w:r>
    </w:p>
    <w:p w:rsidR="009534E2" w:rsidRDefault="003369EB">
      <w:pPr>
        <w:pStyle w:val="BodyText"/>
        <w:keepNext/>
        <w:keepLines/>
        <w:ind w:left="562" w:hanging="562"/>
        <w:rPr>
          <w:rFonts w:eastAsia="Times New Roman" w:asciiTheme="majorHAnsi" w:hAnsiTheme="majorHAnsi" w:cstheme="majorHAnsi"/>
          <w:lang w:eastAsia="ru-RU"/>
        </w:rPr>
      </w:pPr>
      <w:r>
        <w:rPr>
          <w:rFonts w:eastAsia="Times New Roman" w:asciiTheme="majorHAnsi" w:hAnsiTheme="majorHAnsi" w:cstheme="majorHAnsi"/>
          <w:b/>
          <w:bCs/>
          <w:lang w:eastAsia="ru-RU"/>
        </w:rPr>
        <w:t>3.14</w:t>
      </w:r>
      <w:r>
        <w:rPr>
          <w:rFonts w:eastAsia="Times New Roman" w:asciiTheme="majorHAnsi" w:hAnsiTheme="majorHAnsi" w:cstheme="majorHAnsi"/>
          <w:b/>
          <w:bCs/>
          <w:lang w:eastAsia="ru-RU"/>
        </w:rPr>
        <w:tab/>
        <w:t>Revenue from contracts with customers and transaction cost recognition (continued)</w:t>
      </w:r>
    </w:p>
    <w:p w:rsidR="009534E2" w:rsidRDefault="003369EB">
      <w:pPr>
        <w:pStyle w:val="BodyText"/>
        <w:rPr>
          <w:rFonts w:eastAsia="Times New Roman" w:asciiTheme="majorHAnsi" w:hAnsiTheme="majorHAnsi" w:cstheme="majorHAnsi"/>
          <w:lang w:eastAsia="ru-RU"/>
        </w:rPr>
      </w:pPr>
      <w:bookmarkStart w:name="_d23a3401_9f10_4cf1_80d2_d252e54e4478" w:id="1298"/>
      <w:bookmarkEnd w:id="1294"/>
      <w:r>
        <w:rPr>
          <w:rFonts w:eastAsia="Times New Roman" w:asciiTheme="majorHAnsi" w:hAnsiTheme="majorHAnsi" w:cstheme="majorHAnsi"/>
          <w:lang w:eastAsia="ru-RU"/>
        </w:rPr>
        <w:t>The Group earns a fee for processing payments initiated by the individuals (“consumers”) to pay to merchants and service providers (“merchants”) or transfer money to other individuals. Payment processing fees are earned from consumers or merchants, or both. Consumers can make payments to various merchants through kiosks or a network of agents and bank-participants of payment system or through the Group’s website or applications using a unique user login and password (e-payments). When a consumer payment is processed, the Group may incur transaction costs to acquire payments payable to agents, bank-participants, mobile operators, international payment systems and other parties. The payment processing fee revenue and related receivable, as well as the transaction cost and the related payable, are recognized at the point when merchants or individuals accept payments from consumers in the gross amount, including fees payable for payment acquisition. Payment processing fees and transaction costs are reported gross. Any fees from agents and other service providers are recorded as reduction of transactions costs unless the fee relates to distinct service rendered by the Group.</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Group generates revenue from the foreign currency conversion when payments are made in currencies different from the country of the consumer, mainly Russia. The Group recognizes the related revenues at the time of conversion in the amount of conversion commission representing the difference between the current Russian or relevant country Central Bank foreign currency exchange rate and the foreign currency exchange rate charged by the Group’s processing system.</w:t>
      </w:r>
    </w:p>
    <w:p w:rsidR="009534E2" w:rsidRDefault="003369EB">
      <w:pPr>
        <w:pStyle w:val="Heading2"/>
        <w:rPr>
          <w:lang w:eastAsia="ru-RU"/>
        </w:rPr>
      </w:pPr>
      <w:r>
        <w:rPr>
          <w:lang w:eastAsia="ru-RU"/>
        </w:rPr>
        <w:t>Cash and settlement service fees</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The Group charges a fee for managing current bank accounts and deposits of individuals and legal entities, including guarantee deposits from agents placed with the bank to cover consumer payments they accept. Related revenue is recorded as services are rendered or as transactions are processed.</w:t>
      </w:r>
    </w:p>
    <w:p w:rsidR="009534E2" w:rsidRDefault="003369EB">
      <w:pPr>
        <w:pStyle w:val="Heading2"/>
        <w:rPr>
          <w:lang w:eastAsia="ru-RU"/>
        </w:rPr>
      </w:pPr>
      <w:r>
        <w:rPr>
          <w:lang w:eastAsia="ru-RU"/>
        </w:rPr>
        <w:t>Other revenues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Other revenues include revenues from commissions charged for platform and marketing services, commissions for issuing guarantees and some other minor activities.</w:t>
      </w:r>
      <w:r>
        <w:rPr>
          <w:rFonts w:asciiTheme="majorHAnsi" w:hAnsiTheme="majorHAnsi" w:cstheme="majorHAnsi"/>
        </w:rPr>
        <w:t xml:space="preserve"> </w:t>
      </w:r>
      <w:r>
        <w:rPr>
          <w:rFonts w:eastAsia="Times New Roman" w:asciiTheme="majorHAnsi" w:hAnsiTheme="majorHAnsi" w:cstheme="majorHAnsi"/>
          <w:lang w:eastAsia="ru-RU"/>
        </w:rPr>
        <w:t>Related revenue is recorded as services are rendered.</w:t>
      </w:r>
      <w:bookmarkEnd w:id="1292"/>
      <w:bookmarkEnd w:id="1298"/>
    </w:p>
    <w:p w:rsidR="009534E2" w:rsidRDefault="003369EB">
      <w:pPr>
        <w:pStyle w:val="Heading1"/>
        <w:ind w:left="562" w:hanging="562"/>
        <w:rPr>
          <w:lang w:eastAsia="ru-RU"/>
        </w:rPr>
      </w:pPr>
      <w:bookmarkStart w:name="_5c42d4d5_fc16_427f_b615_0be51bf340d0" w:id="1299"/>
      <w:bookmarkStart w:name="_683f17fc_0483_49e7_ae2e_ee94b5c61a8c" w:id="1300"/>
      <w:bookmarkEnd w:id="1293"/>
      <w:bookmarkEnd w:id="1295"/>
      <w:bookmarkEnd w:id="1296"/>
      <w:r>
        <w:rPr>
          <w:lang w:eastAsia="ru-RU"/>
        </w:rPr>
        <w:t>3.15.</w:t>
      </w:r>
      <w:r>
        <w:rPr>
          <w:lang w:eastAsia="ru-RU"/>
        </w:rPr>
        <w:tab/>
        <w:t>Recognition of interest income and interest expense</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For all financial instruments measured at amortized cost and financial instruments measured at fair value through other comprehensive income, interest income or expense is recorded using the EIR method. The EIR (and therefore, the amortised cost of the asset) is calculated by taking into account any discount or premium on acquisition, fees and transaction costs that are an integral part of the EIR of the financial instrument.</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The Group calculates interest income by applying the EIR to the gross carrying amount of financial assets other than credit-impaired assets. When a financial asset becomes credit-impaired and is, therefore, regarded as ‘Stage 3’, the Group calculates interest income by applying the effective interest rate to the net amortised cost of the financial asset. If the financial assets restore and is no longer credit-impaired, the Group reverts to calculating interest income on a gross basis.</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Interest income from bank loans and short-term and long-term investments performed as part of the Group’s treasury function is classified as part of revenues. Interest income derived from loans issued to various third and related parties as part of other arrangements is classified as interest income. All interest received from loans and investments is shown as cash inflows from operating activity in the consolidated statement of cash flows.</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Interest expense from bank borrowings intended to attract funds for reinvestment is classified as part of cost of revenue. Interest expense derived from borrowings attracted from various third parties as part of other arrangements is classified as interest expense not as part of cost of revenue. All interest paid on borrowings is shown as cash outflows from operating activity in the consolidated statement of cash flows.</w:t>
      </w:r>
    </w:p>
    <w:p w:rsidR="009534E2" w:rsidRDefault="003369EB">
      <w:pPr>
        <w:rPr>
          <w:rFonts w:eastAsia="Times New Roman" w:asciiTheme="majorHAnsi" w:hAnsiTheme="majorHAnsi" w:cstheme="majorHAnsi"/>
        </w:rPr>
      </w:pPr>
      <w:r>
        <w:rPr>
          <w:rFonts w:eastAsia="Times New Roman" w:asciiTheme="majorHAnsi" w:hAnsiTheme="majorHAnsi" w:cstheme="majorHAnsi"/>
        </w:rPr>
        <w:br w:type="page"/>
      </w:r>
    </w:p>
    <w:p w:rsidR="009534E2" w:rsidRDefault="003369EB">
      <w:pPr>
        <w:pStyle w:val="Heading1"/>
        <w:pageBreakBefore/>
        <w:ind w:left="360" w:hanging="360"/>
      </w:pPr>
      <w:bookmarkStart w:name="_0464c13e_2fc9_4ec3_9b83_72ae42869584" w:id="1301"/>
      <w:bookmarkEnd w:id="1297"/>
      <w:bookmarkEnd w:id="1299"/>
      <w:r>
        <w:rPr>
          <w:lang w:eastAsia="ru-RU"/>
        </w:rPr>
        <w:t>3.</w:t>
      </w:r>
      <w:r>
        <w:rPr>
          <w:lang w:eastAsia="ru-RU"/>
        </w:rPr>
        <w:tab/>
      </w:r>
      <w:r>
        <w:t>Summary of significant accounting policies (continued)</w:t>
      </w:r>
    </w:p>
    <w:p w:rsidR="009534E2" w:rsidRDefault="003369EB">
      <w:pPr>
        <w:pStyle w:val="Heading1"/>
        <w:ind w:left="562" w:hanging="562"/>
      </w:pPr>
      <w:bookmarkStart w:name="_aaf3c327_2160_4a4e_b92e_bed599af1d2b" w:id="1302"/>
      <w:bookmarkEnd w:id="1300"/>
      <w:r>
        <w:t>3.16</w:t>
      </w:r>
      <w:r>
        <w:tab/>
        <w:t>Share-based payments</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Employees of the Group receive remuneration in the form of share-based payments, whereby employees render services as consideration for equity instruments (equity-settled payments) or for cash (cash-settled payments).</w:t>
      </w:r>
    </w:p>
    <w:p w:rsidR="009534E2" w:rsidRDefault="003369EB">
      <w:pPr>
        <w:pStyle w:val="Heading2"/>
      </w:pPr>
      <w:r>
        <w:t xml:space="preserve">Equity-settled share-based payments </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The expense of equity-settled transactions is recognized, together with a corresponding increase in other reserves in equity, over the vesting period and is measured at the fair value of the award determined at the grant date, which is amortized over the service (vesting) period. The fair value of the equity award is estimated only once at the grant date and is trued up to the estimated number of instruments that are expected to vest.</w:t>
      </w:r>
    </w:p>
    <w:p w:rsidR="009534E2" w:rsidRDefault="003369EB">
      <w:pPr>
        <w:pStyle w:val="Heading2"/>
      </w:pPr>
      <w:r>
        <w:t>Cash-settled share-based payments</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The expense is recognized gradually over the vesting period and is measured at the fair value of the liability at each end of the reporting period. The liability is measured, initially and at the end of each reporting period until settled, at fair value, taking into account the vesting terms and conditions on which the instruments were granted and the extent to which the employees have rendered service to date.</w:t>
      </w:r>
    </w:p>
    <w:p w:rsidR="009534E2" w:rsidRDefault="003369EB">
      <w:pPr>
        <w:pStyle w:val="Heading1"/>
        <w:ind w:left="562" w:hanging="562"/>
      </w:pPr>
      <w:bookmarkStart w:name="_27c12b1d_43b5_4798_b259_80c4c2006c10" w:id="1303"/>
      <w:bookmarkStart w:name="_3437f5d4_3050_443d_b79e_08e32795f7c3" w:id="1304"/>
      <w:bookmarkStart w:name="_34566f50_0094_4cb1_b84b_6f71fcc9222b" w:id="1305"/>
      <w:bookmarkEnd w:id="1301"/>
      <w:bookmarkEnd w:id="1302"/>
      <w:r>
        <w:t>3.17</w:t>
      </w:r>
      <w:r>
        <w:tab/>
        <w:t>Leases</w:t>
      </w:r>
    </w:p>
    <w:p w:rsidR="009534E2" w:rsidRDefault="003369EB">
      <w:pPr>
        <w:spacing w:after="200"/>
        <w:rPr>
          <w:rFonts w:eastAsia="Times New Roman" w:asciiTheme="majorHAnsi" w:hAnsiTheme="majorHAnsi" w:cstheme="majorHAnsi"/>
        </w:rPr>
      </w:pPr>
      <w:r>
        <w:rPr>
          <w:rFonts w:eastAsia="Times New Roman" w:asciiTheme="majorHAnsi" w:hAnsiTheme="majorHAnsi" w:cstheme="majorHAnsi"/>
        </w:rPr>
        <w:t>The Group assesses at contract inception whether a contract is, or contains, a lease. That is, if the contract conveys the right to control the use of an identified asset for a period of time in exchange for consideration. Group as a lesee, applies a single recognition and measurement approach for all leases, except for short-term leases and leases of low-value assets. The Group recognises lease liabilities to make lease payments and right-of-use assets representing the right to use the underlying assets.</w:t>
      </w:r>
    </w:p>
    <w:p w:rsidR="009534E2" w:rsidRDefault="003369EB">
      <w:pPr>
        <w:keepNext/>
        <w:keepLines/>
        <w:spacing w:after="200"/>
        <w:rPr>
          <w:rFonts w:eastAsia="Times New Roman" w:asciiTheme="majorHAnsi" w:hAnsiTheme="majorHAnsi" w:cstheme="majorHAnsi"/>
          <w:b/>
          <w:bCs/>
          <w:i/>
          <w:iCs/>
        </w:rPr>
      </w:pPr>
      <w:r>
        <w:rPr>
          <w:rFonts w:eastAsia="Times New Roman" w:asciiTheme="majorHAnsi" w:hAnsiTheme="majorHAnsi" w:cstheme="majorHAnsi"/>
          <w:b/>
          <w:bCs/>
          <w:i/>
          <w:iCs/>
        </w:rPr>
        <w:t>Lease liabilities</w:t>
      </w:r>
    </w:p>
    <w:p w:rsidR="009534E2" w:rsidRDefault="003369EB">
      <w:pPr>
        <w:spacing w:after="200"/>
        <w:rPr>
          <w:rFonts w:eastAsia="Times New Roman" w:asciiTheme="majorHAnsi" w:hAnsiTheme="majorHAnsi" w:cstheme="majorHAnsi"/>
        </w:rPr>
      </w:pPr>
      <w:r>
        <w:rPr>
          <w:rFonts w:eastAsia="Times New Roman" w:asciiTheme="majorHAnsi" w:hAnsiTheme="majorHAnsi" w:cstheme="majorHAnsi"/>
        </w:rPr>
        <w:t>At the commencement date of the lease, the Group recognises lease liabilities measured at the present value of lease payments to be made over the lease term. In calculating the present value of lease payments, the Group uses its incremental borrowing rate at the lease commencement date because the interest rate implicit in the lease is not readily determinable. After the commencement date, the amount of lease liabilities is increased to reflect the accretion of interest and reduced for the lease payments made. In addition, the carrying amount of lease liabilities is remeasured if there is a modification, a change in the lease term or a change in the lease payments.</w:t>
      </w:r>
    </w:p>
    <w:p w:rsidR="009534E2" w:rsidRDefault="003369EB">
      <w:pPr>
        <w:keepNext/>
        <w:keepLines/>
        <w:spacing w:after="200"/>
        <w:rPr>
          <w:rFonts w:eastAsia="Times New Roman" w:asciiTheme="majorHAnsi" w:hAnsiTheme="majorHAnsi" w:cstheme="majorHAnsi"/>
          <w:b/>
          <w:bCs/>
          <w:i/>
          <w:iCs/>
        </w:rPr>
      </w:pPr>
      <w:r>
        <w:rPr>
          <w:rFonts w:eastAsia="Times New Roman" w:asciiTheme="majorHAnsi" w:hAnsiTheme="majorHAnsi" w:cstheme="majorHAnsi"/>
          <w:b/>
          <w:bCs/>
          <w:i/>
          <w:iCs/>
        </w:rPr>
        <w:t>Right-of-use assets</w:t>
      </w:r>
    </w:p>
    <w:p w:rsidR="009534E2" w:rsidRDefault="003369EB">
      <w:pPr>
        <w:spacing w:after="200"/>
        <w:rPr>
          <w:rFonts w:eastAsia="Times New Roman" w:asciiTheme="majorHAnsi" w:hAnsiTheme="majorHAnsi" w:cstheme="majorHAnsi"/>
        </w:rPr>
      </w:pPr>
      <w:r>
        <w:rPr>
          <w:rFonts w:eastAsia="Times New Roman" w:asciiTheme="majorHAnsi" w:hAnsiTheme="majorHAnsi" w:cstheme="majorHAnsi"/>
        </w:rPr>
        <w:t xml:space="preserve">Right-of-use assets are recognized at an amount equal to the lease liability adjusted by the amount of any prepaid or accrued lease payments relating to that lease recognized in the statement of financial position immediately before the date of initial application. Right-of-use assets are measured at cost, less any accumulated depreciation and impairment losses, and adjusted for any remeasurement of lease liabilities. Right-of-use assets are depreciated on a straight-line basis over the expected lease term which comprises up to </w:t>
      </w:r>
      <w:bookmarkStart w:name="_98e7dcb9_b908_46a4_9874_2c5d6cdfec1d" w:id="1306"/>
      <w:r>
        <w:rPr>
          <w:rFonts w:eastAsia="Times New Roman" w:asciiTheme="majorHAnsi" w:hAnsiTheme="majorHAnsi" w:cstheme="majorHAnsi"/>
        </w:rPr>
        <w:t>10 years</w:t>
      </w:r>
      <w:bookmarkEnd w:id="1306"/>
      <w:r>
        <w:rPr>
          <w:rFonts w:eastAsia="Times New Roman" w:asciiTheme="majorHAnsi" w:hAnsiTheme="majorHAnsi" w:cstheme="majorHAnsi"/>
        </w:rPr>
        <w:t xml:space="preserve">. </w:t>
      </w:r>
    </w:p>
    <w:p w:rsidR="009534E2" w:rsidRDefault="003369EB">
      <w:pPr>
        <w:keepNext/>
        <w:keepLines/>
        <w:spacing w:after="200"/>
        <w:rPr>
          <w:rFonts w:eastAsia="Times New Roman" w:asciiTheme="majorHAnsi" w:hAnsiTheme="majorHAnsi" w:cstheme="majorHAnsi"/>
          <w:b/>
          <w:bCs/>
          <w:i/>
          <w:iCs/>
        </w:rPr>
      </w:pPr>
      <w:r>
        <w:rPr>
          <w:rFonts w:eastAsia="Times New Roman" w:asciiTheme="majorHAnsi" w:hAnsiTheme="majorHAnsi" w:cstheme="majorHAnsi"/>
          <w:b/>
          <w:bCs/>
          <w:i/>
          <w:iCs/>
        </w:rPr>
        <w:t>Short-term leases and leases of low-value assets</w:t>
      </w:r>
    </w:p>
    <w:p w:rsidR="009534E2" w:rsidRDefault="003369EB">
      <w:pPr>
        <w:spacing w:after="200"/>
        <w:rPr>
          <w:rFonts w:eastAsia="Times New Roman" w:asciiTheme="majorHAnsi" w:hAnsiTheme="majorHAnsi" w:cstheme="majorHAnsi"/>
        </w:rPr>
      </w:pPr>
      <w:r>
        <w:rPr>
          <w:rFonts w:eastAsia="Times New Roman" w:asciiTheme="majorHAnsi" w:hAnsiTheme="majorHAnsi" w:cstheme="majorHAnsi"/>
        </w:rPr>
        <w:t>The Group applies the short-term lease recognition exemption to its short-term leases of office premises (i.e., those leases that have a lease term of 12 months or less from the commencement date and do not contain a purchase option). Lease payments on short-term leases are recognized as expense on a straight-line basis over the lease term.</w:t>
      </w:r>
      <w:bookmarkEnd w:id="1303"/>
    </w:p>
    <w:p w:rsidR="009534E2" w:rsidRDefault="003369EB">
      <w:pPr>
        <w:rPr>
          <w:rFonts w:eastAsia="Times New Roman" w:asciiTheme="majorHAnsi" w:hAnsiTheme="majorHAnsi" w:cstheme="majorHAnsi"/>
        </w:rPr>
      </w:pPr>
      <w:r>
        <w:rPr>
          <w:rFonts w:eastAsia="Times New Roman" w:asciiTheme="majorHAnsi" w:hAnsiTheme="majorHAnsi" w:cstheme="majorHAnsi"/>
        </w:rPr>
        <w:br w:type="page"/>
      </w:r>
    </w:p>
    <w:bookmarkEnd w:id="1304"/>
    <w:p w:rsidR="009534E2" w:rsidRDefault="003369EB">
      <w:pPr>
        <w:keepNext/>
        <w:keepLines/>
        <w:spacing w:after="200"/>
        <w:ind w:left="360" w:hanging="360"/>
        <w:outlineLvl w:val="0"/>
        <w:rPr>
          <w:rFonts w:eastAsia="Times New Roman" w:asciiTheme="majorHAnsi" w:hAnsiTheme="majorHAnsi" w:cstheme="majorHAnsi"/>
          <w:b/>
          <w:bCs/>
        </w:rPr>
      </w:pPr>
      <w:r>
        <w:rPr>
          <w:rFonts w:eastAsia="Times New Roman" w:asciiTheme="majorHAnsi" w:hAnsiTheme="majorHAnsi" w:cstheme="majorHAnsi"/>
          <w:b/>
          <w:bCs/>
        </w:rPr>
        <w:t>3.</w:t>
      </w:r>
      <w:r>
        <w:rPr>
          <w:rFonts w:eastAsia="Times New Roman" w:asciiTheme="majorHAnsi" w:hAnsiTheme="majorHAnsi" w:cstheme="majorHAnsi"/>
          <w:b/>
          <w:bCs/>
        </w:rPr>
        <w:tab/>
        <w:t>Summary of significant accounting policies (continued)</w:t>
      </w:r>
    </w:p>
    <w:p w:rsidR="009534E2" w:rsidRDefault="003369EB">
      <w:pPr>
        <w:pStyle w:val="Heading1"/>
        <w:ind w:left="720" w:hanging="720"/>
      </w:pPr>
      <w:bookmarkStart w:name="_80283f49_f605_4adc_8c07_54af3b78723b" w:id="1307"/>
      <w:bookmarkEnd w:id="1305"/>
      <w:r>
        <w:t>3.18</w:t>
      </w:r>
      <w:r>
        <w:tab/>
        <w:t>Non-current assets held for sale and discontinued operations</w:t>
      </w:r>
    </w:p>
    <w:p w:rsidR="009534E2" w:rsidRDefault="003369EB">
      <w:pPr>
        <w:pStyle w:val="BodyText"/>
        <w:keepNext/>
        <w:keepLines/>
        <w:rPr>
          <w:rFonts w:eastAsia="Times New Roman" w:asciiTheme="majorHAnsi" w:hAnsiTheme="majorHAnsi" w:cstheme="majorHAnsi"/>
        </w:rPr>
      </w:pPr>
      <w:r>
        <w:rPr>
          <w:rFonts w:eastAsia="Times New Roman" w:asciiTheme="majorHAnsi" w:hAnsiTheme="majorHAnsi" w:cstheme="majorHAnsi"/>
        </w:rPr>
        <w:t>Non-current assets and disposal groups classified as held for sale are measured at the lower of their carrying amount and fair value less costs to sell. Non-current assets and disposal groups are classified as held for sale if their carrying amounts will be recovered principally through a sale transaction rather than through continuing use. This condition is regarded as met only when the sale is highly probable and the asset or disposal group is available for immediate sale in its present condition. Management must be committed to the sale, which should be expected to qualify for recognition as a completed sale within one year from the date of classification.</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In the statement of comprehensive income, income and expenses from discontinued operations are reported separately from income and expenses from continuing operations, down to the level of profit after taxes, even when the Group retains a non-controlling interest in the subsidiary after the sale. The resulting profit or loss (after taxes) is reported separately in the statement of comprehensive income.</w:t>
      </w:r>
    </w:p>
    <w:p w:rsidR="009534E2" w:rsidRDefault="003369EB">
      <w:pPr>
        <w:pStyle w:val="BodyText"/>
        <w:spacing w:after="0"/>
        <w:rPr>
          <w:rFonts w:eastAsia="Times New Roman"/>
        </w:rPr>
      </w:pPr>
      <w:r>
        <w:rPr>
          <w:rFonts w:eastAsia="Times New Roman" w:asciiTheme="majorHAnsi" w:hAnsiTheme="majorHAnsi" w:cstheme="majorHAnsi"/>
        </w:rPr>
        <w:t>Property and equipment and intangible assets once classified as held for sale are not depreciated or amortized</w:t>
      </w:r>
      <w:bookmarkEnd w:id="1307"/>
      <w:r>
        <w:rPr>
          <w:rFonts w:eastAsia="Times New Roman" w:asciiTheme="majorHAnsi" w:hAnsiTheme="majorHAnsi" w:cstheme="majorHAnsi"/>
        </w:rPr>
        <w:t>.</w:t>
      </w:r>
    </w:p>
    <w:p w:rsidR="009534E2" w:rsidRDefault="003369EB">
      <w:pPr>
        <w:rPr>
          <w:rFonts w:eastAsia="Times New Roman" w:asciiTheme="majorHAnsi" w:hAnsiTheme="majorHAnsi" w:cstheme="majorHAnsi"/>
        </w:rPr>
      </w:pPr>
      <w:r>
        <w:rPr>
          <w:rFonts w:eastAsia="Times New Roman" w:asciiTheme="majorHAnsi" w:hAnsiTheme="majorHAnsi" w:cstheme="majorHAnsi"/>
        </w:rPr>
        <w:br w:type="page"/>
      </w:r>
    </w:p>
    <w:p w:rsidR="009534E2" w:rsidRDefault="003369EB">
      <w:pPr>
        <w:pStyle w:val="Heading1"/>
        <w:ind w:left="360" w:hanging="360"/>
        <w:rPr>
          <w:lang w:eastAsia="ru-RU"/>
        </w:rPr>
      </w:pPr>
      <w:r>
        <w:rPr>
          <w:lang w:eastAsia="ru-RU"/>
        </w:rPr>
        <w:t>4.</w:t>
      </w:r>
      <w:r>
        <w:rPr>
          <w:lang w:eastAsia="ru-RU"/>
        </w:rPr>
        <w:tab/>
        <w:t>Significant accounting judgments, estimates and assumptions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preparation of consolidated financial statements in conformity with IFRS requires management to make judgments, estimates and assumptions that affect the reported amounts of assets and liabilities, disclosures of contingent assets and liabilities at the reporting dates and the reported amounts of revenues and expenses during the reporting periods. However, uncertainty about these assumptions and estimates could result in outcomes that require a material adjustment to the carrying amount of the asset or liability affected in future periods.</w:t>
      </w:r>
    </w:p>
    <w:p w:rsidR="009534E2" w:rsidRDefault="003369EB">
      <w:pPr>
        <w:pStyle w:val="Heading4"/>
      </w:pPr>
      <w:r>
        <w:t>Significant judgments</w:t>
      </w:r>
    </w:p>
    <w:p w:rsidR="009534E2" w:rsidRDefault="003369EB">
      <w:pPr>
        <w:pStyle w:val="Heading3"/>
      </w:pPr>
      <w:r>
        <w:t>Recognition of control, joint control, or significant influence over entities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In assessing business combinations, the Group analyses all relevant terms and conditions of management of the acquired or newly established entities and exercise judgment in deciding whether the Group has control, joint control, or significant influence over them. As a result, certain acquisitions where the Group’s share is over 50% may not be recognized as consolidated subsidiaries and vice versa. See Note 6 for details.</w:t>
      </w:r>
    </w:p>
    <w:p w:rsidR="009534E2" w:rsidRDefault="003369EB">
      <w:pPr>
        <w:pStyle w:val="Heading4"/>
        <w:rPr>
          <w:lang w:eastAsia="ru-RU"/>
        </w:rPr>
      </w:pPr>
      <w:r>
        <w:rPr>
          <w:lang w:eastAsia="ru-RU"/>
        </w:rPr>
        <w:t>Significant estimates and assumptions</w:t>
      </w:r>
    </w:p>
    <w:p w:rsidR="009534E2" w:rsidRDefault="003369EB">
      <w:pPr>
        <w:pStyle w:val="BodyText"/>
        <w:keepNext/>
        <w:rPr>
          <w:rFonts w:eastAsia="Times New Roman" w:asciiTheme="majorHAnsi" w:hAnsiTheme="majorHAnsi" w:cstheme="majorHAnsi"/>
          <w:lang w:eastAsia="ru-RU"/>
        </w:rPr>
      </w:pPr>
      <w:r>
        <w:rPr>
          <w:rFonts w:eastAsia="Times New Roman" w:asciiTheme="majorHAnsi" w:hAnsiTheme="majorHAnsi" w:cstheme="majorHAnsi"/>
          <w:lang w:eastAsia="ru-RU"/>
        </w:rPr>
        <w:t>Significant estimates reflected in the Group’s consolidated financial statements include, but are not limited to:</w:t>
      </w:r>
    </w:p>
    <w:p w:rsidR="009534E2" w:rsidRDefault="003369EB">
      <w:pPr>
        <w:pStyle w:val="BodyText"/>
        <w:numPr>
          <w:ilvl w:val="0"/>
          <w:numId w:val="26"/>
        </w:numPr>
        <w:ind w:left="360"/>
        <w:rPr>
          <w:rFonts w:eastAsia="Times New Roman" w:asciiTheme="majorHAnsi" w:hAnsiTheme="majorHAnsi" w:cstheme="majorHAnsi"/>
          <w:lang w:eastAsia="ru-RU"/>
        </w:rPr>
      </w:pPr>
      <w:r>
        <w:rPr>
          <w:rFonts w:eastAsia="Times New Roman" w:asciiTheme="majorHAnsi" w:hAnsiTheme="majorHAnsi" w:cstheme="majorHAnsi"/>
          <w:lang w:eastAsia="ru-RU"/>
        </w:rPr>
        <w:t>Fair values of assets and liabilities acquired in business combinations;</w:t>
      </w:r>
    </w:p>
    <w:p w:rsidR="009534E2" w:rsidRDefault="003369EB">
      <w:pPr>
        <w:pStyle w:val="BodyText"/>
        <w:numPr>
          <w:ilvl w:val="0"/>
          <w:numId w:val="26"/>
        </w:numPr>
        <w:ind w:left="360"/>
        <w:rPr>
          <w:rFonts w:eastAsia="Times New Roman" w:asciiTheme="majorHAnsi" w:hAnsiTheme="majorHAnsi" w:cstheme="majorHAnsi"/>
          <w:lang w:eastAsia="ru-RU"/>
        </w:rPr>
      </w:pPr>
      <w:r>
        <w:rPr>
          <w:rFonts w:eastAsia="Times New Roman" w:asciiTheme="majorHAnsi" w:hAnsiTheme="majorHAnsi" w:cstheme="majorHAnsi"/>
          <w:lang w:eastAsia="ru-RU"/>
        </w:rPr>
        <w:t>Useful life of intangible assets;</w:t>
      </w:r>
    </w:p>
    <w:p w:rsidR="009534E2" w:rsidRDefault="003369EB">
      <w:pPr>
        <w:pStyle w:val="BodyText"/>
        <w:numPr>
          <w:ilvl w:val="0"/>
          <w:numId w:val="26"/>
        </w:numPr>
        <w:ind w:left="360"/>
        <w:rPr>
          <w:rFonts w:eastAsia="Times New Roman" w:asciiTheme="majorHAnsi" w:hAnsiTheme="majorHAnsi" w:cstheme="majorHAnsi"/>
          <w:lang w:eastAsia="ru-RU"/>
        </w:rPr>
      </w:pPr>
      <w:r>
        <w:rPr>
          <w:rFonts w:eastAsia="Times New Roman" w:asciiTheme="majorHAnsi" w:hAnsiTheme="majorHAnsi" w:cstheme="majorHAnsi"/>
          <w:lang w:eastAsia="ru-RU"/>
        </w:rPr>
        <w:t>Impairment of goodwill and intangible assets;</w:t>
      </w:r>
    </w:p>
    <w:p w:rsidR="009534E2" w:rsidRDefault="003369EB">
      <w:pPr>
        <w:pStyle w:val="BodyText"/>
        <w:numPr>
          <w:ilvl w:val="0"/>
          <w:numId w:val="26"/>
        </w:numPr>
        <w:ind w:left="360"/>
        <w:rPr>
          <w:rFonts w:eastAsia="Times New Roman" w:asciiTheme="majorHAnsi" w:hAnsiTheme="majorHAnsi" w:cstheme="majorHAnsi"/>
          <w:lang w:eastAsia="ru-RU"/>
        </w:rPr>
      </w:pPr>
      <w:r>
        <w:rPr>
          <w:rFonts w:eastAsia="Times New Roman" w:asciiTheme="majorHAnsi" w:hAnsiTheme="majorHAnsi" w:cstheme="majorHAnsi"/>
          <w:lang w:eastAsia="ru-RU"/>
        </w:rPr>
        <w:t>Impairment of financial assets (ECL measurement);</w:t>
      </w:r>
    </w:p>
    <w:p w:rsidR="009534E2" w:rsidRDefault="003369EB">
      <w:pPr>
        <w:pStyle w:val="BodyText"/>
        <w:numPr>
          <w:ilvl w:val="0"/>
          <w:numId w:val="26"/>
        </w:numPr>
        <w:ind w:left="360"/>
        <w:rPr>
          <w:rFonts w:eastAsia="Times New Roman" w:asciiTheme="majorHAnsi" w:hAnsiTheme="majorHAnsi" w:cstheme="majorHAnsi"/>
          <w:lang w:eastAsia="ru-RU"/>
        </w:rPr>
      </w:pPr>
      <w:r>
        <w:rPr>
          <w:rFonts w:eastAsia="Times New Roman" w:asciiTheme="majorHAnsi" w:hAnsiTheme="majorHAnsi" w:cstheme="majorHAnsi"/>
          <w:lang w:eastAsia="ru-RU"/>
        </w:rPr>
        <w:t>Uncertain position over risk assessment.</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Actual results could materially differ from those estimates. The key assumptions concerning the future events and other key sources of estimation uncertainty at the reporting date that have a significant risk of a material adjustment to the carrying amounts of assets and liabilities within the next financial year are discussed below:</w:t>
      </w:r>
    </w:p>
    <w:p w:rsidR="009534E2" w:rsidRDefault="003369EB">
      <w:pPr>
        <w:pStyle w:val="Heading3"/>
      </w:pPr>
      <w:r>
        <w:t>Fair values of assets and liabilities acquired in business combinations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Group recognizes separately, at the acquisition date, the identifiable assets, liabilities and contingent liabilities acquired or assumed in the business combination at their fair values, which involves estimates. Such estimates are based on valuation techniques, which require considerable judgment in forecasting future cash flows and developing other assumptions.</w:t>
      </w:r>
    </w:p>
    <w:p w:rsidR="009534E2" w:rsidRDefault="003369EB">
      <w:pPr>
        <w:pStyle w:val="Heading3"/>
      </w:pPr>
      <w:r>
        <w:t>Impairment of goodwill and intangible assets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Impairment exists when the carrying value of an asset or cash generating unit exceeds its recoverable amount, which is the higher of its fair value less costs of disposal and its value in use. The fair value less costs of disposal calculation is based on available data from binding sales transactions, conducted at arm’s length, for similar assets or observable market prices less incremental costs of disposing of the asset. The value in use calculation, which is the main method for CGU level, is based on a DCF model. The cash flows are derived from the budget for the next tree years and do not include restructuring activities that the Group is not yet committed to or significant future investments that will enhance the performance of the assets of the CGU being tested. The recoverable amount is sensitive to the discount rate used for the DCF model as well as the expected future cash-inflows and the growth rate used for extrapolation purposes. These estimates are most relevant to goodwill and other intangibles with indefinite useful lives recognised by the Group. The key assumptions used to determine the recoverable amount for the different CGUs are disclosed and further explained in Note 11.</w:t>
      </w:r>
    </w:p>
    <w:p w:rsidR="009534E2" w:rsidRDefault="003369EB">
      <w:pPr>
        <w:rPr>
          <w:rFonts w:eastAsia="Times New Roman" w:asciiTheme="majorHAnsi" w:hAnsiTheme="majorHAnsi" w:cstheme="majorHAnsi"/>
          <w:lang w:eastAsia="ru-RU"/>
        </w:rPr>
      </w:pPr>
      <w:bookmarkStart w:name="_a7a8f90f_10bd_4130_9961_529fc3da960d" w:id="1308"/>
      <w:r>
        <w:rPr>
          <w:rFonts w:eastAsia="Times New Roman" w:asciiTheme="majorHAnsi" w:hAnsiTheme="majorHAnsi" w:cstheme="majorHAnsi"/>
          <w:lang w:eastAsia="ru-RU"/>
        </w:rPr>
        <w:br w:type="page"/>
      </w:r>
    </w:p>
    <w:p w:rsidR="009534E2" w:rsidRDefault="003369EB">
      <w:pPr>
        <w:pStyle w:val="Heading3"/>
        <w:ind w:left="360" w:hanging="360"/>
        <w:rPr>
          <w:i w:val="0"/>
          <w:iCs/>
        </w:rPr>
      </w:pPr>
      <w:r>
        <w:rPr>
          <w:i w:val="0"/>
          <w:iCs/>
        </w:rPr>
        <w:t>4.</w:t>
      </w:r>
      <w:r>
        <w:rPr>
          <w:i w:val="0"/>
          <w:iCs/>
        </w:rPr>
        <w:tab/>
      </w:r>
      <w:r>
        <w:rPr>
          <w:i w:val="0"/>
          <w:iCs/>
          <w:lang w:eastAsia="ru-RU"/>
        </w:rPr>
        <w:t xml:space="preserve">Significant accounting judgments, estimates and assumptions </w:t>
      </w:r>
      <w:r>
        <w:rPr>
          <w:i w:val="0"/>
          <w:iCs/>
        </w:rPr>
        <w:t>(continued)</w:t>
      </w:r>
    </w:p>
    <w:bookmarkEnd w:id="1308"/>
    <w:p w:rsidR="009534E2" w:rsidRDefault="003369EB">
      <w:pPr>
        <w:pStyle w:val="Heading3"/>
      </w:pPr>
      <w:r>
        <w:t xml:space="preserve">ECL measurement </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Group records an allowance for ECLs for financial guarantees, all loans, loan commitments and other debt financial assets, not held at FVPL. The ECL allowance is based on the credit losses expected to arise over the life of the asset (the lifetime expected credit loss or LTECL), unless there has been no significant increase in credit risk since origination, in which case, the allowance is based on the 12 months’ expected credit loss (12mECL). The 12mECL is the portion of LTECL that represents the ECLs that result from default events on a financial instrument that are possible within the 12 months after the reporting date. Both LTECL and 12mECL are calculated on either an individual basis or a collective basis, depending on the nature of the underlying portfolio of financial instruments.</w:t>
      </w:r>
    </w:p>
    <w:p w:rsidR="009534E2" w:rsidRDefault="003369EB">
      <w:pPr>
        <w:pStyle w:val="BodyText"/>
        <w:keepNext/>
        <w:rPr>
          <w:rFonts w:eastAsia="Times New Roman" w:asciiTheme="majorHAnsi" w:hAnsiTheme="majorHAnsi" w:cstheme="majorHAnsi"/>
          <w:lang w:eastAsia="ru-RU"/>
        </w:rPr>
      </w:pPr>
      <w:r>
        <w:rPr>
          <w:rFonts w:eastAsia="Times New Roman" w:asciiTheme="majorHAnsi" w:hAnsiTheme="majorHAnsi" w:cstheme="majorHAnsi"/>
          <w:lang w:eastAsia="ru-RU"/>
        </w:rPr>
        <w:t>ECLs are based on the difference between the contractual cash flows due in accordance with the contract and all the cash flows that the Group expects to receive. The shortfall is then discounted at an approximation to the asset’s original effective interest rate. The mechanics of the ECL calculations are outlined below and the key elements are as follows:</w:t>
      </w:r>
    </w:p>
    <w:p w:rsidR="009534E2" w:rsidRDefault="003369EB">
      <w:pPr>
        <w:pStyle w:val="BodyText"/>
        <w:ind w:left="720" w:hanging="720"/>
        <w:rPr>
          <w:rFonts w:eastAsia="Times New Roman" w:asciiTheme="majorHAnsi" w:hAnsiTheme="majorHAnsi" w:cstheme="majorHAnsi"/>
          <w:lang w:eastAsia="ru-RU"/>
        </w:rPr>
      </w:pPr>
      <w:r>
        <w:rPr>
          <w:rFonts w:eastAsia="Times New Roman" w:asciiTheme="majorHAnsi" w:hAnsiTheme="majorHAnsi" w:cstheme="majorHAnsi"/>
          <w:lang w:eastAsia="ru-RU"/>
        </w:rPr>
        <w:t>-  PD</w:t>
      </w:r>
      <w:r>
        <w:rPr>
          <w:rFonts w:eastAsia="Times New Roman" w:asciiTheme="majorHAnsi" w:hAnsiTheme="majorHAnsi" w:cstheme="majorHAnsi"/>
          <w:lang w:eastAsia="ru-RU"/>
        </w:rPr>
        <w:tab/>
        <w:t xml:space="preserve">The </w:t>
      </w:r>
      <w:r>
        <w:rPr>
          <w:rFonts w:eastAsia="Times New Roman" w:asciiTheme="majorHAnsi" w:hAnsiTheme="majorHAnsi" w:cstheme="majorHAnsi"/>
          <w:i/>
          <w:lang w:eastAsia="ru-RU"/>
        </w:rPr>
        <w:t>Probability of Default</w:t>
      </w:r>
      <w:r>
        <w:rPr>
          <w:rFonts w:eastAsia="Times New Roman" w:asciiTheme="majorHAnsi" w:hAnsiTheme="majorHAnsi" w:cstheme="majorHAnsi"/>
          <w:lang w:eastAsia="ru-RU"/>
        </w:rPr>
        <w:t xml:space="preserve"> is an estimate of the likelihood of default over a given time horizon. A default may only happen at a certain time over the assessed period, if the facility has not been previously derecognised and is still in the portfolio.</w:t>
      </w:r>
    </w:p>
    <w:p w:rsidR="009534E2" w:rsidRDefault="003369EB">
      <w:pPr>
        <w:pStyle w:val="BodyText"/>
        <w:ind w:left="720" w:hanging="720"/>
        <w:rPr>
          <w:rFonts w:eastAsia="Times New Roman" w:asciiTheme="majorHAnsi" w:hAnsiTheme="majorHAnsi" w:cstheme="majorHAnsi"/>
          <w:lang w:eastAsia="ru-RU"/>
        </w:rPr>
      </w:pPr>
      <w:r>
        <w:rPr>
          <w:rFonts w:eastAsia="Times New Roman" w:asciiTheme="majorHAnsi" w:hAnsiTheme="majorHAnsi" w:cstheme="majorHAnsi"/>
          <w:lang w:eastAsia="ru-RU"/>
        </w:rPr>
        <w:t>-  EAD</w:t>
      </w:r>
      <w:r>
        <w:rPr>
          <w:rFonts w:eastAsia="Times New Roman" w:asciiTheme="majorHAnsi" w:hAnsiTheme="majorHAnsi" w:cstheme="majorHAnsi"/>
          <w:lang w:eastAsia="ru-RU"/>
        </w:rPr>
        <w:tab/>
        <w:t xml:space="preserve">The </w:t>
      </w:r>
      <w:r>
        <w:rPr>
          <w:rFonts w:eastAsia="Times New Roman" w:asciiTheme="majorHAnsi" w:hAnsiTheme="majorHAnsi" w:cstheme="majorHAnsi"/>
          <w:i/>
          <w:lang w:eastAsia="ru-RU"/>
        </w:rPr>
        <w:t>Exposure at Default</w:t>
      </w:r>
      <w:r>
        <w:rPr>
          <w:rFonts w:eastAsia="Times New Roman" w:asciiTheme="majorHAnsi" w:hAnsiTheme="majorHAnsi" w:cstheme="majorHAnsi"/>
          <w:lang w:eastAsia="ru-RU"/>
        </w:rPr>
        <w:t xml:space="preserve"> is an estimate of the exposure at a future default date, taking into account expected changes in the exposure after the reporting date, including repayments of principal and interest, whether scheduled by contract or otherwise, expected drawdowns on committed facilities, and accrued interest from missed payments.</w:t>
      </w:r>
    </w:p>
    <w:p w:rsidR="009534E2" w:rsidRDefault="003369EB">
      <w:pPr>
        <w:pStyle w:val="BodyText"/>
        <w:ind w:left="720" w:hanging="720"/>
        <w:rPr>
          <w:rFonts w:eastAsia="Times New Roman" w:asciiTheme="majorHAnsi" w:hAnsiTheme="majorHAnsi" w:cstheme="majorHAnsi"/>
          <w:lang w:eastAsia="ru-RU"/>
        </w:rPr>
      </w:pPr>
      <w:r>
        <w:rPr>
          <w:rFonts w:eastAsia="Times New Roman" w:asciiTheme="majorHAnsi" w:hAnsiTheme="majorHAnsi" w:cstheme="majorHAnsi"/>
          <w:lang w:eastAsia="ru-RU"/>
        </w:rPr>
        <w:t>-  LGD</w:t>
      </w:r>
      <w:r>
        <w:rPr>
          <w:rFonts w:eastAsia="Times New Roman" w:asciiTheme="majorHAnsi" w:hAnsiTheme="majorHAnsi" w:cstheme="majorHAnsi"/>
          <w:lang w:eastAsia="ru-RU"/>
        </w:rPr>
        <w:tab/>
        <w:t xml:space="preserve">The </w:t>
      </w:r>
      <w:r>
        <w:rPr>
          <w:rFonts w:eastAsia="Times New Roman" w:asciiTheme="majorHAnsi" w:hAnsiTheme="majorHAnsi" w:cstheme="majorHAnsi"/>
          <w:i/>
          <w:lang w:eastAsia="ru-RU"/>
        </w:rPr>
        <w:t>Loss Given Default</w:t>
      </w:r>
      <w:r>
        <w:rPr>
          <w:rFonts w:eastAsia="Times New Roman" w:asciiTheme="majorHAnsi" w:hAnsiTheme="majorHAnsi" w:cstheme="majorHAnsi"/>
          <w:lang w:eastAsia="ru-RU"/>
        </w:rPr>
        <w:t xml:space="preserve"> is an estimate of the loss arising in the case where a default occurs at a given time. It is based on the difference between the contractual cash flows due and those that the lender would expect to receive, including from the realisation of any collateral. It is usually expressed as a percentage of the EAD.</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For other financial assets (i.e., cash in banks, loans and debt instruments) and financial liabilities (i.e., financial guarantees and credit related commitments) the Group has established a policy to perform an assessment, at the end of each reporting period, of whether a financial instrument’s credit risk has increased significantly since initial recognition, by considering the change in the risk of default occurring over the remaining life of the financial instrument.</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In all cases, the Group considers that there has been a significant increase in credit risk when contractual payments are more than </w:t>
      </w:r>
      <w:bookmarkStart w:name="_ee7efab2_b6af_4fbf_84b8_afa47b0ce5ef" w:id="1309"/>
      <w:r>
        <w:rPr>
          <w:rFonts w:eastAsia="Times New Roman" w:asciiTheme="majorHAnsi" w:hAnsiTheme="majorHAnsi" w:cstheme="majorHAnsi"/>
          <w:lang w:eastAsia="ru-RU"/>
        </w:rPr>
        <w:t>30 days</w:t>
      </w:r>
      <w:bookmarkEnd w:id="1309"/>
      <w:r>
        <w:rPr>
          <w:rFonts w:eastAsia="Times New Roman" w:asciiTheme="majorHAnsi" w:hAnsiTheme="majorHAnsi" w:cstheme="majorHAnsi"/>
          <w:lang w:eastAsia="ru-RU"/>
        </w:rPr>
        <w:t xml:space="preserve"> past due. The Group considers a financial asset in default when contractual payment are </w:t>
      </w:r>
      <w:bookmarkStart w:name="_08ebc079_061e_41d8_9f0d_f47240ebd1fb" w:id="1310"/>
      <w:r>
        <w:rPr>
          <w:rFonts w:eastAsia="Times New Roman" w:asciiTheme="majorHAnsi" w:hAnsiTheme="majorHAnsi" w:cstheme="majorHAnsi"/>
          <w:lang w:eastAsia="ru-RU"/>
        </w:rPr>
        <w:t>90 days</w:t>
      </w:r>
      <w:bookmarkEnd w:id="1310"/>
      <w:r>
        <w:rPr>
          <w:rFonts w:eastAsia="Times New Roman" w:asciiTheme="majorHAnsi" w:hAnsiTheme="majorHAnsi" w:cstheme="majorHAnsi"/>
          <w:lang w:eastAsia="ru-RU"/>
        </w:rPr>
        <w:t xml:space="preserve"> past due (except for debt securities and accounts/deposits within financial institutions of </w:t>
      </w:r>
      <w:bookmarkStart w:name="_c5632859_1b6d_43f0_a32e_842ac5799ae5" w:id="1311"/>
      <w:r>
        <w:rPr>
          <w:rFonts w:eastAsia="Times New Roman" w:asciiTheme="majorHAnsi" w:hAnsiTheme="majorHAnsi" w:cstheme="majorHAnsi"/>
          <w:lang w:eastAsia="ru-RU"/>
        </w:rPr>
        <w:t>14 days</w:t>
      </w:r>
      <w:bookmarkEnd w:id="1311"/>
      <w:r>
        <w:rPr>
          <w:rFonts w:eastAsia="Times New Roman" w:asciiTheme="majorHAnsi" w:hAnsiTheme="majorHAnsi" w:cstheme="majorHAnsi"/>
          <w:lang w:eastAsia="ru-RU"/>
        </w:rPr>
        <w:t>). However, in certain cases, the Group may also consider a financial asset to be in default when internal or external information indicates that the Group is unlikely to receive the outstanding contractual amounts in full before taking into account any credit enhancements held by the Group.</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For Trade and other receivables, the Group has applied the standard’s simplified approach and has calculated ECLs based on lifetime expected credit losses. The Group has established a provision matrix that is based on the Group’s historical credit loss experience, adjusted for forward-looking factors specific to the debtors and the economic environment.</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For factoring and performance loans and its undrawn credit commitments ELC calculation the Group used internal historical loans loss rates statistics for assessment of probabilities of default. The loss given default is an estimate of the loss arising in the case where a default occurs at a given time and is based on internal statistics.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Further details on provision for impairment of loans and receivables are disclosed in Notes 12, 13.</w:t>
      </w:r>
    </w:p>
    <w:p w:rsidR="009534E2" w:rsidRDefault="003369EB">
      <w:pPr>
        <w:pStyle w:val="Heading3"/>
      </w:pPr>
      <w:bookmarkStart w:name="_c5fe4727_aeef_47db_9263_6b8a9e543876" w:id="1312"/>
      <w:r>
        <w:t>Uncertainty over risk assessment</w:t>
      </w:r>
    </w:p>
    <w:bookmarkEnd w:id="1312"/>
    <w:p w:rsidR="009534E2" w:rsidRDefault="003369EB">
      <w:pPr>
        <w:pStyle w:val="BodyT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The Group discloses possible and recognises probable risks in respect of currency, customs,</w:t>
      </w:r>
      <w:r>
        <w:rPr>
          <w:rFonts w:asciiTheme="majorHAnsi" w:hAnsiTheme="majorHAnsi" w:cstheme="majorHAnsi"/>
        </w:rPr>
        <w:t xml:space="preserve"> </w:t>
      </w:r>
      <w:r>
        <w:rPr>
          <w:rFonts w:eastAsia="Times New Roman" w:asciiTheme="majorHAnsi" w:hAnsiTheme="majorHAnsi" w:cstheme="majorHAnsi"/>
          <w:lang w:eastAsia="ru-RU"/>
        </w:rPr>
        <w:t>litigations, tax and other regulatory positions. Management estimates the amount of risk based on its interpretation of the relevant legislation, in accordance with the current industry practice and in conformity with its estimation of probability, which requires considerable judgment. See Note 28 for the details and amount of possible risks.</w:t>
      </w:r>
    </w:p>
    <w:p w:rsidR="009534E2" w:rsidRDefault="00EC0AE1">
      <w:pPr>
        <w:rPr>
          <w:rFonts w:eastAsia="Times New Roman" w:asciiTheme="majorHAnsi" w:hAnsiTheme="majorHAnsi" w:cstheme="majorHAnsi"/>
          <w:lang w:eastAsia="ru-RU"/>
        </w:rPr>
      </w:pPr>
    </w:p>
    <w:p w:rsidR="009534E2" w:rsidRDefault="009534E2">
      <w:pPr>
        <w:pStyle w:val="BodyText"/>
        <w:spacing w:after="0"/>
        <w:rPr>
          <w:rFonts w:eastAsia="Times New Roman" w:asciiTheme="majorHAnsi" w:hAnsiTheme="majorHAnsi" w:cstheme="majorHAnsi"/>
          <w:sz w:val="2"/>
          <w:szCs w:val="2"/>
          <w:lang w:eastAsia="ru-RU"/>
        </w:rPr>
      </w:pPr>
    </w:p>
    <w:p w:rsidR="009534E2" w:rsidRDefault="003369EB">
      <w:pPr>
        <w:pStyle w:val="Heading1"/>
        <w:suppressAutoHyphens/>
        <w:ind w:left="360" w:hanging="360"/>
        <w:rPr>
          <w:lang w:val="ru-RU" w:eastAsia="ru-RU"/>
        </w:rPr>
      </w:pPr>
      <w:r>
        <w:rPr>
          <w:lang w:eastAsia="ru-RU"/>
        </w:rPr>
        <w:t>5.</w:t>
      </w:r>
      <w:r>
        <w:rPr>
          <w:lang w:eastAsia="ru-RU"/>
        </w:rPr>
        <w:tab/>
      </w:r>
      <w:r>
        <w:rPr>
          <w:lang w:val="ru-RU" w:eastAsia="ru-RU"/>
        </w:rPr>
        <w:t>Consolidated subsidiaries</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The consolidated IFRS financial statements include the assets, liabilities and financial results of the Company and its subsidiaries. The subsidiaries are listed below:</w:t>
      </w:r>
      <w:bookmarkStart w:name="_032c9ce7_e176_44bb_a9b3_b4c72523da5d" w:id="1313"/>
    </w:p>
    <w:p w:rsidR="009534E2" w:rsidRDefault="009534E2">
      <w:pPr>
        <w:pStyle w:val="BodyText"/>
        <w:keepNext/>
        <w:spacing w:after="0"/>
        <w:rPr>
          <w:rFonts w:eastAsia="Times New Roman" w:asciiTheme="majorHAnsi" w:hAnsiTheme="majorHAnsi" w:cstheme="majorHAnsi"/>
          <w:lang w:eastAsia="ru-RU"/>
        </w:rPr>
      </w:pPr>
    </w:p>
    <w:tbl>
      <w:tblPr>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817"/>
        <w:gridCol w:w="160"/>
        <w:gridCol w:w="4501"/>
        <w:gridCol w:w="160"/>
        <w:gridCol w:w="973"/>
        <w:gridCol w:w="214"/>
        <w:gridCol w:w="973"/>
        <w:gridCol w:w="134"/>
      </w:tblGrid>
      <w:tr w:rsidR="009534E2">
        <w:trPr>
          <w:trHeight w:val="20" w:hRule="exact"/>
          <w:jc w:val="center"/>
        </w:trPr>
        <w:tc>
          <w:tcPr>
            <w:tcW w:w="1746"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43eabfc5_6349_48ec_b29d_3a97dd3b7be1" w:id="1314"/>
            <w:bookmarkStart w:name="_5f55d1c6_a2b7_4f42_b8e9_9d7317de7b20" w:colFirst="0" w:colLast="0" w:id="1315"/>
            <w:bookmarkStart w:name="_2d50511f_ba55_4cc1_863b_20e01d87bcb8" w:colFirst="1" w:colLast="1" w:id="1316"/>
            <w:bookmarkStart w:name="_4b63aa84_40af_453e_9a3b_32ccf92ceb59" w:colFirst="2" w:colLast="2" w:id="1317"/>
            <w:bookmarkStart w:name="_5524e0e4_9005_4b34_af67_939fc91c5176" w:colFirst="3" w:colLast="3" w:id="1318"/>
            <w:bookmarkStart w:name="_c2f49729_ec9a_4981_bfb1_0fdd3b304452" w:colFirst="4" w:colLast="4" w:id="1319"/>
            <w:bookmarkStart w:name="_1ed4c2ae_53fb_466b_850d_e10dcd072227" w:colFirst="5" w:colLast="5" w:id="1320"/>
            <w:bookmarkStart w:name="_1123966a_50f5_45b2_87ab_882b4b05f3b5" w:colFirst="6" w:colLast="6" w:id="1321"/>
            <w:bookmarkStart w:name="_5faf0151_8e56_405d_a9c3_601c6de0e27c" w:colFirst="7" w:colLast="7" w:id="1322"/>
            <w:bookmarkStart w:name="_b3f2785e_e674_4753_96fb_f77738efea45" w:id="1323"/>
            <w:bookmarkStart w:name="_fb42f1f4_0c52_4bf5_9df5_7180b107ff52" w:id="1324"/>
            <w:bookmarkEnd w:id="1314"/>
          </w:p>
        </w:tc>
        <w:tc>
          <w:tcPr>
            <w:tcW w:w="7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059"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4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9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4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6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1746"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fe0b4f29_f4c0_482e_9189_3983f925ede8" w:id="1325"/>
            <w:bookmarkEnd w:id="1315"/>
            <w:bookmarkEnd w:id="1316"/>
            <w:bookmarkEnd w:id="1317"/>
            <w:bookmarkEnd w:id="1318"/>
            <w:bookmarkEnd w:id="1319"/>
            <w:bookmarkEnd w:id="1320"/>
            <w:bookmarkEnd w:id="1321"/>
            <w:bookmarkEnd w:id="1322"/>
          </w:p>
        </w:tc>
        <w:tc>
          <w:tcPr>
            <w:tcW w:w="7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2059"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7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988"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Ownership interest</w:t>
            </w:r>
          </w:p>
        </w:tc>
        <w:tc>
          <w:tcPr>
            <w:tcW w:w="61"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r>
      <w:tr w:rsidR="009534E2">
        <w:trPr>
          <w:jc w:val="center"/>
        </w:trPr>
        <w:tc>
          <w:tcPr>
            <w:tcW w:w="1746"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629d232e_df2f_44df_8149_ef36f5f89d7b" w:id="1326"/>
            <w:bookmarkEnd w:id="1325"/>
          </w:p>
        </w:tc>
        <w:tc>
          <w:tcPr>
            <w:tcW w:w="7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2059"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7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c>
          <w:tcPr>
            <w:tcW w:w="98"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c>
          <w:tcPr>
            <w:tcW w:w="61"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r>
      <w:tr w:rsidR="009534E2">
        <w:trPr>
          <w:jc w:val="center"/>
        </w:trPr>
        <w:tc>
          <w:tcPr>
            <w:tcW w:w="1746"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b22bfcfa_6120_4bf2_90b4_e27923e8039d" w:id="1327"/>
            <w:bookmarkEnd w:id="1326"/>
          </w:p>
        </w:tc>
        <w:tc>
          <w:tcPr>
            <w:tcW w:w="7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2059"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7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w:t>
            </w:r>
          </w:p>
        </w:tc>
        <w:tc>
          <w:tcPr>
            <w:tcW w:w="98"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w:t>
            </w:r>
          </w:p>
        </w:tc>
        <w:tc>
          <w:tcPr>
            <w:tcW w:w="61"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r>
      <w:tr w:rsidR="009534E2">
        <w:trPr>
          <w:jc w:val="center"/>
        </w:trPr>
        <w:tc>
          <w:tcPr>
            <w:tcW w:w="1746" w:type="pct"/>
            <w:tcBorders>
              <w:top w:val="nil"/>
              <w:left w:val="nil"/>
              <w:bottom w:val="single" w:color="000000" w:sz="4" w:space="0"/>
              <w:right w:val="nil"/>
              <w:tl2br w:val="nil"/>
              <w:tr2bl w:val="nil"/>
            </w:tcBorders>
            <w:shd w:val="clear" w:color="auto" w:fill="auto"/>
            <w:vAlign w:val="bottom"/>
          </w:tcPr>
          <w:p w:rsidR="009534E2" w:rsidRDefault="003369EB">
            <w:pPr>
              <w:keepNext/>
              <w:rPr>
                <w:rFonts w:asciiTheme="majorHAnsi" w:hAnsiTheme="majorHAnsi" w:cstheme="majorHAnsi"/>
                <w:b/>
                <w:color w:val="000000"/>
                <w:sz w:val="16"/>
              </w:rPr>
            </w:pPr>
            <w:bookmarkStart w:name="_62b9464d_210a_4235_85ea_c060be1a2f08" w:id="1328"/>
            <w:bookmarkEnd w:id="1327"/>
            <w:r>
              <w:rPr>
                <w:rFonts w:eastAsia="Times New Roman" w:asciiTheme="majorHAnsi" w:hAnsiTheme="majorHAnsi" w:cstheme="majorHAnsi"/>
                <w:b/>
                <w:color w:val="000000"/>
                <w:sz w:val="16"/>
              </w:rPr>
              <w:t>Subsidiary</w:t>
            </w:r>
          </w:p>
        </w:tc>
        <w:tc>
          <w:tcPr>
            <w:tcW w:w="73"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2059"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Main activity</w:t>
            </w:r>
          </w:p>
        </w:tc>
        <w:tc>
          <w:tcPr>
            <w:tcW w:w="73"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4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9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4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c>
          <w:tcPr>
            <w:tcW w:w="61"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r>
      <w:tr w:rsidR="009534E2">
        <w:trPr>
          <w:jc w:val="center"/>
        </w:trPr>
        <w:tc>
          <w:tcPr>
            <w:tcW w:w="1746"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sz w:val="16"/>
              </w:rPr>
            </w:pPr>
            <w:bookmarkStart w:name="_6b363dbe_9746_4e8a_bd19_54110c0d71da" w:id="1329"/>
            <w:bookmarkEnd w:id="1328"/>
            <w:r>
              <w:rPr>
                <w:rFonts w:eastAsia="Times New Roman" w:asciiTheme="majorHAnsi" w:hAnsiTheme="majorHAnsi" w:cstheme="majorHAnsi"/>
                <w:color w:val="000000"/>
                <w:sz w:val="16"/>
              </w:rPr>
              <w:t>JSC QIWI (Russia)</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Operation of electronic payment kiosks</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100</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tcPr>
          <w:p w:rsidR="009534E2" w:rsidRDefault="003369EB">
            <w:pPr>
              <w:keepNext/>
              <w:rPr>
                <w:rFonts w:asciiTheme="majorHAnsi" w:hAnsiTheme="majorHAnsi" w:cstheme="majorHAnsi"/>
                <w:color w:val="000000"/>
                <w:sz w:val="16"/>
              </w:rPr>
            </w:pPr>
            <w:bookmarkStart w:name="_356010cd_45cf_403a_9432_998704794a7b" w:id="1330"/>
            <w:bookmarkEnd w:id="1329"/>
            <w:r>
              <w:rPr>
                <w:rFonts w:eastAsia="Times New Roman" w:asciiTheme="majorHAnsi" w:hAnsiTheme="majorHAnsi" w:cstheme="majorHAnsi"/>
                <w:color w:val="000000"/>
                <w:sz w:val="16"/>
              </w:rPr>
              <w:t xml:space="preserve">QIWI Bank JSC (Russia) </w:t>
            </w:r>
          </w:p>
        </w:tc>
        <w:tc>
          <w:tcPr>
            <w:tcW w:w="7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059"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Maintenance of electronic payment systems, money transfers and Bank operations</w:t>
            </w:r>
          </w:p>
        </w:tc>
        <w:tc>
          <w:tcPr>
            <w:tcW w:w="7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100</w:t>
            </w:r>
          </w:p>
        </w:tc>
        <w:tc>
          <w:tcPr>
            <w:tcW w:w="9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sz w:val="16"/>
              </w:rPr>
            </w:pPr>
            <w:bookmarkStart w:name="_57771f05_77a4_4ead_aa69_603ceb3e547d" w:id="1331"/>
            <w:bookmarkEnd w:id="1330"/>
            <w:r>
              <w:rPr>
                <w:rFonts w:eastAsia="Times New Roman" w:asciiTheme="majorHAnsi" w:hAnsiTheme="majorHAnsi" w:cstheme="majorHAnsi"/>
                <w:color w:val="000000"/>
                <w:sz w:val="16"/>
              </w:rPr>
              <w:t xml:space="preserve">QIWI Payments Services Provider Ltd (UAE) </w:t>
            </w:r>
          </w:p>
        </w:tc>
        <w:tc>
          <w:tcPr>
            <w:tcW w:w="7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Operation of on-line payments</w:t>
            </w:r>
          </w:p>
        </w:tc>
        <w:tc>
          <w:tcPr>
            <w:tcW w:w="7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100</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sz w:val="16"/>
              </w:rPr>
            </w:pPr>
            <w:bookmarkStart w:name="_e54c321a_2ee9_4ba6_bfb2_65afd9672d01" w:id="1332"/>
            <w:bookmarkEnd w:id="1331"/>
            <w:r>
              <w:rPr>
                <w:rFonts w:eastAsia="Times New Roman" w:asciiTheme="majorHAnsi" w:hAnsiTheme="majorHAnsi" w:cstheme="majorHAnsi"/>
                <w:color w:val="000000"/>
                <w:sz w:val="16"/>
              </w:rPr>
              <w:t xml:space="preserve">QIWI International Payment System LLC (USA) </w:t>
            </w:r>
          </w:p>
        </w:tc>
        <w:tc>
          <w:tcPr>
            <w:tcW w:w="7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059"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Operation of electronic payment kiosks</w:t>
            </w:r>
          </w:p>
        </w:tc>
        <w:tc>
          <w:tcPr>
            <w:tcW w:w="7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100</w:t>
            </w:r>
          </w:p>
        </w:tc>
        <w:tc>
          <w:tcPr>
            <w:tcW w:w="9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sz w:val="16"/>
              </w:rPr>
            </w:pPr>
            <w:bookmarkStart w:name="_831ff1f2_d604_4d0a_85c2_00a21c4434fe" w:id="1333"/>
            <w:bookmarkEnd w:id="1332"/>
            <w:r>
              <w:rPr>
                <w:rFonts w:eastAsia="Times New Roman" w:asciiTheme="majorHAnsi" w:hAnsiTheme="majorHAnsi" w:cstheme="majorHAnsi"/>
                <w:color w:val="000000"/>
                <w:sz w:val="16"/>
              </w:rPr>
              <w:t>Qiwi Kazakhstan  LP (Kazakhstan)</w:t>
            </w:r>
          </w:p>
        </w:tc>
        <w:tc>
          <w:tcPr>
            <w:tcW w:w="7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Operation of electronic payment kiosks</w:t>
            </w:r>
          </w:p>
        </w:tc>
        <w:tc>
          <w:tcPr>
            <w:tcW w:w="7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100</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sz w:val="16"/>
              </w:rPr>
            </w:pPr>
            <w:bookmarkStart w:name="_7dbab71f_969c_4abe_8aba_b8e0d4582ab5" w:id="1334"/>
            <w:bookmarkEnd w:id="1333"/>
            <w:r>
              <w:rPr>
                <w:rFonts w:eastAsia="Times New Roman" w:asciiTheme="majorHAnsi" w:hAnsiTheme="majorHAnsi" w:cstheme="majorHAnsi"/>
                <w:color w:val="000000"/>
                <w:sz w:val="16"/>
              </w:rPr>
              <w:t>JLLC OSMP BEL (Belarus)</w:t>
            </w:r>
          </w:p>
        </w:tc>
        <w:tc>
          <w:tcPr>
            <w:tcW w:w="7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059"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Operation of electronic payment kiosks</w:t>
            </w:r>
          </w:p>
        </w:tc>
        <w:tc>
          <w:tcPr>
            <w:tcW w:w="7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51</w:t>
            </w:r>
          </w:p>
        </w:tc>
        <w:tc>
          <w:tcPr>
            <w:tcW w:w="9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51</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sz w:val="16"/>
              </w:rPr>
            </w:pPr>
            <w:bookmarkStart w:name="_c6dfd3da_88e2_4fc5_982b_aa6465089b77" w:id="1335"/>
            <w:bookmarkEnd w:id="1334"/>
            <w:r>
              <w:rPr>
                <w:rFonts w:eastAsia="Times New Roman" w:asciiTheme="majorHAnsi" w:hAnsiTheme="majorHAnsi" w:cstheme="majorHAnsi"/>
                <w:color w:val="000000"/>
                <w:sz w:val="16"/>
              </w:rPr>
              <w:t>QIWI-M S.R.L. (Moldova)</w:t>
            </w:r>
          </w:p>
        </w:tc>
        <w:tc>
          <w:tcPr>
            <w:tcW w:w="7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Operation of electronic payment kiosks</w:t>
            </w:r>
          </w:p>
        </w:tc>
        <w:tc>
          <w:tcPr>
            <w:tcW w:w="7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51</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51</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sz w:val="16"/>
              </w:rPr>
            </w:pPr>
            <w:bookmarkStart w:name="_c11f1e35_5470_4c16_9627_299df0e063aa" w:id="1336"/>
            <w:bookmarkEnd w:id="1335"/>
            <w:r>
              <w:rPr>
                <w:rFonts w:eastAsia="Times New Roman" w:asciiTheme="majorHAnsi" w:hAnsiTheme="majorHAnsi" w:cstheme="majorHAnsi"/>
                <w:color w:val="000000"/>
                <w:sz w:val="16"/>
              </w:rPr>
              <w:t>QIWI Technologies LLC (Russia)</w:t>
            </w:r>
          </w:p>
        </w:tc>
        <w:tc>
          <w:tcPr>
            <w:tcW w:w="7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059"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Software development</w:t>
            </w:r>
          </w:p>
        </w:tc>
        <w:tc>
          <w:tcPr>
            <w:tcW w:w="7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9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80</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sz w:val="16"/>
              </w:rPr>
            </w:pPr>
            <w:bookmarkStart w:name="_83932969_d627_4eb3_80fd_725b1f83e62e" w:id="1337"/>
            <w:bookmarkEnd w:id="1336"/>
            <w:r>
              <w:rPr>
                <w:rFonts w:eastAsia="Times New Roman" w:asciiTheme="majorHAnsi" w:hAnsiTheme="majorHAnsi" w:cstheme="majorHAnsi"/>
                <w:color w:val="000000"/>
                <w:sz w:val="16"/>
              </w:rPr>
              <w:t>ROWI Factoring Plus LLC (Russia)</w:t>
            </w:r>
          </w:p>
        </w:tc>
        <w:tc>
          <w:tcPr>
            <w:tcW w:w="7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Factoring services to SME</w:t>
            </w:r>
          </w:p>
        </w:tc>
        <w:tc>
          <w:tcPr>
            <w:tcW w:w="7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51</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51</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sz w:val="16"/>
              </w:rPr>
            </w:pPr>
            <w:bookmarkStart w:name="_8de89646_018f_49c8_a476_af0ce33dc421" w:id="1338"/>
            <w:bookmarkEnd w:id="1337"/>
            <w:r>
              <w:rPr>
                <w:rFonts w:eastAsia="Times New Roman" w:asciiTheme="majorHAnsi" w:hAnsiTheme="majorHAnsi" w:cstheme="majorHAnsi"/>
                <w:color w:val="000000"/>
                <w:sz w:val="16"/>
              </w:rPr>
              <w:t>ContactPay Solution (United Kingdom)</w:t>
            </w:r>
          </w:p>
        </w:tc>
        <w:tc>
          <w:tcPr>
            <w:tcW w:w="7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059"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Operation of on-line payments</w:t>
            </w:r>
          </w:p>
        </w:tc>
        <w:tc>
          <w:tcPr>
            <w:tcW w:w="7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9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sz w:val="16"/>
              </w:rPr>
            </w:pPr>
            <w:bookmarkStart w:name="_7cbe7da8_e4dc_4338_9898_b61320042575" w:id="1339"/>
            <w:bookmarkEnd w:id="1338"/>
            <w:r>
              <w:rPr>
                <w:rFonts w:eastAsia="Times New Roman" w:asciiTheme="majorHAnsi" w:hAnsiTheme="majorHAnsi" w:cstheme="majorHAnsi"/>
                <w:color w:val="000000"/>
                <w:sz w:val="16"/>
              </w:rPr>
              <w:t>Rocket Universe LLC (Russia)</w:t>
            </w:r>
          </w:p>
        </w:tc>
        <w:tc>
          <w:tcPr>
            <w:tcW w:w="7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Software development</w:t>
            </w:r>
          </w:p>
        </w:tc>
        <w:tc>
          <w:tcPr>
            <w:tcW w:w="7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sz w:val="16"/>
              </w:rPr>
            </w:pPr>
            <w:bookmarkStart w:name="_0277a3f6_1c53_457e_bcc6_5d9b0aa1c669" w:id="1340"/>
            <w:bookmarkEnd w:id="1339"/>
            <w:r>
              <w:rPr>
                <w:rFonts w:eastAsia="Times New Roman" w:asciiTheme="majorHAnsi" w:hAnsiTheme="majorHAnsi" w:cstheme="majorHAnsi"/>
                <w:color w:val="000000"/>
                <w:sz w:val="16"/>
              </w:rPr>
              <w:t>Billing Online Solutions LLC (Russia)</w:t>
            </w:r>
          </w:p>
        </w:tc>
        <w:tc>
          <w:tcPr>
            <w:tcW w:w="7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059"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Software development</w:t>
            </w:r>
          </w:p>
        </w:tc>
        <w:tc>
          <w:tcPr>
            <w:tcW w:w="7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9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sz w:val="16"/>
              </w:rPr>
            </w:pPr>
            <w:bookmarkStart w:name="_31f9c7a9_f287_46a3_980d_b2152bb7b8d1" w:id="1341"/>
            <w:bookmarkEnd w:id="1340"/>
            <w:r>
              <w:rPr>
                <w:rFonts w:eastAsia="Times New Roman" w:asciiTheme="majorHAnsi" w:hAnsiTheme="majorHAnsi" w:cstheme="majorHAnsi"/>
                <w:color w:val="000000"/>
                <w:sz w:val="16"/>
              </w:rPr>
              <w:t>Flocktory Ltd (Cyprus)</w:t>
            </w:r>
          </w:p>
        </w:tc>
        <w:tc>
          <w:tcPr>
            <w:tcW w:w="7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059"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Holding company</w:t>
            </w:r>
          </w:p>
        </w:tc>
        <w:tc>
          <w:tcPr>
            <w:tcW w:w="7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sz w:val="16"/>
              </w:rPr>
            </w:pPr>
            <w:bookmarkStart w:name="_f17e535a_830d_4a54_adc7_b0403d18f75c" w:id="1342"/>
            <w:bookmarkEnd w:id="1341"/>
            <w:r>
              <w:rPr>
                <w:rFonts w:eastAsia="Times New Roman" w:asciiTheme="majorHAnsi" w:hAnsiTheme="majorHAnsi" w:cstheme="majorHAnsi"/>
                <w:color w:val="000000"/>
                <w:sz w:val="16"/>
              </w:rPr>
              <w:t>Flocktory Spain S.L. (Spain)</w:t>
            </w:r>
          </w:p>
        </w:tc>
        <w:tc>
          <w:tcPr>
            <w:tcW w:w="7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059"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SaaS platform for customer lifecycle management and personalization</w:t>
            </w:r>
          </w:p>
        </w:tc>
        <w:tc>
          <w:tcPr>
            <w:tcW w:w="7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9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sz w:val="16"/>
              </w:rPr>
            </w:pPr>
            <w:bookmarkStart w:name="_d9d4ef2b_14e9_4179_8014_681d4b96a085" w:id="1343"/>
            <w:bookmarkEnd w:id="1342"/>
            <w:r>
              <w:rPr>
                <w:rFonts w:eastAsia="Times New Roman" w:asciiTheme="majorHAnsi" w:hAnsiTheme="majorHAnsi" w:cstheme="majorHAnsi"/>
                <w:color w:val="000000"/>
                <w:sz w:val="16"/>
              </w:rPr>
              <w:t>FreeAtLast LLC (Russia)</w:t>
            </w:r>
          </w:p>
        </w:tc>
        <w:tc>
          <w:tcPr>
            <w:tcW w:w="7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SaaS platform for customer lifecycle management and personalization</w:t>
            </w:r>
          </w:p>
        </w:tc>
        <w:tc>
          <w:tcPr>
            <w:tcW w:w="7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sz w:val="16"/>
              </w:rPr>
            </w:pPr>
            <w:bookmarkStart w:name="_f43da65f_1c13_4f48_a941_4d835838693e" w:id="1344"/>
            <w:bookmarkEnd w:id="1343"/>
            <w:r>
              <w:rPr>
                <w:rFonts w:eastAsia="Times New Roman" w:asciiTheme="majorHAnsi" w:hAnsiTheme="majorHAnsi" w:cstheme="majorHAnsi"/>
                <w:color w:val="000000"/>
                <w:sz w:val="16"/>
              </w:rPr>
              <w:t>SETTE FZ-LLC (UAE)</w:t>
            </w:r>
          </w:p>
        </w:tc>
        <w:tc>
          <w:tcPr>
            <w:tcW w:w="7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2059"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Payment Services Provider</w:t>
            </w:r>
          </w:p>
        </w:tc>
        <w:tc>
          <w:tcPr>
            <w:tcW w:w="7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9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bookmarkStart w:name="_713b09e7_a385_4faf_9154_351e0eaed132" w:id="1345"/>
            <w:bookmarkEnd w:id="1344"/>
            <w:r>
              <w:rPr>
                <w:rFonts w:eastAsia="Times New Roman" w:asciiTheme="majorHAnsi" w:hAnsiTheme="majorHAnsi" w:cstheme="majorHAnsi"/>
                <w:color w:val="000000"/>
                <w:sz w:val="16"/>
              </w:rPr>
              <w:t>LALIRA DMCC (UAE)</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Payment Services Provider</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bookmarkStart w:name="_8062cf1c_f2e6_4613_a6e6_4d04116e0f0f" w:id="1346"/>
            <w:bookmarkEnd w:id="1345"/>
            <w:r>
              <w:rPr>
                <w:rFonts w:eastAsia="Times New Roman" w:asciiTheme="majorHAnsi" w:hAnsiTheme="majorHAnsi" w:cstheme="majorHAnsi"/>
                <w:color w:val="000000"/>
                <w:sz w:val="16"/>
              </w:rPr>
              <w:t>MFC Polet Finance LLC(Russia)</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Retail financial services</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9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bookmarkStart w:name="_1a14c22f_d0af_497a_ace7_25b7f55ce79e" w:id="1347"/>
            <w:bookmarkEnd w:id="1346"/>
            <w:r>
              <w:rPr>
                <w:rFonts w:eastAsia="Times New Roman" w:asciiTheme="majorHAnsi" w:hAnsiTheme="majorHAnsi" w:cstheme="majorHAnsi"/>
                <w:color w:val="000000"/>
                <w:sz w:val="16"/>
              </w:rPr>
              <w:t>QIWI Finance LLC (Russia)</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Financing management</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bookmarkStart w:name="_21611bf2_7cdd_4199_bd01_12e6ebbd5499" w:id="1348"/>
            <w:bookmarkEnd w:id="1347"/>
            <w:r>
              <w:rPr>
                <w:rFonts w:eastAsia="Times New Roman" w:asciiTheme="majorHAnsi" w:hAnsiTheme="majorHAnsi" w:cstheme="majorHAnsi"/>
                <w:color w:val="000000"/>
                <w:sz w:val="16"/>
              </w:rPr>
              <w:t>ROWI Tech LLC (Russia)</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Software development</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51</w:t>
            </w:r>
          </w:p>
        </w:tc>
        <w:tc>
          <w:tcPr>
            <w:tcW w:w="9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51</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bookmarkStart w:name="_0ae37269_056c_4716_bdfc_140b56a5f418" w:id="1349"/>
            <w:bookmarkEnd w:id="1348"/>
            <w:r>
              <w:rPr>
                <w:rFonts w:eastAsia="Times New Roman" w:asciiTheme="majorHAnsi" w:hAnsiTheme="majorHAnsi" w:cstheme="majorHAnsi"/>
                <w:color w:val="000000"/>
                <w:sz w:val="16"/>
              </w:rPr>
              <w:t>QIWI Platform LLC (Russia)</w:t>
            </w:r>
            <w:r>
              <w:rPr>
                <w:rFonts w:eastAsia="Times New Roman" w:asciiTheme="majorHAnsi" w:hAnsiTheme="majorHAnsi" w:cstheme="majorHAnsi"/>
                <w:color w:val="000000"/>
                <w:sz w:val="16"/>
                <w:vertAlign w:val="superscript"/>
              </w:rPr>
              <w:t>1</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Software development</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9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61"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r>
      <w:tr w:rsidR="009534E2">
        <w:trPr>
          <w:jc w:val="center"/>
        </w:trPr>
        <w:tc>
          <w:tcPr>
            <w:tcW w:w="1746"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bookmarkStart w:name="_4f8361a8_6724_4ff2_b05d_3939cc5e913a" w:id="1350"/>
            <w:bookmarkEnd w:id="1349"/>
            <w:r>
              <w:rPr>
                <w:rFonts w:eastAsia="Times New Roman" w:asciiTheme="majorHAnsi" w:hAnsiTheme="majorHAnsi" w:cstheme="majorHAnsi"/>
                <w:color w:val="000000"/>
                <w:sz w:val="16"/>
              </w:rPr>
              <w:t>Flocktory LLC (Russia)</w:t>
            </w:r>
            <w:r>
              <w:rPr>
                <w:rFonts w:eastAsia="Times New Roman" w:asciiTheme="majorHAnsi" w:hAnsiTheme="majorHAnsi" w:cstheme="majorHAnsi"/>
                <w:color w:val="000000"/>
                <w:sz w:val="16"/>
                <w:vertAlign w:val="superscript"/>
              </w:rPr>
              <w:t>2</w:t>
            </w:r>
            <w:r>
              <w:rPr>
                <w:rFonts w:eastAsia="Times New Roman" w:asciiTheme="majorHAnsi" w:hAnsiTheme="majorHAnsi" w:cstheme="majorHAnsi"/>
                <w:color w:val="000000"/>
                <w:sz w:val="16"/>
              </w:rPr>
              <w:t xml:space="preserve"> </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Research and development</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bookmarkStart w:name="_bac7946d_d89a_4ac6_8f56_43cef7ba9a39" w:id="1351"/>
            <w:bookmarkEnd w:id="1350"/>
            <w:r>
              <w:rPr>
                <w:rFonts w:eastAsia="Times New Roman" w:asciiTheme="majorHAnsi" w:hAnsiTheme="majorHAnsi" w:cstheme="majorHAnsi"/>
                <w:color w:val="000000"/>
                <w:sz w:val="16"/>
              </w:rPr>
              <w:t>Qiwi Lab LLC (Russia)</w:t>
            </w:r>
            <w:r>
              <w:rPr>
                <w:rFonts w:eastAsia="Times New Roman" w:asciiTheme="majorHAnsi" w:hAnsiTheme="majorHAnsi" w:cstheme="majorHAnsi"/>
                <w:color w:val="000000"/>
                <w:sz w:val="16"/>
                <w:vertAlign w:val="superscript"/>
              </w:rPr>
              <w:t>2</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Software development</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bookmarkStart w:name="_53a6fb39_d212_4977_af18_1ae679416f0e" w:id="1352"/>
            <w:bookmarkEnd w:id="1351"/>
            <w:r>
              <w:rPr>
                <w:rFonts w:eastAsia="Times New Roman" w:asciiTheme="majorHAnsi" w:hAnsiTheme="majorHAnsi" w:cstheme="majorHAnsi"/>
                <w:color w:val="000000"/>
                <w:sz w:val="16"/>
              </w:rPr>
              <w:t>QIWI Payments LLC (Russia)</w:t>
            </w:r>
            <w:r>
              <w:rPr>
                <w:rFonts w:eastAsia="Times New Roman" w:asciiTheme="majorHAnsi" w:hAnsiTheme="majorHAnsi" w:cstheme="majorHAnsi"/>
                <w:color w:val="000000"/>
                <w:sz w:val="16"/>
                <w:vertAlign w:val="superscript"/>
              </w:rPr>
              <w:t>2</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Software development</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80</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bookmarkStart w:name="_32fa64d8_672d_4531_8c83_1eaa6de534e2" w:id="1353"/>
            <w:bookmarkEnd w:id="1352"/>
            <w:r>
              <w:rPr>
                <w:rFonts w:eastAsia="Times New Roman" w:asciiTheme="majorHAnsi" w:hAnsiTheme="majorHAnsi" w:cstheme="majorHAnsi"/>
                <w:color w:val="000000"/>
                <w:sz w:val="16"/>
              </w:rPr>
              <w:t>IntellectMoney LLC (Russia)</w:t>
            </w:r>
            <w:r>
              <w:rPr>
                <w:rFonts w:eastAsia="Times New Roman" w:asciiTheme="majorHAnsi" w:hAnsiTheme="majorHAnsi" w:cstheme="majorHAnsi"/>
                <w:color w:val="000000"/>
                <w:sz w:val="16"/>
                <w:vertAlign w:val="superscript"/>
              </w:rPr>
              <w:t>3</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Software development</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bookmarkStart w:name="_7c9242df_7050_4c7b_b7d0_b2b7333be2f1" w:id="1354"/>
            <w:bookmarkEnd w:id="1353"/>
            <w:r>
              <w:rPr>
                <w:rFonts w:eastAsia="Times New Roman" w:asciiTheme="majorHAnsi" w:hAnsiTheme="majorHAnsi" w:cstheme="majorHAnsi"/>
                <w:color w:val="000000"/>
                <w:sz w:val="16"/>
              </w:rPr>
              <w:t>Managing Company "RealWeb" Ltd (Russia) (Note 6)</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Management services</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bookmarkStart w:name="_941e88c0_5a4b_4e13_86d1_e770db042501" w:id="1355"/>
            <w:bookmarkEnd w:id="1354"/>
            <w:r>
              <w:rPr>
                <w:rFonts w:eastAsia="Times New Roman" w:asciiTheme="majorHAnsi" w:hAnsiTheme="majorHAnsi" w:cstheme="majorHAnsi"/>
                <w:color w:val="000000"/>
                <w:sz w:val="16"/>
              </w:rPr>
              <w:t>IA RealWeb Ltd (Russia) (Note 6)</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Digital marketing</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75</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bookmarkStart w:name="_d970e060_888e_4222_99dd_0b9b5a13a728" w:id="1356"/>
            <w:bookmarkEnd w:id="1355"/>
            <w:r>
              <w:rPr>
                <w:rFonts w:eastAsia="Times New Roman" w:asciiTheme="majorHAnsi" w:hAnsiTheme="majorHAnsi" w:cstheme="majorHAnsi"/>
                <w:color w:val="000000"/>
                <w:sz w:val="16"/>
              </w:rPr>
              <w:t>Sfera LLC (Russia) (Note 6)</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Digital marketing</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83</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bookmarkStart w:name="_61ac2551_323e_4117_b6b2_c497afea6933" w:id="1357"/>
            <w:bookmarkEnd w:id="1356"/>
            <w:r>
              <w:rPr>
                <w:rFonts w:eastAsia="Times New Roman" w:asciiTheme="majorHAnsi" w:hAnsiTheme="majorHAnsi" w:cstheme="majorHAnsi"/>
                <w:color w:val="000000"/>
                <w:sz w:val="16"/>
              </w:rPr>
              <w:t>Centra Ltd (Russia) (Note 6)</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Software development</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bookmarkStart w:name="_95971fa9_8f73_4bd0_a42f_9a0570963abc" w:id="1358"/>
            <w:bookmarkEnd w:id="1357"/>
            <w:r>
              <w:rPr>
                <w:rFonts w:eastAsia="Times New Roman" w:asciiTheme="majorHAnsi" w:hAnsiTheme="majorHAnsi" w:cstheme="majorHAnsi"/>
                <w:color w:val="000000"/>
                <w:sz w:val="16"/>
              </w:rPr>
              <w:t>Fusion Tech Ltd (Russia) (Note 6)</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Digital marketing</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bookmarkStart w:name="_a5e96a28_e768_4f1e_8f5a_7fe65225d1ad" w:id="1359"/>
            <w:bookmarkEnd w:id="1358"/>
            <w:r>
              <w:rPr>
                <w:rFonts w:eastAsia="Times New Roman" w:asciiTheme="majorHAnsi" w:hAnsiTheme="majorHAnsi" w:cstheme="majorHAnsi"/>
                <w:color w:val="000000"/>
                <w:sz w:val="16"/>
              </w:rPr>
              <w:t>De Vision Ltd (Russia) (Note 6)</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Software development</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75</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bookmarkStart w:name="_85572e60_be04_4aeb_9178_c24dd4acb166" w:id="1360"/>
            <w:bookmarkEnd w:id="1359"/>
            <w:r>
              <w:rPr>
                <w:rFonts w:eastAsia="Times New Roman" w:asciiTheme="majorHAnsi" w:hAnsiTheme="majorHAnsi" w:cstheme="majorHAnsi"/>
                <w:color w:val="000000"/>
                <w:sz w:val="16"/>
              </w:rPr>
              <w:t>Vailmobail LLC (Russia) (Note 6)</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Digital marketing</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75</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bookmarkStart w:name="_a8c39f62_2cbd_4476_94f8_02d2ef4ca9a6" w:id="1361"/>
            <w:bookmarkEnd w:id="1360"/>
            <w:r>
              <w:rPr>
                <w:rFonts w:eastAsia="Times New Roman" w:asciiTheme="majorHAnsi" w:hAnsiTheme="majorHAnsi" w:cstheme="majorHAnsi"/>
                <w:color w:val="000000"/>
                <w:sz w:val="16"/>
              </w:rPr>
              <w:t>Konversiya LLC (Russia) (Note 6)</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Recruitment services</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75</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bookmarkStart w:name="_b79676bf_0c37_4d6c_925e_76d43778f29a" w:id="1362"/>
            <w:bookmarkEnd w:id="1361"/>
            <w:r>
              <w:rPr>
                <w:rFonts w:eastAsia="Times New Roman" w:asciiTheme="majorHAnsi" w:hAnsiTheme="majorHAnsi" w:cstheme="majorHAnsi"/>
                <w:color w:val="000000"/>
                <w:sz w:val="16"/>
              </w:rPr>
              <w:t>IA REAL WEB CJSC (Armenia) (Note 6)</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Digital marketing</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75</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bookmarkStart w:name="_324ed2b4_caf3_4efb_90dc_4119f08764a2" w:id="1363"/>
            <w:bookmarkEnd w:id="1362"/>
            <w:r>
              <w:rPr>
                <w:rFonts w:eastAsia="Times New Roman" w:asciiTheme="majorHAnsi" w:hAnsiTheme="majorHAnsi" w:cstheme="majorHAnsi"/>
                <w:color w:val="000000"/>
                <w:sz w:val="16"/>
              </w:rPr>
              <w:t>RW Consulting (Latvia) (Note 6)</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Digital marketing</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83</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bookmarkStart w:name="_0e99d18f_a4ce_46a2_ba5a_96bdcaba75d7" w:id="1364"/>
            <w:bookmarkEnd w:id="1363"/>
            <w:r>
              <w:rPr>
                <w:rFonts w:eastAsia="Times New Roman" w:asciiTheme="majorHAnsi" w:hAnsiTheme="majorHAnsi" w:cstheme="majorHAnsi"/>
                <w:color w:val="000000"/>
                <w:sz w:val="16"/>
              </w:rPr>
              <w:t>RealWeb (Latvia) (Note 6)</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Digital marketing</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83</w:t>
            </w:r>
          </w:p>
        </w:tc>
        <w:tc>
          <w:tcPr>
            <w:tcW w:w="6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bookmarkStart w:name="_e135e739_3997_4409_8693_4ac3823c0fa7" w:id="1365"/>
            <w:bookmarkEnd w:id="1364"/>
            <w:r>
              <w:rPr>
                <w:rFonts w:eastAsia="Times New Roman" w:asciiTheme="majorHAnsi" w:hAnsiTheme="majorHAnsi" w:cstheme="majorHAnsi"/>
                <w:color w:val="000000"/>
                <w:sz w:val="16"/>
              </w:rPr>
              <w:t xml:space="preserve">IT LAB AND PAYMENTS FE LLC </w:t>
            </w:r>
            <w:r>
              <w:rPr>
                <w:rFonts w:eastAsia="Times New Roman" w:asciiTheme="majorHAnsi" w:hAnsiTheme="majorHAnsi" w:cstheme="majorHAnsi"/>
                <w:color w:val="000000"/>
                <w:sz w:val="16"/>
                <w:vertAlign w:val="superscript"/>
              </w:rPr>
              <w:t>2</w:t>
            </w:r>
            <w:r>
              <w:rPr>
                <w:rFonts w:eastAsia="Times New Roman" w:asciiTheme="majorHAnsi" w:hAnsiTheme="majorHAnsi" w:cstheme="majorHAnsi"/>
                <w:color w:val="000000"/>
                <w:sz w:val="16"/>
              </w:rPr>
              <w:t xml:space="preserve"> (Uzbekistan)</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Software development</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100</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r w:rsidR="009534E2">
        <w:trPr>
          <w:jc w:val="center"/>
        </w:trPr>
        <w:tc>
          <w:tcPr>
            <w:tcW w:w="1746" w:type="pct"/>
            <w:tcBorders>
              <w:top w:val="nil"/>
              <w:left w:val="nil"/>
              <w:bottom w:val="single" w:color="000000" w:sz="4" w:space="0"/>
              <w:right w:val="nil"/>
              <w:tl2br w:val="nil"/>
              <w:tr2bl w:val="nil"/>
            </w:tcBorders>
            <w:noWrap/>
            <w:vAlign w:val="bottom"/>
          </w:tcPr>
          <w:p w:rsidR="009534E2" w:rsidRDefault="003369EB">
            <w:pPr>
              <w:keepNext/>
              <w:rPr>
                <w:rFonts w:asciiTheme="majorHAnsi" w:hAnsiTheme="majorHAnsi" w:cstheme="majorHAnsi"/>
                <w:b/>
                <w:color w:val="000000"/>
                <w:sz w:val="16"/>
              </w:rPr>
            </w:pPr>
            <w:bookmarkStart w:name="_2aba4d1d_19b1_4d36_ae8a_66c2a61f448c" w:id="1366"/>
            <w:bookmarkEnd w:id="1365"/>
            <w:r>
              <w:rPr>
                <w:rFonts w:eastAsia="Times New Roman" w:asciiTheme="majorHAnsi" w:hAnsiTheme="majorHAnsi" w:cstheme="majorHAnsi"/>
                <w:b/>
                <w:color w:val="000000"/>
                <w:sz w:val="16"/>
              </w:rPr>
              <w:t>Associate</w:t>
            </w: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single" w:color="000000" w:sz="4" w:space="0"/>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7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single" w:color="000000" w:sz="4" w:space="0"/>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9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single" w:color="000000" w:sz="4" w:space="0"/>
              <w:right w:val="nil"/>
              <w:tl2br w:val="nil"/>
              <w:tr2bl w:val="nil"/>
            </w:tcBorders>
            <w:noWrap/>
            <w:vAlign w:val="bottom"/>
          </w:tcPr>
          <w:p w:rsidR="009534E2" w:rsidRDefault="009534E2">
            <w:pPr>
              <w:keepNext/>
              <w:rPr>
                <w:rFonts w:asciiTheme="majorHAnsi" w:hAnsiTheme="majorHAnsi" w:cstheme="majorHAnsi"/>
                <w:color w:val="000000"/>
                <w:sz w:val="16"/>
              </w:rPr>
            </w:pPr>
          </w:p>
        </w:tc>
        <w:tc>
          <w:tcPr>
            <w:tcW w:w="61"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rPr>
            </w:pPr>
          </w:p>
        </w:tc>
      </w:tr>
      <w:tr w:rsidR="009534E2">
        <w:trPr>
          <w:jc w:val="center"/>
        </w:trPr>
        <w:tc>
          <w:tcPr>
            <w:tcW w:w="1746" w:type="pct"/>
            <w:tcBorders>
              <w:top w:val="nil"/>
              <w:left w:val="nil"/>
              <w:bottom w:val="single" w:color="000000" w:sz="4" w:space="0"/>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bookmarkStart w:name="_3896d50a_d17c_487b_9721_ad56ed4b7ab8" w:id="1367"/>
            <w:bookmarkStart w:name="_83db6c29_b9af_406d_ab33_506cd59d5575" w:colFirst="6" w:colLast="6" w:id="1368"/>
            <w:bookmarkEnd w:id="1366"/>
            <w:r>
              <w:rPr>
                <w:rFonts w:eastAsia="Times New Roman" w:asciiTheme="majorHAnsi" w:hAnsiTheme="majorHAnsi" w:cstheme="majorHAnsi"/>
                <w:color w:val="000000"/>
                <w:sz w:val="16"/>
              </w:rPr>
              <w:t>Advanced Digital Applications Holding Ltd (BVI) (Note 6)</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2059" w:type="pct"/>
            <w:tcBorders>
              <w:top w:val="nil"/>
              <w:left w:val="nil"/>
              <w:bottom w:val="single" w:color="000000" w:sz="4" w:space="0"/>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Operation of on-line payments</w:t>
            </w:r>
          </w:p>
        </w:tc>
        <w:tc>
          <w:tcPr>
            <w:tcW w:w="7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w:t>
            </w:r>
          </w:p>
        </w:tc>
        <w:tc>
          <w:tcPr>
            <w:tcW w:w="9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rPr>
            </w:pPr>
          </w:p>
        </w:tc>
        <w:tc>
          <w:tcPr>
            <w:tcW w:w="44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sz w:val="16"/>
              </w:rPr>
            </w:pPr>
            <w:r>
              <w:rPr>
                <w:rFonts w:eastAsia="Times New Roman" w:asciiTheme="majorHAnsi" w:hAnsiTheme="majorHAnsi" w:cstheme="majorHAnsi"/>
                <w:color w:val="000000"/>
                <w:sz w:val="16"/>
              </w:rPr>
              <w:t xml:space="preserve"> 9.91</w:t>
            </w:r>
          </w:p>
        </w:tc>
        <w:tc>
          <w:tcPr>
            <w:tcW w:w="6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rPr>
            </w:pPr>
            <w:r>
              <w:rPr>
                <w:rFonts w:eastAsia="Times New Roman" w:asciiTheme="majorHAnsi" w:hAnsiTheme="majorHAnsi" w:cstheme="majorHAnsi"/>
                <w:color w:val="000000"/>
                <w:sz w:val="16"/>
              </w:rPr>
              <w:t>%</w:t>
            </w:r>
          </w:p>
        </w:tc>
      </w:tr>
    </w:tbl>
    <w:bookmarkEnd w:id="1313"/>
    <w:bookmarkEnd w:id="1323"/>
    <w:bookmarkEnd w:id="1367"/>
    <w:bookmarkEnd w:id="1368"/>
    <w:p w:rsidR="009534E2" w:rsidRDefault="00EC0AE1">
      <w:pPr>
        <w:rPr>
          <w:rFonts w:eastAsia="Times New Roman" w:asciiTheme="majorHAnsi" w:hAnsiTheme="majorHAnsi" w:cstheme="majorHAnsi"/>
          <w:u w:val="single"/>
        </w:rPr>
      </w:pPr>
      <w:r>
        <w:rPr>
          <w:rFonts w:eastAsia="Times New Roman" w:asciiTheme="majorHAnsi" w:hAnsiTheme="majorHAnsi" w:cstheme="majorHAnsi"/>
          <w:sz w:val="8"/>
          <w:szCs w:val="8"/>
          <w:lang w:eastAsia="ru-RU"/>
        </w:rPr>
        <w:pict w14:anchorId="3A65AA95">
          <v:rect id="_x0000_i1047" style="width:135pt;height:1pt" o:hr="t" o:hrstd="t" o:hrnoshade="t" o:hrpct="250" fillcolor="black" stroked="f"/>
        </w:pict>
      </w:r>
    </w:p>
    <w:p w:rsidR="009534E2" w:rsidRDefault="003369EB">
      <w:pPr>
        <w:ind w:left="360" w:hanging="360"/>
        <w:rPr>
          <w:rFonts w:asciiTheme="majorHAnsi" w:hAnsiTheme="majorHAnsi" w:cstheme="majorHAnsi"/>
        </w:rPr>
      </w:pPr>
      <w:r>
        <w:rPr>
          <w:rFonts w:asciiTheme="majorHAnsi" w:hAnsiTheme="majorHAnsi" w:cstheme="majorHAnsi"/>
          <w:vertAlign w:val="superscript"/>
        </w:rPr>
        <w:t>1</w:t>
      </w:r>
      <w:r>
        <w:rPr>
          <w:rFonts w:asciiTheme="majorHAnsi" w:hAnsiTheme="majorHAnsi" w:cstheme="majorHAnsi"/>
          <w:vertAlign w:val="superscript"/>
        </w:rPr>
        <w:tab/>
      </w:r>
      <w:r>
        <w:rPr>
          <w:rFonts w:asciiTheme="majorHAnsi" w:hAnsiTheme="majorHAnsi" w:cstheme="majorHAnsi"/>
        </w:rPr>
        <w:t>The Entity was liquidated during 2022</w:t>
      </w:r>
    </w:p>
    <w:p w:rsidR="009534E2" w:rsidRDefault="003369EB">
      <w:pPr>
        <w:ind w:left="360" w:hanging="360"/>
        <w:rPr>
          <w:rFonts w:asciiTheme="majorHAnsi" w:hAnsiTheme="majorHAnsi" w:cstheme="majorHAnsi"/>
        </w:rPr>
      </w:pPr>
      <w:r>
        <w:rPr>
          <w:rFonts w:asciiTheme="majorHAnsi" w:hAnsiTheme="majorHAnsi" w:cstheme="majorHAnsi"/>
          <w:vertAlign w:val="superscript"/>
        </w:rPr>
        <w:t>2</w:t>
      </w:r>
      <w:r>
        <w:rPr>
          <w:rFonts w:asciiTheme="majorHAnsi" w:hAnsiTheme="majorHAnsi" w:cstheme="majorHAnsi"/>
          <w:vertAlign w:val="superscript"/>
        </w:rPr>
        <w:tab/>
      </w:r>
      <w:r>
        <w:rPr>
          <w:rFonts w:asciiTheme="majorHAnsi" w:hAnsiTheme="majorHAnsi" w:cstheme="majorHAnsi"/>
        </w:rPr>
        <w:t>The Entities were established during 2022</w:t>
      </w:r>
    </w:p>
    <w:p w:rsidR="009534E2" w:rsidRDefault="003369EB">
      <w:pPr>
        <w:ind w:left="360" w:hanging="360"/>
        <w:rPr>
          <w:rFonts w:asciiTheme="majorHAnsi" w:hAnsiTheme="majorHAnsi" w:cstheme="majorHAnsi"/>
        </w:rPr>
      </w:pPr>
      <w:r>
        <w:rPr>
          <w:rFonts w:asciiTheme="majorHAnsi" w:hAnsiTheme="majorHAnsi" w:cstheme="majorHAnsi"/>
          <w:vertAlign w:val="superscript"/>
        </w:rPr>
        <w:t>3</w:t>
      </w:r>
      <w:r>
        <w:rPr>
          <w:rFonts w:asciiTheme="majorHAnsi" w:hAnsiTheme="majorHAnsi" w:cstheme="majorHAnsi"/>
          <w:vertAlign w:val="superscript"/>
        </w:rPr>
        <w:tab/>
      </w:r>
      <w:r>
        <w:rPr>
          <w:rFonts w:asciiTheme="majorHAnsi" w:hAnsiTheme="majorHAnsi" w:cstheme="majorHAnsi"/>
        </w:rPr>
        <w:t xml:space="preserve">The Entity was acquired during 2022 for </w:t>
      </w:r>
      <w:bookmarkStart w:name="_7ea7283e_6367_4c76_953d_53d5282be30a" w:id="1369"/>
      <w:r>
        <w:rPr>
          <w:rFonts w:asciiTheme="majorHAnsi" w:hAnsiTheme="majorHAnsi" w:cstheme="majorHAnsi"/>
        </w:rPr>
        <w:t>90</w:t>
      </w:r>
      <w:bookmarkEnd w:id="1369"/>
      <w:r>
        <w:rPr>
          <w:rFonts w:asciiTheme="majorHAnsi" w:hAnsiTheme="majorHAnsi" w:cstheme="majorHAnsi"/>
        </w:rPr>
        <w:t xml:space="preserve">. The Group determined the fair value of Entity’s software, trademark and client base as </w:t>
      </w:r>
      <w:bookmarkStart w:name="_d78eb341_078b_4c47_97d2_a0ae03189167" w:id="1370"/>
      <w:r>
        <w:rPr>
          <w:rFonts w:asciiTheme="majorHAnsi" w:hAnsiTheme="majorHAnsi" w:cstheme="majorHAnsi"/>
        </w:rPr>
        <w:t>80</w:t>
      </w:r>
      <w:bookmarkEnd w:id="1370"/>
      <w:r>
        <w:rPr>
          <w:rFonts w:asciiTheme="majorHAnsi" w:hAnsiTheme="majorHAnsi" w:cstheme="majorHAnsi"/>
        </w:rPr>
        <w:t>, and recognized them as intangible assets as at the acquisition date.</w:t>
      </w:r>
    </w:p>
    <w:bookmarkEnd w:displacedByCustomXml="next" w:id="1324"/>
    <w:p w:rsidR="009534E2" w:rsidRDefault="009534E2">
      <w:pPr>
        <w:rPr>
          <w:rFonts w:asciiTheme="majorHAnsi" w:hAnsiTheme="majorHAnsi" w:cstheme="majorHAnsi"/>
        </w:rPr>
      </w:pPr>
    </w:p>
    <w:p w:rsidR="009534E2" w:rsidRDefault="003369EB">
      <w:pPr>
        <w:rPr>
          <w:rFonts w:asciiTheme="majorHAnsi" w:hAnsiTheme="majorHAnsi" w:cstheme="majorHAnsi"/>
        </w:rPr>
      </w:pPr>
      <w:r>
        <w:rPr>
          <w:rFonts w:asciiTheme="majorHAnsi" w:hAnsiTheme="majorHAnsi" w:cstheme="majorHAnsi"/>
        </w:rPr>
        <w:br w:type="page"/>
      </w:r>
    </w:p>
    <w:bookmarkStart w:name="_12918a08_b9fb_4109_99c1_ac4c9d5fd37a" w:displacedByCustomXml="next" w:id="1371"/>
    <w:bookmarkEnd w:displacedByCustomXml="next" w:id="1371"/>
    <w:p w:rsidR="009534E2" w:rsidRDefault="003369EB">
      <w:pPr>
        <w:pStyle w:val="Heading1"/>
        <w:suppressAutoHyphens/>
        <w:ind w:left="360" w:hanging="360"/>
        <w:rPr>
          <w:lang w:eastAsia="ru-RU"/>
        </w:rPr>
      </w:pPr>
      <w:r>
        <w:rPr>
          <w:lang w:eastAsia="ru-RU"/>
        </w:rPr>
        <w:t>6.</w:t>
      </w:r>
      <w:r>
        <w:rPr>
          <w:lang w:eastAsia="ru-RU"/>
        </w:rPr>
        <w:tab/>
        <w:t>Acquisitions, disposals and discontinued operations</w:t>
      </w:r>
    </w:p>
    <w:p w:rsidR="009534E2" w:rsidRDefault="003369EB">
      <w:pPr>
        <w:pStyle w:val="BodyText"/>
        <w:rPr>
          <w:rFonts w:asciiTheme="majorHAnsi" w:hAnsiTheme="majorHAnsi" w:eastAsiaTheme="majorEastAsia" w:cstheme="majorHAnsi"/>
          <w:bCs/>
          <w:i/>
          <w:iCs/>
          <w:szCs w:val="32"/>
          <w:lang w:eastAsia="ru-RU"/>
        </w:rPr>
      </w:pPr>
      <w:r>
        <w:rPr>
          <w:rFonts w:asciiTheme="majorHAnsi" w:hAnsiTheme="majorHAnsi" w:eastAsiaTheme="majorEastAsia" w:cstheme="majorHAnsi"/>
          <w:bCs/>
          <w:i/>
          <w:iCs/>
          <w:szCs w:val="32"/>
          <w:lang w:eastAsia="ru-RU"/>
        </w:rPr>
        <w:t>2022</w:t>
      </w:r>
    </w:p>
    <w:p w:rsidR="009534E2" w:rsidRDefault="003369EB">
      <w:pPr>
        <w:pStyle w:val="BodyText"/>
        <w:rPr>
          <w:rFonts w:asciiTheme="majorHAnsi" w:hAnsiTheme="majorHAnsi" w:cstheme="majorHAnsi"/>
          <w:b/>
          <w:i/>
          <w:iCs/>
          <w:lang w:eastAsia="ru-RU"/>
        </w:rPr>
      </w:pPr>
      <w:r>
        <w:rPr>
          <w:rFonts w:asciiTheme="majorHAnsi" w:hAnsiTheme="majorHAnsi" w:cstheme="majorHAnsi"/>
          <w:b/>
          <w:i/>
          <w:iCs/>
          <w:lang w:eastAsia="ru-RU"/>
        </w:rPr>
        <w:t>Taxiaggregator</w:t>
      </w:r>
    </w:p>
    <w:p w:rsidR="009534E2" w:rsidRDefault="003369EB">
      <w:pPr>
        <w:pStyle w:val="BodyText"/>
        <w:rPr>
          <w:rFonts w:asciiTheme="majorHAnsi" w:hAnsiTheme="majorHAnsi" w:cstheme="majorHAnsi"/>
          <w:bCs/>
          <w:lang w:eastAsia="ru-RU"/>
        </w:rPr>
      </w:pPr>
      <w:r>
        <w:rPr>
          <w:rFonts w:asciiTheme="majorHAnsi" w:hAnsiTheme="majorHAnsi" w:cstheme="majorHAnsi"/>
          <w:bCs/>
          <w:lang w:eastAsia="ru-RU"/>
        </w:rPr>
        <w:t xml:space="preserve">During December 2021 - January 2022, the Group completed a series of transactions related to the acquisition of assets of the Taxiaggregator business combined with the hiring of its employees into an existing Group subsidiary QIWI Technologies LLC. In January 2022, the Group obtained control over the Taxiaggregator business. As a result, the Group owns </w:t>
      </w:r>
      <w:bookmarkStart w:name="_12e14849_d8d9_436f_b3bc_7d379618e9b3" w:id="1372"/>
      <w:r>
        <w:rPr>
          <w:rFonts w:asciiTheme="majorHAnsi" w:hAnsiTheme="majorHAnsi" w:cstheme="majorHAnsi"/>
          <w:bCs/>
          <w:lang w:eastAsia="ru-RU"/>
        </w:rPr>
        <w:t>80%</w:t>
      </w:r>
      <w:bookmarkEnd w:id="1372"/>
      <w:r>
        <w:rPr>
          <w:rFonts w:asciiTheme="majorHAnsi" w:hAnsiTheme="majorHAnsi" w:cstheme="majorHAnsi"/>
          <w:bCs/>
          <w:lang w:eastAsia="ru-RU"/>
        </w:rPr>
        <w:t xml:space="preserve"> of the business with the remaining </w:t>
      </w:r>
      <w:bookmarkStart w:name="_54e0ced0_5a70_4f47_bc3e_9b0ebd92bbac" w:id="1373"/>
      <w:r>
        <w:rPr>
          <w:rFonts w:asciiTheme="majorHAnsi" w:hAnsiTheme="majorHAnsi" w:cstheme="majorHAnsi"/>
          <w:bCs/>
          <w:lang w:eastAsia="ru-RU"/>
        </w:rPr>
        <w:t>20%</w:t>
      </w:r>
      <w:bookmarkEnd w:id="1373"/>
      <w:r>
        <w:rPr>
          <w:rFonts w:asciiTheme="majorHAnsi" w:hAnsiTheme="majorHAnsi" w:cstheme="majorHAnsi"/>
          <w:bCs/>
          <w:lang w:eastAsia="ru-RU"/>
        </w:rPr>
        <w:t xml:space="preserve"> owned by the founder of Taxiaggregator. The acquisition has been accounted for using the acquisition method.</w:t>
      </w:r>
    </w:p>
    <w:p w:rsidR="009534E2" w:rsidRDefault="003369EB">
      <w:pPr>
        <w:pStyle w:val="BodyText"/>
        <w:rPr>
          <w:rFonts w:asciiTheme="majorHAnsi" w:hAnsiTheme="majorHAnsi" w:cstheme="majorHAnsi"/>
          <w:bCs/>
          <w:lang w:eastAsia="ru-RU"/>
        </w:rPr>
      </w:pPr>
      <w:r>
        <w:rPr>
          <w:rFonts w:asciiTheme="majorHAnsi" w:hAnsiTheme="majorHAnsi" w:cstheme="majorHAnsi"/>
          <w:bCs/>
          <w:lang w:eastAsia="ru-RU"/>
        </w:rPr>
        <w:t xml:space="preserve">Taxiaggregator is a SaaS platform that provides payment solutions and data analytics tool for taxi companies and taxi drivers. The platform allows drivers to see balances and order history from all aggregators consolidated in real time at a convenient interface and get instant payouts after each trip. The transaction falls within the Group’s strategy to further develop its value proposition in payment segment for self-employed. From the very beginning QIWI has been an exclusive payment partner of Taxiaggregator. The Group’s expenses for information services from the business for the year ended December 31, 2021, amounted to </w:t>
      </w:r>
      <w:bookmarkStart w:name="_dab38a9d_5724_4349_aaac_d63c6e38a81b" w:id="1374"/>
      <w:r>
        <w:rPr>
          <w:rFonts w:asciiTheme="majorHAnsi" w:hAnsiTheme="majorHAnsi" w:cstheme="majorHAnsi"/>
          <w:bCs/>
          <w:lang w:eastAsia="ru-RU"/>
        </w:rPr>
        <w:t>139</w:t>
      </w:r>
      <w:bookmarkEnd w:id="1374"/>
      <w:r>
        <w:rPr>
          <w:rFonts w:asciiTheme="majorHAnsi" w:hAnsiTheme="majorHAnsi" w:cstheme="majorHAnsi"/>
          <w:bCs/>
          <w:lang w:eastAsia="ru-RU"/>
        </w:rPr>
        <w:t>.</w:t>
      </w:r>
    </w:p>
    <w:p w:rsidR="009534E2" w:rsidRDefault="003369EB">
      <w:pPr>
        <w:pStyle w:val="BodyText"/>
        <w:spacing w:after="0"/>
        <w:rPr>
          <w:rFonts w:asciiTheme="majorHAnsi" w:hAnsiTheme="majorHAnsi" w:cstheme="majorHAnsi"/>
          <w:bCs/>
          <w:lang w:eastAsia="ru-RU"/>
        </w:rPr>
      </w:pPr>
      <w:r>
        <w:rPr>
          <w:rFonts w:asciiTheme="majorHAnsi" w:hAnsiTheme="majorHAnsi" w:cstheme="majorHAnsi"/>
          <w:bCs/>
          <w:lang w:eastAsia="ru-RU"/>
        </w:rPr>
        <w:t>The consideration measured at fair values comprised the following:</w:t>
      </w:r>
    </w:p>
    <w:p w:rsidR="009534E2" w:rsidRDefault="009534E2">
      <w:pPr>
        <w:jc w:val="center"/>
        <w:rPr>
          <w:rFonts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338"/>
        <w:gridCol w:w="296"/>
        <w:gridCol w:w="1166"/>
      </w:tblGrid>
      <w:tr w:rsidR="009534E2">
        <w:trPr>
          <w:trHeight w:val="20" w:hRule="exact"/>
        </w:trPr>
        <w:tc>
          <w:tcPr>
            <w:tcW w:w="4323" w:type="pct"/>
            <w:tcBorders>
              <w:top w:val="nil"/>
              <w:left w:val="nil"/>
              <w:bottom w:val="nil"/>
              <w:right w:val="nil"/>
            </w:tcBorders>
            <w:vAlign w:val="bottom"/>
          </w:tcPr>
          <w:p w:rsidR="009534E2" w:rsidRDefault="009534E2">
            <w:pPr>
              <w:rPr>
                <w:rFonts w:asciiTheme="majorHAnsi" w:hAnsiTheme="majorHAnsi" w:cstheme="majorHAnsi"/>
                <w:sz w:val="2"/>
              </w:rPr>
            </w:pPr>
            <w:bookmarkStart w:name="_a51fab17_da6d_4faa_991e_64fd23f6ff81" w:colFirst="0" w:colLast="0" w:id="1375"/>
            <w:bookmarkStart w:name="_d0960d51_218a_428d_889b_234ceb385d3a" w:colFirst="1" w:colLast="1" w:id="1376"/>
            <w:bookmarkStart w:name="_34e6b8ec_c089_4a2b_82be_e41300e4bf35" w:colFirst="2" w:colLast="2" w:id="1377"/>
            <w:bookmarkStart w:name="_d129befb_2910_421c_a50f_7f1ac9db8919" w:id="1378"/>
          </w:p>
        </w:tc>
        <w:tc>
          <w:tcPr>
            <w:tcW w:w="137" w:type="pct"/>
            <w:tcBorders>
              <w:top w:val="nil"/>
              <w:left w:val="nil"/>
              <w:bottom w:val="nil"/>
              <w:right w:val="nil"/>
            </w:tcBorders>
            <w:noWrap/>
            <w:vAlign w:val="bottom"/>
          </w:tcPr>
          <w:p w:rsidR="009534E2" w:rsidRDefault="009534E2">
            <w:pPr>
              <w:rPr>
                <w:rFonts w:asciiTheme="majorHAnsi" w:hAnsiTheme="majorHAnsi" w:cstheme="majorHAnsi"/>
                <w:sz w:val="2"/>
              </w:rPr>
            </w:pPr>
          </w:p>
        </w:tc>
        <w:tc>
          <w:tcPr>
            <w:tcW w:w="540" w:type="pct"/>
            <w:tcBorders>
              <w:top w:val="nil"/>
              <w:left w:val="nil"/>
              <w:bottom w:val="nil"/>
              <w:right w:val="nil"/>
            </w:tcBorders>
            <w:noWrap/>
            <w:vAlign w:val="bottom"/>
          </w:tcPr>
          <w:p w:rsidR="009534E2" w:rsidRDefault="009534E2">
            <w:pPr>
              <w:rPr>
                <w:rFonts w:asciiTheme="majorHAnsi" w:hAnsiTheme="majorHAnsi" w:cstheme="majorHAnsi"/>
                <w:sz w:val="2"/>
              </w:rPr>
            </w:pP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color w:val="000000"/>
              </w:rPr>
            </w:pPr>
            <w:bookmarkStart w:name="_6902591e_0853_42ad_97ff_081e2bee5eef" w:id="1379"/>
            <w:bookmarkEnd w:id="1375"/>
            <w:bookmarkEnd w:id="1376"/>
            <w:bookmarkEnd w:id="1377"/>
            <w:r>
              <w:rPr>
                <w:rFonts w:eastAsia="Times New Roman" w:asciiTheme="majorHAnsi" w:hAnsiTheme="majorHAnsi" w:cstheme="majorHAnsi"/>
                <w:color w:val="000000"/>
              </w:rPr>
              <w:t>The acquisition date fair value of the Group’s previously held interest</w:t>
            </w:r>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116</w:t>
            </w:r>
          </w:p>
        </w:tc>
      </w:tr>
      <w:tr w:rsidR="009534E2">
        <w:tc>
          <w:tcPr>
            <w:tcW w:w="4323" w:type="pct"/>
            <w:tcBorders>
              <w:top w:val="nil"/>
              <w:left w:val="nil"/>
              <w:bottom w:val="nil"/>
              <w:right w:val="nil"/>
              <w:tl2br w:val="nil"/>
              <w:tr2bl w:val="nil"/>
            </w:tcBorders>
            <w:vAlign w:val="bottom"/>
          </w:tcPr>
          <w:p w:rsidR="009534E2" w:rsidRDefault="003369EB">
            <w:pPr>
              <w:rPr>
                <w:rFonts w:asciiTheme="majorHAnsi" w:hAnsiTheme="majorHAnsi" w:cstheme="majorHAnsi"/>
                <w:color w:val="000000"/>
              </w:rPr>
            </w:pPr>
            <w:bookmarkStart w:name="_351ccbff_a0c6_44bc_b02d_98b6bf8ae0e4" w:id="1380"/>
            <w:bookmarkEnd w:id="1379"/>
            <w:r>
              <w:rPr>
                <w:rFonts w:eastAsia="Times New Roman" w:asciiTheme="majorHAnsi" w:hAnsiTheme="majorHAnsi" w:cstheme="majorHAnsi"/>
                <w:color w:val="000000"/>
              </w:rPr>
              <w:t>Cash consideration</w:t>
            </w:r>
          </w:p>
        </w:tc>
        <w:tc>
          <w:tcPr>
            <w:tcW w:w="137"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single" w:color="000000" w:sz="4" w:space="0"/>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706</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b/>
                <w:color w:val="000000"/>
              </w:rPr>
            </w:pPr>
            <w:bookmarkStart w:name="_e8d6035b_e7ab_4552_915d_fef46acfa892" w:id="1381"/>
            <w:bookmarkEnd w:id="1380"/>
            <w:r>
              <w:rPr>
                <w:rFonts w:eastAsia="Times New Roman" w:asciiTheme="majorHAnsi" w:hAnsiTheme="majorHAnsi" w:cstheme="majorHAnsi"/>
                <w:b/>
                <w:color w:val="000000"/>
              </w:rPr>
              <w:t>Total consideration transferred</w:t>
            </w:r>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b/>
                <w:color w:val="000000"/>
              </w:rPr>
            </w:pPr>
            <w:r>
              <w:rPr>
                <w:rFonts w:eastAsia="Times New Roman" w:asciiTheme="majorHAnsi" w:hAnsiTheme="majorHAnsi" w:cstheme="majorHAnsi"/>
                <w:b/>
                <w:color w:val="000000"/>
              </w:rPr>
              <w:t> </w:t>
            </w:r>
          </w:p>
        </w:tc>
        <w:tc>
          <w:tcPr>
            <w:tcW w:w="540" w:type="pct"/>
            <w:tcBorders>
              <w:top w:val="nil"/>
              <w:left w:val="nil"/>
              <w:bottom w:val="double" w:color="000000" w:sz="4" w:space="0"/>
              <w:right w:val="nil"/>
              <w:tl2br w:val="nil"/>
              <w:tr2bl w:val="nil"/>
            </w:tcBorders>
            <w:shd w:val="clear" w:color="auto" w:fill="CCEEFF"/>
            <w:noWrap/>
            <w:vAlign w:val="bottom"/>
          </w:tcPr>
          <w:p w:rsidR="009534E2" w:rsidRDefault="003369EB">
            <w:pPr>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822</w:t>
            </w:r>
          </w:p>
        </w:tc>
      </w:tr>
      <w:bookmarkEnd w:id="1378"/>
      <w:bookmarkEnd w:id="1381"/>
    </w:tbl>
    <w:p w:rsidR="009534E2" w:rsidRDefault="009534E2">
      <w:pPr>
        <w:jc w:val="center"/>
        <w:rPr>
          <w:rFonts w:asciiTheme="majorHAnsi" w:hAnsiTheme="majorHAnsi" w:cstheme="majorHAnsi"/>
          <w:lang w:eastAsia="ru-RU"/>
        </w:rPr>
      </w:pPr>
    </w:p>
    <w:p w:rsidR="009534E2" w:rsidRDefault="003369EB">
      <w:pPr>
        <w:pStyle w:val="BodyText"/>
        <w:rPr>
          <w:rFonts w:asciiTheme="majorHAnsi" w:hAnsiTheme="majorHAnsi" w:cstheme="majorHAnsi"/>
          <w:bCs/>
          <w:lang w:eastAsia="ru-RU"/>
        </w:rPr>
      </w:pPr>
      <w:r>
        <w:rPr>
          <w:rFonts w:asciiTheme="majorHAnsi" w:hAnsiTheme="majorHAnsi" w:cstheme="majorHAnsi"/>
          <w:bCs/>
          <w:lang w:eastAsia="ru-RU"/>
        </w:rPr>
        <w:t>Cash consideration has been paid in full as of the reporting date (</w:t>
      </w:r>
      <w:bookmarkStart w:name="_8d61b9e5_860a_4db3_ac5f_49c91529e07b" w:id="1382"/>
      <w:r>
        <w:rPr>
          <w:rFonts w:asciiTheme="majorHAnsi" w:hAnsiTheme="majorHAnsi" w:cstheme="majorHAnsi"/>
          <w:bCs/>
          <w:lang w:eastAsia="ru-RU"/>
        </w:rPr>
        <w:t>215</w:t>
      </w:r>
      <w:bookmarkEnd w:id="1382"/>
      <w:r>
        <w:rPr>
          <w:rFonts w:asciiTheme="majorHAnsi" w:hAnsiTheme="majorHAnsi" w:cstheme="majorHAnsi"/>
          <w:bCs/>
          <w:lang w:eastAsia="ru-RU"/>
        </w:rPr>
        <w:t xml:space="preserve"> during the first quarter 2022 and </w:t>
      </w:r>
      <w:bookmarkStart w:name="_a7234e6f_f67e_423e_a117_b4c318adcc54" w:id="1383"/>
      <w:r>
        <w:rPr>
          <w:rFonts w:asciiTheme="majorHAnsi" w:hAnsiTheme="majorHAnsi" w:cstheme="majorHAnsi"/>
          <w:bCs/>
          <w:lang w:eastAsia="ru-RU"/>
        </w:rPr>
        <w:t>491</w:t>
      </w:r>
      <w:bookmarkEnd w:id="1383"/>
      <w:r>
        <w:rPr>
          <w:rFonts w:asciiTheme="majorHAnsi" w:hAnsiTheme="majorHAnsi" w:cstheme="majorHAnsi"/>
          <w:bCs/>
          <w:lang w:eastAsia="ru-RU"/>
        </w:rPr>
        <w:t xml:space="preserve"> during the year 2021).</w:t>
      </w:r>
    </w:p>
    <w:p w:rsidR="009534E2" w:rsidRDefault="003369EB">
      <w:pPr>
        <w:pStyle w:val="BodyText"/>
        <w:spacing w:after="0"/>
        <w:rPr>
          <w:rFonts w:asciiTheme="majorHAnsi" w:hAnsiTheme="majorHAnsi" w:cstheme="majorHAnsi"/>
          <w:bCs/>
          <w:lang w:eastAsia="ru-RU"/>
        </w:rPr>
      </w:pPr>
      <w:r>
        <w:rPr>
          <w:rFonts w:asciiTheme="majorHAnsi" w:hAnsiTheme="majorHAnsi" w:cstheme="majorHAnsi"/>
          <w:bCs/>
          <w:lang w:eastAsia="ru-RU"/>
        </w:rPr>
        <w:t>The fair value of the identifiable assets and liabilities as of the date of acquisition was:</w:t>
      </w:r>
    </w:p>
    <w:p w:rsidR="009534E2" w:rsidRDefault="009534E2">
      <w:pPr>
        <w:jc w:val="center"/>
        <w:rPr>
          <w:rFonts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338"/>
        <w:gridCol w:w="296"/>
        <w:gridCol w:w="1166"/>
      </w:tblGrid>
      <w:tr w:rsidR="009534E2">
        <w:trPr>
          <w:trHeight w:val="20" w:hRule="exact"/>
        </w:trPr>
        <w:tc>
          <w:tcPr>
            <w:tcW w:w="4323"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41468e60_aca1_4f60_af43_17334ff30646" w:colFirst="0" w:colLast="0" w:id="1384"/>
            <w:bookmarkStart w:name="_2325f8ad_222c_4255_bcad_ff8977c55e28" w:colFirst="1" w:colLast="1" w:id="1385"/>
            <w:bookmarkStart w:name="_f39f3281_95d1_4b8e_ad86_0a0d856bf416" w:colFirst="2" w:colLast="2" w:id="1386"/>
            <w:bookmarkStart w:name="_0af95750_b508_45d9_9603_078b19a482f4" w:id="1387"/>
          </w:p>
        </w:tc>
        <w:tc>
          <w:tcPr>
            <w:tcW w:w="13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40"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c>
          <w:tcPr>
            <w:tcW w:w="4323"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b/>
                <w:color w:val="000000"/>
                <w:sz w:val="16"/>
              </w:rPr>
            </w:pPr>
            <w:bookmarkStart w:name="_6ff9bf85_ba30_4075_8726_e2bcba39608b" w:id="1388"/>
            <w:bookmarkEnd w:id="1384"/>
            <w:bookmarkEnd w:id="1385"/>
            <w:bookmarkEnd w:id="1386"/>
          </w:p>
        </w:tc>
        <w:tc>
          <w:tcPr>
            <w:tcW w:w="137"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0"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Fair value  </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color w:val="000000"/>
              </w:rPr>
            </w:pPr>
            <w:bookmarkStart w:name="_66d2cf27_abe0_4fd6_be30_6c37e6240e04" w:id="1389"/>
            <w:bookmarkEnd w:id="1388"/>
            <w:r>
              <w:rPr>
                <w:rFonts w:eastAsia="Times New Roman" w:asciiTheme="majorHAnsi" w:hAnsiTheme="majorHAnsi" w:cstheme="majorHAnsi"/>
                <w:color w:val="000000"/>
              </w:rPr>
              <w:t>Net assets acquired:</w:t>
            </w:r>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w:t>
            </w:r>
          </w:p>
        </w:tc>
      </w:tr>
      <w:tr w:rsidR="009534E2">
        <w:tc>
          <w:tcPr>
            <w:tcW w:w="4323" w:type="pct"/>
            <w:tcBorders>
              <w:top w:val="nil"/>
              <w:left w:val="nil"/>
              <w:bottom w:val="nil"/>
              <w:right w:val="nil"/>
              <w:tl2br w:val="nil"/>
              <w:tr2bl w:val="nil"/>
            </w:tcBorders>
            <w:vAlign w:val="bottom"/>
          </w:tcPr>
          <w:p w:rsidR="009534E2" w:rsidRDefault="003369EB">
            <w:pPr>
              <w:rPr>
                <w:rFonts w:asciiTheme="majorHAnsi" w:hAnsiTheme="majorHAnsi" w:cstheme="majorHAnsi"/>
                <w:color w:val="000000"/>
              </w:rPr>
            </w:pPr>
            <w:bookmarkStart w:name="_f4b6109a_3e47_497f_85b8_6a76979e1bad" w:id="1390"/>
            <w:bookmarkEnd w:id="1389"/>
            <w:r>
              <w:rPr>
                <w:rFonts w:eastAsia="Times New Roman" w:asciiTheme="majorHAnsi" w:hAnsiTheme="majorHAnsi" w:cstheme="majorHAnsi"/>
                <w:color w:val="000000"/>
              </w:rPr>
              <w:t>Intangible assets</w:t>
            </w:r>
          </w:p>
        </w:tc>
        <w:tc>
          <w:tcPr>
            <w:tcW w:w="137"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233</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i/>
                <w:color w:val="000000"/>
              </w:rPr>
            </w:pPr>
            <w:bookmarkStart w:name="_8d2d4a4b_1905_4c93_8404_41c47257f7e0" w:id="1391"/>
            <w:bookmarkEnd w:id="1390"/>
            <w:r>
              <w:rPr>
                <w:rFonts w:eastAsia="Times New Roman" w:asciiTheme="majorHAnsi" w:hAnsiTheme="majorHAnsi" w:cstheme="majorHAnsi"/>
                <w:i/>
                <w:color w:val="000000"/>
              </w:rPr>
              <w:t>Software</w:t>
            </w:r>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i/>
                <w:color w:val="000000"/>
              </w:rPr>
            </w:pPr>
            <w:r>
              <w:rPr>
                <w:rFonts w:eastAsia="Times New Roman" w:asciiTheme="majorHAnsi" w:hAnsiTheme="majorHAnsi" w:cstheme="majorHAnsi"/>
                <w:i/>
                <w:color w:val="000000"/>
              </w:rPr>
              <w:t> </w:t>
            </w:r>
          </w:p>
        </w:tc>
        <w:tc>
          <w:tcPr>
            <w:tcW w:w="540"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i/>
                <w:color w:val="000000"/>
              </w:rPr>
            </w:pPr>
            <w:r>
              <w:rPr>
                <w:rFonts w:eastAsia="Times New Roman" w:asciiTheme="majorHAnsi" w:hAnsiTheme="majorHAnsi" w:cstheme="majorHAnsi"/>
                <w:i/>
                <w:color w:val="000000"/>
              </w:rPr>
              <w:t xml:space="preserve"> 64</w:t>
            </w:r>
          </w:p>
        </w:tc>
      </w:tr>
      <w:tr w:rsidR="009534E2">
        <w:tc>
          <w:tcPr>
            <w:tcW w:w="4323" w:type="pct"/>
            <w:tcBorders>
              <w:top w:val="nil"/>
              <w:left w:val="nil"/>
              <w:bottom w:val="nil"/>
              <w:right w:val="nil"/>
              <w:tl2br w:val="nil"/>
              <w:tr2bl w:val="nil"/>
            </w:tcBorders>
            <w:vAlign w:val="bottom"/>
          </w:tcPr>
          <w:p w:rsidR="009534E2" w:rsidRDefault="003369EB">
            <w:pPr>
              <w:ind w:left="120"/>
              <w:rPr>
                <w:rFonts w:asciiTheme="majorHAnsi" w:hAnsiTheme="majorHAnsi" w:cstheme="majorHAnsi"/>
                <w:i/>
                <w:color w:val="000000"/>
              </w:rPr>
            </w:pPr>
            <w:bookmarkStart w:name="_a3cd7728_a492_419b_aa1a_1a378c8cb935" w:id="1392"/>
            <w:bookmarkEnd w:id="1391"/>
            <w:r>
              <w:rPr>
                <w:rFonts w:eastAsia="Times New Roman" w:asciiTheme="majorHAnsi" w:hAnsiTheme="majorHAnsi" w:cstheme="majorHAnsi"/>
                <w:i/>
                <w:color w:val="000000"/>
              </w:rPr>
              <w:t>Customer relationships</w:t>
            </w:r>
          </w:p>
        </w:tc>
        <w:tc>
          <w:tcPr>
            <w:tcW w:w="137" w:type="pct"/>
            <w:tcBorders>
              <w:top w:val="nil"/>
              <w:left w:val="nil"/>
              <w:bottom w:val="nil"/>
              <w:right w:val="nil"/>
              <w:tl2br w:val="nil"/>
              <w:tr2bl w:val="nil"/>
            </w:tcBorders>
            <w:noWrap/>
            <w:vAlign w:val="bottom"/>
          </w:tcPr>
          <w:p w:rsidR="009534E2" w:rsidRDefault="003369EB">
            <w:pPr>
              <w:rPr>
                <w:rFonts w:asciiTheme="majorHAnsi" w:hAnsiTheme="majorHAnsi" w:cstheme="majorHAnsi"/>
                <w:i/>
                <w:color w:val="000000"/>
              </w:rPr>
            </w:pPr>
            <w:r>
              <w:rPr>
                <w:rFonts w:eastAsia="Times New Roman" w:asciiTheme="majorHAnsi" w:hAnsiTheme="majorHAnsi" w:cstheme="majorHAnsi"/>
                <w:i/>
                <w:color w:val="000000"/>
              </w:rPr>
              <w:t> </w:t>
            </w:r>
          </w:p>
        </w:tc>
        <w:tc>
          <w:tcPr>
            <w:tcW w:w="540"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i/>
                <w:color w:val="000000"/>
              </w:rPr>
            </w:pPr>
            <w:r>
              <w:rPr>
                <w:rFonts w:eastAsia="Times New Roman" w:asciiTheme="majorHAnsi" w:hAnsiTheme="majorHAnsi" w:cstheme="majorHAnsi"/>
                <w:i/>
                <w:color w:val="000000"/>
              </w:rPr>
              <w:t xml:space="preserve"> 169</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color w:val="000000"/>
              </w:rPr>
            </w:pPr>
            <w:bookmarkStart w:name="_7585d443_4e5c_4618_b7a8_4eb0608d47e1" w:id="1393"/>
            <w:bookmarkEnd w:id="1392"/>
            <w:r>
              <w:rPr>
                <w:rFonts w:eastAsia="Times New Roman" w:asciiTheme="majorHAnsi" w:hAnsiTheme="majorHAnsi" w:cstheme="majorHAnsi"/>
                <w:color w:val="000000"/>
              </w:rPr>
              <w:t>Deferred tax liabilities</w:t>
            </w:r>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single" w:color="000000" w:sz="4" w:space="0"/>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xml:space="preserve"> (39)</w:t>
            </w:r>
          </w:p>
        </w:tc>
      </w:tr>
      <w:tr w:rsidR="009534E2">
        <w:tc>
          <w:tcPr>
            <w:tcW w:w="4323" w:type="pct"/>
            <w:tcBorders>
              <w:top w:val="nil"/>
              <w:left w:val="nil"/>
              <w:bottom w:val="nil"/>
              <w:right w:val="nil"/>
              <w:tl2br w:val="nil"/>
              <w:tr2bl w:val="nil"/>
            </w:tcBorders>
            <w:vAlign w:val="bottom"/>
          </w:tcPr>
          <w:p w:rsidR="009534E2" w:rsidRDefault="003369EB">
            <w:pPr>
              <w:rPr>
                <w:rFonts w:asciiTheme="majorHAnsi" w:hAnsiTheme="majorHAnsi" w:cstheme="majorHAnsi"/>
                <w:b/>
                <w:color w:val="000000"/>
              </w:rPr>
            </w:pPr>
            <w:bookmarkStart w:name="_f533985a_74b1_45a7_a5d6_345757cb97e3" w:id="1394"/>
            <w:bookmarkEnd w:id="1393"/>
            <w:r>
              <w:rPr>
                <w:rFonts w:eastAsia="Times New Roman" w:asciiTheme="majorHAnsi" w:hAnsiTheme="majorHAnsi" w:cstheme="majorHAnsi"/>
                <w:b/>
                <w:color w:val="000000"/>
              </w:rPr>
              <w:t>Total identifiable net assets at fair value</w:t>
            </w:r>
          </w:p>
        </w:tc>
        <w:tc>
          <w:tcPr>
            <w:tcW w:w="137" w:type="pct"/>
            <w:tcBorders>
              <w:top w:val="nil"/>
              <w:left w:val="nil"/>
              <w:bottom w:val="nil"/>
              <w:right w:val="nil"/>
              <w:tl2br w:val="nil"/>
              <w:tr2bl w:val="nil"/>
            </w:tcBorders>
            <w:noWrap/>
            <w:vAlign w:val="bottom"/>
          </w:tcPr>
          <w:p w:rsidR="009534E2" w:rsidRDefault="003369EB">
            <w:pPr>
              <w:rPr>
                <w:rFonts w:asciiTheme="majorHAnsi" w:hAnsiTheme="majorHAnsi" w:cstheme="majorHAnsi"/>
                <w:b/>
                <w:color w:val="000000"/>
              </w:rPr>
            </w:pPr>
            <w:r>
              <w:rPr>
                <w:rFonts w:eastAsia="Times New Roman" w:asciiTheme="majorHAnsi" w:hAnsiTheme="majorHAnsi" w:cstheme="majorHAnsi"/>
                <w:b/>
                <w:color w:val="000000"/>
              </w:rPr>
              <w:t> </w:t>
            </w:r>
          </w:p>
        </w:tc>
        <w:tc>
          <w:tcPr>
            <w:tcW w:w="540" w:type="pct"/>
            <w:tcBorders>
              <w:top w:val="nil"/>
              <w:left w:val="nil"/>
              <w:bottom w:val="single" w:color="000000" w:sz="4" w:space="0"/>
              <w:right w:val="nil"/>
              <w:tl2br w:val="nil"/>
              <w:tr2bl w:val="nil"/>
            </w:tcBorders>
            <w:noWrap/>
            <w:vAlign w:val="bottom"/>
          </w:tcPr>
          <w:p w:rsidR="009534E2" w:rsidRDefault="003369EB">
            <w:pPr>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194</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color w:val="000000"/>
              </w:rPr>
            </w:pPr>
            <w:bookmarkStart w:name="_68b78720_581f_4499_8abc_718c26df45e1" w:id="1395"/>
            <w:bookmarkEnd w:id="1394"/>
            <w:r>
              <w:rPr>
                <w:rFonts w:eastAsia="Times New Roman" w:asciiTheme="majorHAnsi" w:hAnsiTheme="majorHAnsi" w:cstheme="majorHAnsi"/>
                <w:color w:val="000000"/>
              </w:rPr>
              <w:t xml:space="preserve">Group’s share of net assets acquired </w:t>
            </w:r>
            <w:bookmarkStart w:name="_a5516af5_e725_4157_93f0_8751806adb44" w:id="1396"/>
            <w:r>
              <w:rPr>
                <w:rFonts w:eastAsia="Times New Roman" w:asciiTheme="majorHAnsi" w:hAnsiTheme="majorHAnsi" w:cstheme="majorHAnsi"/>
                <w:color w:val="000000"/>
              </w:rPr>
              <w:t>(80%)</w:t>
            </w:r>
            <w:bookmarkEnd w:id="1396"/>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single" w:color="000000" w:sz="4" w:space="0"/>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156</w:t>
            </w:r>
          </w:p>
        </w:tc>
      </w:tr>
      <w:tr w:rsidR="009534E2">
        <w:tc>
          <w:tcPr>
            <w:tcW w:w="4323" w:type="pct"/>
            <w:tcBorders>
              <w:top w:val="nil"/>
              <w:left w:val="nil"/>
              <w:bottom w:val="nil"/>
              <w:right w:val="nil"/>
              <w:tl2br w:val="nil"/>
              <w:tr2bl w:val="nil"/>
            </w:tcBorders>
            <w:vAlign w:val="bottom"/>
          </w:tcPr>
          <w:p w:rsidR="009534E2" w:rsidRDefault="003369EB">
            <w:pPr>
              <w:rPr>
                <w:rFonts w:asciiTheme="majorHAnsi" w:hAnsiTheme="majorHAnsi" w:cstheme="majorHAnsi"/>
                <w:b/>
                <w:color w:val="000000"/>
              </w:rPr>
            </w:pPr>
            <w:bookmarkStart w:name="_9ec3a477_6d32_4cf1_8dbd_df4409ff0901" w:id="1397"/>
            <w:bookmarkEnd w:id="1395"/>
            <w:r>
              <w:rPr>
                <w:rFonts w:eastAsia="Times New Roman" w:asciiTheme="majorHAnsi" w:hAnsiTheme="majorHAnsi" w:cstheme="majorHAnsi"/>
                <w:b/>
                <w:color w:val="000000"/>
              </w:rPr>
              <w:t>Goodwill arising on acquisition</w:t>
            </w:r>
          </w:p>
        </w:tc>
        <w:tc>
          <w:tcPr>
            <w:tcW w:w="137" w:type="pct"/>
            <w:tcBorders>
              <w:top w:val="nil"/>
              <w:left w:val="nil"/>
              <w:bottom w:val="nil"/>
              <w:right w:val="nil"/>
              <w:tl2br w:val="nil"/>
              <w:tr2bl w:val="nil"/>
            </w:tcBorders>
            <w:noWrap/>
            <w:vAlign w:val="bottom"/>
          </w:tcPr>
          <w:p w:rsidR="009534E2" w:rsidRDefault="003369EB">
            <w:pPr>
              <w:rPr>
                <w:rFonts w:asciiTheme="majorHAnsi" w:hAnsiTheme="majorHAnsi" w:cstheme="majorHAnsi"/>
                <w:b/>
                <w:color w:val="000000"/>
              </w:rPr>
            </w:pPr>
            <w:r>
              <w:rPr>
                <w:rFonts w:eastAsia="Times New Roman" w:asciiTheme="majorHAnsi" w:hAnsiTheme="majorHAnsi" w:cstheme="majorHAnsi"/>
                <w:b/>
                <w:color w:val="000000"/>
              </w:rPr>
              <w:t> </w:t>
            </w:r>
          </w:p>
        </w:tc>
        <w:tc>
          <w:tcPr>
            <w:tcW w:w="540" w:type="pct"/>
            <w:tcBorders>
              <w:top w:val="nil"/>
              <w:left w:val="nil"/>
              <w:bottom w:val="double" w:color="000000" w:sz="4" w:space="0"/>
              <w:right w:val="nil"/>
              <w:tl2br w:val="nil"/>
              <w:tr2bl w:val="nil"/>
            </w:tcBorders>
            <w:noWrap/>
            <w:vAlign w:val="bottom"/>
          </w:tcPr>
          <w:p w:rsidR="009534E2" w:rsidRDefault="003369EB">
            <w:pPr>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666</w:t>
            </w:r>
          </w:p>
        </w:tc>
      </w:tr>
      <w:bookmarkEnd w:id="1387"/>
      <w:bookmarkEnd w:id="1397"/>
    </w:tbl>
    <w:p w:rsidR="009534E2" w:rsidRDefault="009534E2">
      <w:pPr>
        <w:rPr>
          <w:rFonts w:asciiTheme="majorHAnsi" w:hAnsiTheme="majorHAnsi" w:cstheme="majorHAnsi"/>
          <w:sz w:val="2"/>
          <w:szCs w:val="2"/>
        </w:rPr>
      </w:pPr>
    </w:p>
    <w:p w:rsidR="009534E2" w:rsidRDefault="009534E2">
      <w:pPr>
        <w:jc w:val="center"/>
        <w:rPr>
          <w:rFonts w:asciiTheme="majorHAnsi" w:hAnsiTheme="majorHAnsi" w:cstheme="majorHAnsi"/>
          <w:lang w:eastAsia="ru-RU"/>
        </w:rPr>
      </w:pPr>
    </w:p>
    <w:p w:rsidR="009534E2" w:rsidRDefault="003369EB">
      <w:pPr>
        <w:pStyle w:val="BodyText"/>
        <w:rPr>
          <w:rFonts w:asciiTheme="majorHAnsi" w:hAnsiTheme="majorHAnsi" w:cstheme="majorHAnsi"/>
          <w:bCs/>
          <w:lang w:eastAsia="ru-RU"/>
        </w:rPr>
      </w:pPr>
      <w:r>
        <w:rPr>
          <w:rFonts w:asciiTheme="majorHAnsi" w:hAnsiTheme="majorHAnsi" w:cstheme="majorHAnsi"/>
          <w:bCs/>
          <w:lang w:eastAsia="ru-RU"/>
        </w:rPr>
        <w:t xml:space="preserve">The Goodwill resulted as the difference between the Group’s share of the fair value of net assets acquired in the business combination and the consideration paid amounted to </w:t>
      </w:r>
      <w:bookmarkStart w:name="_5947168c_86de_4ac5_acb8_12652a52cdcd" w:id="1398"/>
      <w:r>
        <w:rPr>
          <w:rFonts w:asciiTheme="majorHAnsi" w:hAnsiTheme="majorHAnsi" w:cstheme="majorHAnsi"/>
          <w:bCs/>
          <w:lang w:eastAsia="ru-RU"/>
        </w:rPr>
        <w:t>666</w:t>
      </w:r>
      <w:bookmarkEnd w:id="1398"/>
      <w:r>
        <w:rPr>
          <w:rFonts w:asciiTheme="majorHAnsi" w:hAnsiTheme="majorHAnsi" w:cstheme="majorHAnsi"/>
          <w:bCs/>
          <w:lang w:eastAsia="ru-RU"/>
        </w:rPr>
        <w:t xml:space="preserve"> and related to the potential synergy with the Payment services segment of the Group. Goodwill was allocated to the Payment services CGU. </w:t>
      </w:r>
      <w:bookmarkStart w:name="_b8a25212_2fb9_4e19_9cf0_d5ae47b51f77" w:id="1399"/>
      <w:r>
        <w:rPr>
          <w:rFonts w:asciiTheme="majorHAnsi" w:hAnsiTheme="majorHAnsi" w:cstheme="majorHAnsi"/>
          <w:bCs/>
          <w:lang w:eastAsia="ru-RU"/>
        </w:rPr>
        <w:t>None</w:t>
      </w:r>
      <w:bookmarkEnd w:id="1399"/>
      <w:r>
        <w:rPr>
          <w:rFonts w:asciiTheme="majorHAnsi" w:hAnsiTheme="majorHAnsi" w:cstheme="majorHAnsi"/>
          <w:bCs/>
          <w:lang w:eastAsia="ru-RU"/>
        </w:rPr>
        <w:t xml:space="preserve"> of the goodwill recognized is expected to be deductible for income tax purposes.</w:t>
      </w:r>
    </w:p>
    <w:p w:rsidR="009534E2" w:rsidRDefault="003369EB">
      <w:pPr>
        <w:pStyle w:val="BodyText"/>
        <w:rPr>
          <w:rFonts w:asciiTheme="majorHAnsi" w:hAnsiTheme="majorHAnsi" w:cstheme="majorHAnsi"/>
          <w:bCs/>
          <w:lang w:eastAsia="ru-RU"/>
        </w:rPr>
      </w:pPr>
      <w:r>
        <w:rPr>
          <w:rFonts w:asciiTheme="majorHAnsi" w:hAnsiTheme="majorHAnsi" w:cstheme="majorHAnsi"/>
          <w:bCs/>
          <w:lang w:eastAsia="ru-RU"/>
        </w:rPr>
        <w:t>Revenue and net profit of the Taxiaggregator business from the acquisition date to December 31, 2022 was insignificant.</w:t>
      </w:r>
    </w:p>
    <w:p w:rsidR="009534E2" w:rsidRDefault="003369EB">
      <w:pPr>
        <w:pStyle w:val="BodyText"/>
        <w:rPr>
          <w:rFonts w:asciiTheme="majorHAnsi" w:hAnsiTheme="majorHAnsi" w:cstheme="majorHAnsi"/>
          <w:b/>
          <w:i/>
          <w:iCs/>
          <w:lang w:eastAsia="ru-RU"/>
        </w:rPr>
      </w:pPr>
      <w:r>
        <w:rPr>
          <w:rFonts w:asciiTheme="majorHAnsi" w:hAnsiTheme="majorHAnsi" w:cstheme="majorHAnsi"/>
          <w:b/>
          <w:i/>
          <w:iCs/>
          <w:lang w:eastAsia="ru-RU"/>
        </w:rPr>
        <w:t>RealWeb</w:t>
      </w:r>
    </w:p>
    <w:p w:rsidR="009534E2" w:rsidRDefault="003369EB">
      <w:pPr>
        <w:pStyle w:val="BodyText"/>
        <w:rPr>
          <w:rFonts w:asciiTheme="majorHAnsi" w:hAnsiTheme="majorHAnsi" w:cstheme="majorHAnsi"/>
          <w:bCs/>
          <w:lang w:eastAsia="ru-RU"/>
        </w:rPr>
      </w:pPr>
      <w:r>
        <w:rPr>
          <w:rFonts w:asciiTheme="majorHAnsi" w:hAnsiTheme="majorHAnsi" w:cstheme="majorHAnsi"/>
          <w:bCs/>
          <w:lang w:eastAsia="ru-RU"/>
        </w:rPr>
        <w:t xml:space="preserve">During December 2022, the Group completed a series of transactions related to the acquisition of subsidiaries of RealWeb group. In the middle of December 2022, the Group obtained control over the RealWeb business. As a result, the Group owns </w:t>
      </w:r>
      <w:bookmarkStart w:name="_24af33e2_3315_419c_8d24_d2f10d12ebf4" w:id="1400"/>
      <w:r>
        <w:rPr>
          <w:rFonts w:asciiTheme="majorHAnsi" w:hAnsiTheme="majorHAnsi" w:cstheme="majorHAnsi"/>
          <w:bCs/>
          <w:lang w:eastAsia="ru-RU"/>
        </w:rPr>
        <w:t>79%</w:t>
      </w:r>
      <w:bookmarkEnd w:id="1400"/>
      <w:r>
        <w:rPr>
          <w:rFonts w:asciiTheme="majorHAnsi" w:hAnsiTheme="majorHAnsi" w:cstheme="majorHAnsi"/>
          <w:bCs/>
          <w:lang w:eastAsia="ru-RU"/>
        </w:rPr>
        <w:t xml:space="preserve"> of the business and has the intention to increase its share to </w:t>
      </w:r>
      <w:bookmarkStart w:name="_b8d8da38_7561_4d79_9f44_06a1d62d373e" w:id="1401"/>
      <w:r>
        <w:rPr>
          <w:rFonts w:asciiTheme="majorHAnsi" w:hAnsiTheme="majorHAnsi" w:cstheme="majorHAnsi"/>
          <w:bCs/>
          <w:lang w:eastAsia="ru-RU"/>
        </w:rPr>
        <w:t>100%</w:t>
      </w:r>
      <w:bookmarkEnd w:id="1401"/>
      <w:r>
        <w:rPr>
          <w:rFonts w:asciiTheme="majorHAnsi" w:hAnsiTheme="majorHAnsi" w:cstheme="majorHAnsi"/>
          <w:bCs/>
          <w:lang w:eastAsia="ru-RU"/>
        </w:rPr>
        <w:t xml:space="preserve"> during the year 2023. The acquisition has been accounted for using the acquisition method. Pre-existing relationships between the Group and RealWeb were not significant.</w:t>
      </w:r>
    </w:p>
    <w:p w:rsidR="009534E2" w:rsidRDefault="003369EB">
      <w:pPr>
        <w:pStyle w:val="BodyText"/>
        <w:keepNext/>
        <w:keepLines/>
        <w:rPr>
          <w:rFonts w:asciiTheme="majorHAnsi" w:hAnsiTheme="majorHAnsi" w:cstheme="majorHAnsi"/>
          <w:b/>
          <w:lang w:eastAsia="ru-RU"/>
        </w:rPr>
      </w:pPr>
      <w:r>
        <w:rPr>
          <w:rFonts w:asciiTheme="majorHAnsi" w:hAnsiTheme="majorHAnsi" w:cstheme="majorHAnsi"/>
          <w:b/>
          <w:lang w:eastAsia="ru-RU"/>
        </w:rPr>
        <w:t>6. Acquisitions, disposals and discontinued operations (continued)</w:t>
      </w:r>
    </w:p>
    <w:p w:rsidR="009534E2" w:rsidRDefault="003369EB">
      <w:pPr>
        <w:pStyle w:val="BodyText"/>
        <w:keepNext/>
        <w:keepLines/>
        <w:rPr>
          <w:rFonts w:asciiTheme="majorHAnsi" w:hAnsiTheme="majorHAnsi" w:cstheme="majorHAnsi"/>
          <w:bCs/>
          <w:lang w:eastAsia="ru-RU"/>
        </w:rPr>
      </w:pPr>
      <w:r>
        <w:rPr>
          <w:rFonts w:asciiTheme="majorHAnsi" w:hAnsiTheme="majorHAnsi" w:cstheme="majorHAnsi"/>
          <w:bCs/>
          <w:lang w:eastAsia="ru-RU"/>
        </w:rPr>
        <w:t>Realweb is a leading full-cycle digital marketing service provider in Russia, which provides context and media advertising management services, social network presence, programmatic, CPA and mobile marketing type of services. The transaction allows the Group to attain  leading positions in the growing advertising and digital marketing business segments based on RealWeb’s expertise and to further diversify the Group’s product portfolio.</w:t>
      </w:r>
    </w:p>
    <w:p w:rsidR="009534E2" w:rsidRDefault="003369EB">
      <w:pPr>
        <w:pStyle w:val="BodyText"/>
        <w:rPr>
          <w:rFonts w:asciiTheme="majorHAnsi" w:hAnsiTheme="majorHAnsi" w:cstheme="majorHAnsi"/>
          <w:bCs/>
          <w:lang w:eastAsia="ru-RU"/>
        </w:rPr>
      </w:pPr>
      <w:r>
        <w:rPr>
          <w:rFonts w:asciiTheme="majorHAnsi" w:hAnsiTheme="majorHAnsi" w:cstheme="majorHAnsi"/>
          <w:bCs/>
          <w:lang w:eastAsia="ru-RU"/>
        </w:rPr>
        <w:t xml:space="preserve">The consideration transferred to the seller comprised cash only and amounted to </w:t>
      </w:r>
      <w:bookmarkStart w:name="_832c7c7e_9780_4383_b27d_4fe040f9d51b" w:id="1402"/>
      <w:r>
        <w:rPr>
          <w:rFonts w:asciiTheme="majorHAnsi" w:hAnsiTheme="majorHAnsi" w:cstheme="majorHAnsi"/>
          <w:bCs/>
          <w:lang w:eastAsia="ru-RU"/>
        </w:rPr>
        <w:t>1,773</w:t>
      </w:r>
      <w:bookmarkEnd w:id="1402"/>
      <w:r>
        <w:rPr>
          <w:rFonts w:asciiTheme="majorHAnsi" w:hAnsiTheme="majorHAnsi" w:cstheme="majorHAnsi"/>
          <w:bCs/>
          <w:lang w:eastAsia="ru-RU"/>
        </w:rPr>
        <w:t>.</w:t>
      </w:r>
    </w:p>
    <w:p w:rsidR="009534E2" w:rsidRDefault="003369EB">
      <w:pPr>
        <w:pStyle w:val="BodyText"/>
        <w:spacing w:after="0"/>
        <w:rPr>
          <w:rFonts w:asciiTheme="majorHAnsi" w:hAnsiTheme="majorHAnsi" w:cstheme="majorHAnsi"/>
          <w:bCs/>
          <w:lang w:eastAsia="ru-RU"/>
        </w:rPr>
      </w:pPr>
      <w:r>
        <w:rPr>
          <w:rFonts w:asciiTheme="majorHAnsi" w:hAnsiTheme="majorHAnsi" w:cstheme="majorHAnsi"/>
          <w:bCs/>
          <w:lang w:eastAsia="ru-RU"/>
        </w:rPr>
        <w:t>The provisional fair value of the identifiable assets and liabilities as of the date of the acquisition was:</w:t>
      </w:r>
    </w:p>
    <w:p w:rsidR="009534E2" w:rsidRDefault="009534E2">
      <w:pPr>
        <w:jc w:val="center"/>
        <w:rPr>
          <w:rFonts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338"/>
        <w:gridCol w:w="296"/>
        <w:gridCol w:w="1166"/>
      </w:tblGrid>
      <w:tr w:rsidR="009534E2">
        <w:trPr>
          <w:trHeight w:val="20" w:hRule="exact"/>
        </w:trPr>
        <w:tc>
          <w:tcPr>
            <w:tcW w:w="4323"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a975c491_d0a2_4e0e_8542_6df788a27896" w:colFirst="0" w:colLast="0" w:id="1403"/>
            <w:bookmarkStart w:name="_84015dce_a299_42d6_bae0_55922f39f6e5" w:colFirst="1" w:colLast="1" w:id="1404"/>
            <w:bookmarkStart w:name="_9eb9c038_d452_4cdb_999e_e9ccdccbed4f" w:colFirst="2" w:colLast="2" w:id="1405"/>
            <w:bookmarkStart w:name="_859cbd27_13e0_4e56_aee7_abfddc6e7112" w:id="1406"/>
          </w:p>
        </w:tc>
        <w:tc>
          <w:tcPr>
            <w:tcW w:w="13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40"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c>
          <w:tcPr>
            <w:tcW w:w="4323" w:type="pct"/>
            <w:tcBorders>
              <w:top w:val="nil"/>
              <w:left w:val="nil"/>
              <w:bottom w:val="nil"/>
              <w:right w:val="nil"/>
              <w:tl2br w:val="nil"/>
              <w:tr2bl w:val="nil"/>
            </w:tcBorders>
            <w:shd w:val="clear" w:color="auto" w:fill="auto"/>
            <w:vAlign w:val="bottom"/>
          </w:tcPr>
          <w:p w:rsidR="009534E2" w:rsidRDefault="003369EB">
            <w:pPr>
              <w:rPr>
                <w:rFonts w:asciiTheme="majorHAnsi" w:hAnsiTheme="majorHAnsi" w:cstheme="majorHAnsi"/>
                <w:b/>
                <w:color w:val="000000"/>
                <w:sz w:val="16"/>
              </w:rPr>
            </w:pPr>
            <w:bookmarkStart w:name="_4fcf604b_bc76_41b4_8d1b_cfabe7b4b2d2" w:id="1407"/>
            <w:bookmarkEnd w:id="1403"/>
            <w:bookmarkEnd w:id="1404"/>
            <w:bookmarkEnd w:id="1405"/>
            <w:r>
              <w:rPr>
                <w:rFonts w:eastAsia="Times New Roman" w:asciiTheme="majorHAnsi" w:hAnsiTheme="majorHAnsi" w:cstheme="majorHAnsi"/>
                <w:b/>
                <w:color w:val="000000"/>
                <w:sz w:val="16"/>
              </w:rPr>
              <w:t>Net assets acquired:</w:t>
            </w:r>
          </w:p>
        </w:tc>
        <w:tc>
          <w:tcPr>
            <w:tcW w:w="137"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0"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Fair value</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92ad55c5_c6ed_46db_ab43_32cf69a37195" w:id="1408"/>
            <w:bookmarkEnd w:id="1407"/>
            <w:r>
              <w:rPr>
                <w:rFonts w:eastAsia="Times New Roman" w:asciiTheme="majorHAnsi" w:hAnsiTheme="majorHAnsi" w:cstheme="majorHAnsi"/>
                <w:color w:val="000000"/>
              </w:rPr>
              <w:t>Intangible assets</w:t>
            </w:r>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1,163</w:t>
            </w:r>
          </w:p>
        </w:tc>
      </w:tr>
      <w:tr w:rsidR="009534E2">
        <w:tc>
          <w:tcPr>
            <w:tcW w:w="4323" w:type="pct"/>
            <w:tcBorders>
              <w:top w:val="nil"/>
              <w:left w:val="nil"/>
              <w:bottom w:val="nil"/>
              <w:right w:val="nil"/>
              <w:tl2br w:val="nil"/>
              <w:tr2bl w:val="nil"/>
            </w:tcBorders>
            <w:vAlign w:val="bottom"/>
          </w:tcPr>
          <w:p w:rsidR="009534E2" w:rsidRDefault="003369EB">
            <w:pPr>
              <w:ind w:left="240"/>
              <w:rPr>
                <w:rFonts w:asciiTheme="majorHAnsi" w:hAnsiTheme="majorHAnsi" w:cstheme="majorHAnsi"/>
                <w:i/>
                <w:color w:val="000000"/>
              </w:rPr>
            </w:pPr>
            <w:bookmarkStart w:name="_4640a68e_45dc_458b_9f7b_237c995ddbe4" w:id="1409"/>
            <w:bookmarkEnd w:id="1408"/>
            <w:r>
              <w:rPr>
                <w:rFonts w:eastAsia="Times New Roman" w:asciiTheme="majorHAnsi" w:hAnsiTheme="majorHAnsi" w:cstheme="majorHAnsi"/>
                <w:i/>
                <w:color w:val="000000"/>
              </w:rPr>
              <w:t>Software</w:t>
            </w:r>
          </w:p>
        </w:tc>
        <w:tc>
          <w:tcPr>
            <w:tcW w:w="137" w:type="pct"/>
            <w:tcBorders>
              <w:top w:val="nil"/>
              <w:left w:val="nil"/>
              <w:bottom w:val="nil"/>
              <w:right w:val="nil"/>
              <w:tl2br w:val="nil"/>
              <w:tr2bl w:val="nil"/>
            </w:tcBorders>
            <w:noWrap/>
            <w:vAlign w:val="bottom"/>
          </w:tcPr>
          <w:p w:rsidR="009534E2" w:rsidRDefault="009534E2">
            <w:pPr>
              <w:rPr>
                <w:rFonts w:asciiTheme="majorHAnsi" w:hAnsiTheme="majorHAnsi" w:cstheme="majorHAnsi"/>
                <w:i/>
                <w:color w:val="000000"/>
              </w:rPr>
            </w:pPr>
          </w:p>
        </w:tc>
        <w:tc>
          <w:tcPr>
            <w:tcW w:w="540"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i/>
                <w:color w:val="000000"/>
              </w:rPr>
            </w:pPr>
            <w:r>
              <w:rPr>
                <w:rFonts w:eastAsia="Times New Roman" w:asciiTheme="majorHAnsi" w:hAnsiTheme="majorHAnsi" w:cstheme="majorHAnsi"/>
                <w:i/>
                <w:color w:val="000000"/>
              </w:rPr>
              <w:t xml:space="preserve"> 792</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ind w:left="240"/>
              <w:rPr>
                <w:rFonts w:asciiTheme="majorHAnsi" w:hAnsiTheme="majorHAnsi" w:cstheme="majorHAnsi"/>
                <w:i/>
                <w:color w:val="000000"/>
              </w:rPr>
            </w:pPr>
            <w:bookmarkStart w:name="_375c6679_8cf6_4c46_85df_e757e1321311" w:id="1410"/>
            <w:bookmarkEnd w:id="1409"/>
            <w:r>
              <w:rPr>
                <w:rFonts w:eastAsia="Times New Roman" w:asciiTheme="majorHAnsi" w:hAnsiTheme="majorHAnsi" w:cstheme="majorHAnsi"/>
                <w:i/>
                <w:color w:val="000000"/>
              </w:rPr>
              <w:t>Trademarks</w:t>
            </w:r>
          </w:p>
        </w:tc>
        <w:tc>
          <w:tcPr>
            <w:tcW w:w="137"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i/>
                <w:color w:val="000000"/>
              </w:rPr>
            </w:pPr>
          </w:p>
        </w:tc>
        <w:tc>
          <w:tcPr>
            <w:tcW w:w="540"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i/>
                <w:color w:val="000000"/>
              </w:rPr>
            </w:pPr>
            <w:r>
              <w:rPr>
                <w:rFonts w:eastAsia="Times New Roman" w:asciiTheme="majorHAnsi" w:hAnsiTheme="majorHAnsi" w:cstheme="majorHAnsi"/>
                <w:i/>
                <w:color w:val="000000"/>
              </w:rPr>
              <w:t xml:space="preserve"> 371</w:t>
            </w:r>
          </w:p>
        </w:tc>
      </w:tr>
      <w:tr w:rsidR="009534E2">
        <w:tc>
          <w:tcPr>
            <w:tcW w:w="4323" w:type="pct"/>
            <w:tcBorders>
              <w:top w:val="nil"/>
              <w:left w:val="nil"/>
              <w:bottom w:val="nil"/>
              <w:right w:val="nil"/>
              <w:tl2br w:val="nil"/>
              <w:tr2bl w:val="nil"/>
            </w:tcBorders>
            <w:vAlign w:val="bottom"/>
          </w:tcPr>
          <w:p w:rsidR="009534E2" w:rsidRDefault="003369EB">
            <w:pPr>
              <w:ind w:left="120"/>
              <w:rPr>
                <w:rFonts w:asciiTheme="majorHAnsi" w:hAnsiTheme="majorHAnsi" w:cstheme="majorHAnsi"/>
                <w:color w:val="000000"/>
              </w:rPr>
            </w:pPr>
            <w:bookmarkStart w:name="_d06378f8_380a_46b3_9870_c24a94afa5ae" w:id="1411"/>
            <w:bookmarkEnd w:id="1410"/>
            <w:r>
              <w:rPr>
                <w:rFonts w:eastAsia="Times New Roman" w:asciiTheme="majorHAnsi" w:hAnsiTheme="majorHAnsi" w:cstheme="majorHAnsi"/>
                <w:color w:val="000000"/>
              </w:rPr>
              <w:t>Trade and other receivables</w:t>
            </w:r>
          </w:p>
        </w:tc>
        <w:tc>
          <w:tcPr>
            <w:tcW w:w="137"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3,286</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ec77851d_4048_44fb_8329_d7347d403fe0" w:id="1412"/>
            <w:bookmarkEnd w:id="1411"/>
            <w:r>
              <w:rPr>
                <w:rFonts w:eastAsia="Times New Roman" w:asciiTheme="majorHAnsi" w:hAnsiTheme="majorHAnsi" w:cstheme="majorHAnsi"/>
                <w:color w:val="000000"/>
              </w:rPr>
              <w:t>Cash and cash equivalents</w:t>
            </w:r>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3,089</w:t>
            </w:r>
          </w:p>
        </w:tc>
      </w:tr>
      <w:tr w:rsidR="009534E2">
        <w:tc>
          <w:tcPr>
            <w:tcW w:w="4323" w:type="pct"/>
            <w:tcBorders>
              <w:top w:val="nil"/>
              <w:left w:val="nil"/>
              <w:bottom w:val="nil"/>
              <w:right w:val="nil"/>
              <w:tl2br w:val="nil"/>
              <w:tr2bl w:val="nil"/>
            </w:tcBorders>
            <w:vAlign w:val="bottom"/>
          </w:tcPr>
          <w:p w:rsidR="009534E2" w:rsidRDefault="003369EB">
            <w:pPr>
              <w:ind w:left="120"/>
              <w:rPr>
                <w:rFonts w:asciiTheme="majorHAnsi" w:hAnsiTheme="majorHAnsi" w:cstheme="majorHAnsi"/>
                <w:color w:val="000000"/>
              </w:rPr>
            </w:pPr>
            <w:bookmarkStart w:name="_6c065863_84d2_4ebd_a429_9ce6eadecfe6" w:id="1413"/>
            <w:bookmarkEnd w:id="1412"/>
            <w:r>
              <w:rPr>
                <w:rFonts w:eastAsia="Times New Roman" w:asciiTheme="majorHAnsi" w:hAnsiTheme="majorHAnsi" w:cstheme="majorHAnsi"/>
                <w:color w:val="000000"/>
              </w:rPr>
              <w:t>Other assets</w:t>
            </w:r>
          </w:p>
        </w:tc>
        <w:tc>
          <w:tcPr>
            <w:tcW w:w="137"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116</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9186325a_f8ff_4e8e_8925_3b15cba3bd1b" w:id="1414"/>
            <w:bookmarkEnd w:id="1413"/>
            <w:r>
              <w:rPr>
                <w:rFonts w:eastAsia="Times New Roman" w:asciiTheme="majorHAnsi" w:hAnsiTheme="majorHAnsi" w:cstheme="majorHAnsi"/>
                <w:color w:val="000000"/>
              </w:rPr>
              <w:t>Deferred tax</w:t>
            </w:r>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xml:space="preserve"> (140)</w:t>
            </w:r>
          </w:p>
        </w:tc>
      </w:tr>
      <w:tr w:rsidR="009534E2">
        <w:tc>
          <w:tcPr>
            <w:tcW w:w="4323" w:type="pct"/>
            <w:tcBorders>
              <w:top w:val="nil"/>
              <w:left w:val="nil"/>
              <w:bottom w:val="nil"/>
              <w:right w:val="nil"/>
              <w:tl2br w:val="nil"/>
              <w:tr2bl w:val="nil"/>
            </w:tcBorders>
            <w:vAlign w:val="bottom"/>
          </w:tcPr>
          <w:p w:rsidR="009534E2" w:rsidRDefault="003369EB">
            <w:pPr>
              <w:ind w:left="120"/>
              <w:rPr>
                <w:rFonts w:asciiTheme="majorHAnsi" w:hAnsiTheme="majorHAnsi" w:cstheme="majorHAnsi"/>
                <w:color w:val="000000"/>
              </w:rPr>
            </w:pPr>
            <w:bookmarkStart w:name="_5102eb65_8f04_4627_b1ed_3fec6788dd45" w:id="1415"/>
            <w:bookmarkEnd w:id="1414"/>
            <w:r>
              <w:rPr>
                <w:rFonts w:eastAsia="Times New Roman" w:asciiTheme="majorHAnsi" w:hAnsiTheme="majorHAnsi" w:cstheme="majorHAnsi"/>
                <w:color w:val="000000"/>
              </w:rPr>
              <w:t>Trade and other payables</w:t>
            </w:r>
          </w:p>
        </w:tc>
        <w:tc>
          <w:tcPr>
            <w:tcW w:w="137"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xml:space="preserve"> (6,056)</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1fdbc11f_589e_4df3_878a_43abe9fb051f" w:id="1416"/>
            <w:bookmarkEnd w:id="1415"/>
            <w:r>
              <w:rPr>
                <w:rFonts w:eastAsia="Times New Roman" w:asciiTheme="majorHAnsi" w:hAnsiTheme="majorHAnsi" w:cstheme="majorHAnsi"/>
                <w:color w:val="000000"/>
              </w:rPr>
              <w:t>Other liabilities</w:t>
            </w:r>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single" w:color="000000" w:sz="4" w:space="0"/>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xml:space="preserve"> (273)</w:t>
            </w:r>
          </w:p>
        </w:tc>
      </w:tr>
      <w:tr w:rsidR="009534E2">
        <w:tc>
          <w:tcPr>
            <w:tcW w:w="4323" w:type="pct"/>
            <w:tcBorders>
              <w:top w:val="nil"/>
              <w:left w:val="nil"/>
              <w:bottom w:val="nil"/>
              <w:right w:val="nil"/>
              <w:tl2br w:val="nil"/>
              <w:tr2bl w:val="nil"/>
            </w:tcBorders>
            <w:vAlign w:val="bottom"/>
          </w:tcPr>
          <w:p w:rsidR="009534E2" w:rsidRDefault="003369EB">
            <w:pPr>
              <w:rPr>
                <w:rFonts w:asciiTheme="majorHAnsi" w:hAnsiTheme="majorHAnsi" w:cstheme="majorHAnsi"/>
                <w:b/>
                <w:color w:val="000000"/>
              </w:rPr>
            </w:pPr>
            <w:bookmarkStart w:name="_d30afa65_31f5_4a3a_a4ad_62ec642d08df" w:id="1417"/>
            <w:bookmarkEnd w:id="1416"/>
            <w:r>
              <w:rPr>
                <w:rFonts w:eastAsia="Times New Roman" w:asciiTheme="majorHAnsi" w:hAnsiTheme="majorHAnsi" w:cstheme="majorHAnsi"/>
                <w:b/>
                <w:color w:val="000000"/>
              </w:rPr>
              <w:t>Total identifiable net assets at fair value</w:t>
            </w:r>
          </w:p>
        </w:tc>
        <w:tc>
          <w:tcPr>
            <w:tcW w:w="137" w:type="pct"/>
            <w:tcBorders>
              <w:top w:val="nil"/>
              <w:left w:val="nil"/>
              <w:bottom w:val="nil"/>
              <w:right w:val="nil"/>
              <w:tl2br w:val="nil"/>
              <w:tr2bl w:val="nil"/>
            </w:tcBorders>
            <w:noWrap/>
            <w:vAlign w:val="bottom"/>
          </w:tcPr>
          <w:p w:rsidR="009534E2" w:rsidRDefault="003369EB">
            <w:pPr>
              <w:rPr>
                <w:rFonts w:asciiTheme="majorHAnsi" w:hAnsiTheme="majorHAnsi" w:cstheme="majorHAnsi"/>
                <w:b/>
                <w:color w:val="000000"/>
              </w:rPr>
            </w:pPr>
            <w:r>
              <w:rPr>
                <w:rFonts w:eastAsia="Times New Roman" w:asciiTheme="majorHAnsi" w:hAnsiTheme="majorHAnsi" w:cstheme="majorHAnsi"/>
                <w:b/>
                <w:color w:val="000000"/>
              </w:rPr>
              <w:t> </w:t>
            </w:r>
          </w:p>
        </w:tc>
        <w:tc>
          <w:tcPr>
            <w:tcW w:w="540" w:type="pct"/>
            <w:tcBorders>
              <w:top w:val="nil"/>
              <w:left w:val="nil"/>
              <w:bottom w:val="single" w:color="000000" w:sz="4" w:space="0"/>
              <w:right w:val="nil"/>
              <w:tl2br w:val="nil"/>
              <w:tr2bl w:val="nil"/>
            </w:tcBorders>
            <w:noWrap/>
            <w:vAlign w:val="bottom"/>
          </w:tcPr>
          <w:p w:rsidR="009534E2" w:rsidRDefault="003369EB">
            <w:pPr>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1,185</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ac4af985_7e9a_44f8_835e_a2a6c767d772" w:id="1418"/>
            <w:bookmarkEnd w:id="1417"/>
            <w:r>
              <w:rPr>
                <w:rFonts w:eastAsia="Times New Roman" w:asciiTheme="majorHAnsi" w:hAnsiTheme="majorHAnsi" w:cstheme="majorHAnsi"/>
                <w:color w:val="000000"/>
              </w:rPr>
              <w:t xml:space="preserve">Group’s share of net assets acquired </w:t>
            </w:r>
            <w:bookmarkStart w:name="_99043c30_29ee_4dbe_a4d2_a6e530fb8d6f" w:id="1419"/>
            <w:r>
              <w:rPr>
                <w:rFonts w:eastAsia="Times New Roman" w:asciiTheme="majorHAnsi" w:hAnsiTheme="majorHAnsi" w:cstheme="majorHAnsi"/>
                <w:color w:val="000000"/>
              </w:rPr>
              <w:t>(79%)</w:t>
            </w:r>
            <w:bookmarkEnd w:id="1419"/>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single" w:color="000000" w:sz="4" w:space="0"/>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931</w:t>
            </w:r>
          </w:p>
        </w:tc>
      </w:tr>
      <w:tr w:rsidR="009534E2">
        <w:tc>
          <w:tcPr>
            <w:tcW w:w="4323" w:type="pct"/>
            <w:tcBorders>
              <w:top w:val="nil"/>
              <w:left w:val="nil"/>
              <w:bottom w:val="nil"/>
              <w:right w:val="nil"/>
              <w:tl2br w:val="nil"/>
              <w:tr2bl w:val="nil"/>
            </w:tcBorders>
            <w:vAlign w:val="bottom"/>
          </w:tcPr>
          <w:p w:rsidR="009534E2" w:rsidRDefault="003369EB">
            <w:pPr>
              <w:rPr>
                <w:rFonts w:asciiTheme="majorHAnsi" w:hAnsiTheme="majorHAnsi" w:cstheme="majorHAnsi"/>
                <w:b/>
                <w:color w:val="000000"/>
              </w:rPr>
            </w:pPr>
            <w:bookmarkStart w:name="_b2ff3e68_6d6e_48f4_bdfe_bf3d1b46711e" w:id="1420"/>
            <w:bookmarkEnd w:id="1418"/>
            <w:r>
              <w:rPr>
                <w:rFonts w:eastAsia="Times New Roman" w:asciiTheme="majorHAnsi" w:hAnsiTheme="majorHAnsi" w:cstheme="majorHAnsi"/>
                <w:b/>
                <w:color w:val="000000"/>
              </w:rPr>
              <w:t>Goodwill arising on acquisition</w:t>
            </w:r>
          </w:p>
        </w:tc>
        <w:tc>
          <w:tcPr>
            <w:tcW w:w="137" w:type="pct"/>
            <w:tcBorders>
              <w:top w:val="nil"/>
              <w:left w:val="nil"/>
              <w:bottom w:val="nil"/>
              <w:right w:val="nil"/>
              <w:tl2br w:val="nil"/>
              <w:tr2bl w:val="nil"/>
            </w:tcBorders>
            <w:noWrap/>
            <w:vAlign w:val="bottom"/>
          </w:tcPr>
          <w:p w:rsidR="009534E2" w:rsidRDefault="003369EB">
            <w:pPr>
              <w:rPr>
                <w:rFonts w:asciiTheme="majorHAnsi" w:hAnsiTheme="majorHAnsi" w:cstheme="majorHAnsi"/>
                <w:b/>
                <w:color w:val="000000"/>
              </w:rPr>
            </w:pPr>
            <w:r>
              <w:rPr>
                <w:rFonts w:eastAsia="Times New Roman" w:asciiTheme="majorHAnsi" w:hAnsiTheme="majorHAnsi" w:cstheme="majorHAnsi"/>
                <w:b/>
                <w:color w:val="000000"/>
              </w:rPr>
              <w:t> </w:t>
            </w:r>
          </w:p>
        </w:tc>
        <w:tc>
          <w:tcPr>
            <w:tcW w:w="540" w:type="pct"/>
            <w:tcBorders>
              <w:top w:val="nil"/>
              <w:left w:val="nil"/>
              <w:bottom w:val="double" w:color="000000" w:sz="4" w:space="0"/>
              <w:right w:val="nil"/>
              <w:tl2br w:val="nil"/>
              <w:tr2bl w:val="nil"/>
            </w:tcBorders>
            <w:noWrap/>
            <w:vAlign w:val="bottom"/>
          </w:tcPr>
          <w:p w:rsidR="009534E2" w:rsidRDefault="003369EB">
            <w:pPr>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842</w:t>
            </w:r>
          </w:p>
        </w:tc>
      </w:tr>
      <w:bookmarkEnd w:id="1406"/>
      <w:bookmarkEnd w:id="1420"/>
    </w:tbl>
    <w:p w:rsidR="009534E2" w:rsidRDefault="009534E2">
      <w:pPr>
        <w:jc w:val="center"/>
        <w:rPr>
          <w:rFonts w:asciiTheme="majorHAnsi" w:hAnsiTheme="majorHAnsi" w:cstheme="majorHAnsi"/>
          <w:lang w:eastAsia="ru-RU"/>
        </w:rPr>
      </w:pPr>
    </w:p>
    <w:p w:rsidR="009534E2" w:rsidRDefault="003369EB">
      <w:pPr>
        <w:pStyle w:val="BodyText"/>
        <w:rPr>
          <w:rFonts w:asciiTheme="majorHAnsi" w:hAnsiTheme="majorHAnsi" w:cstheme="majorHAnsi"/>
          <w:bCs/>
          <w:lang w:eastAsia="ru-RU"/>
        </w:rPr>
      </w:pPr>
      <w:r>
        <w:rPr>
          <w:rFonts w:asciiTheme="majorHAnsi" w:hAnsiTheme="majorHAnsi" w:cstheme="majorHAnsi"/>
          <w:bCs/>
          <w:lang w:eastAsia="ru-RU"/>
        </w:rPr>
        <w:t xml:space="preserve">The Group aplied the relief-from-royalty method to determine the fair value of the trademarks and replacement cost approach to determine the fair value of the software. The significant assumptions used to estimate the fair value of the trademarks are the forecasted revenue growth rates, royalty rate and discount rate. The significant assumptions used to estimate the fair value of the software are the </w:t>
      </w:r>
      <w:r w:rsidR="000C5197">
        <w:rPr>
          <w:rFonts w:asciiTheme="majorHAnsi" w:hAnsiTheme="majorHAnsi" w:cstheme="majorHAnsi"/>
          <w:bCs/>
          <w:lang w:eastAsia="ru-RU"/>
        </w:rPr>
        <w:t>number of</w:t>
      </w:r>
      <w:r>
        <w:rPr>
          <w:rFonts w:asciiTheme="majorHAnsi" w:hAnsiTheme="majorHAnsi" w:cstheme="majorHAnsi"/>
          <w:bCs/>
          <w:lang w:eastAsia="ru-RU"/>
        </w:rPr>
        <w:t xml:space="preserve"> staff hours </w:t>
      </w:r>
      <w:r w:rsidRPr="000C5197" w:rsidR="000C5197">
        <w:rPr>
          <w:rFonts w:asciiTheme="majorHAnsi" w:hAnsiTheme="majorHAnsi" w:cstheme="majorHAnsi"/>
          <w:bCs/>
          <w:lang w:eastAsia="ru-RU"/>
        </w:rPr>
        <w:t xml:space="preserve">required to develop the software </w:t>
      </w:r>
      <w:r>
        <w:rPr>
          <w:rFonts w:asciiTheme="majorHAnsi" w:hAnsiTheme="majorHAnsi" w:cstheme="majorHAnsi"/>
          <w:bCs/>
          <w:lang w:eastAsia="ru-RU"/>
        </w:rPr>
        <w:t xml:space="preserve">and </w:t>
      </w:r>
      <w:r w:rsidR="000C5197">
        <w:rPr>
          <w:rFonts w:asciiTheme="majorHAnsi" w:hAnsiTheme="majorHAnsi" w:cstheme="majorHAnsi"/>
          <w:bCs/>
          <w:lang w:eastAsia="ru-RU"/>
        </w:rPr>
        <w:t xml:space="preserve">the </w:t>
      </w:r>
      <w:r>
        <w:rPr>
          <w:rFonts w:asciiTheme="majorHAnsi" w:hAnsiTheme="majorHAnsi" w:cstheme="majorHAnsi"/>
          <w:bCs/>
          <w:lang w:eastAsia="ru-RU"/>
        </w:rPr>
        <w:t>related perso</w:t>
      </w:r>
      <w:r w:rsidR="000C5197">
        <w:rPr>
          <w:rFonts w:asciiTheme="majorHAnsi" w:hAnsiTheme="majorHAnsi" w:cstheme="majorHAnsi"/>
          <w:bCs/>
          <w:lang w:eastAsia="ru-RU"/>
        </w:rPr>
        <w:t>n</w:t>
      </w:r>
      <w:r>
        <w:rPr>
          <w:rFonts w:asciiTheme="majorHAnsi" w:hAnsiTheme="majorHAnsi" w:cstheme="majorHAnsi"/>
          <w:bCs/>
          <w:lang w:eastAsia="ru-RU"/>
        </w:rPr>
        <w:t xml:space="preserve">nel </w:t>
      </w:r>
      <w:r w:rsidR="000C5197">
        <w:rPr>
          <w:rFonts w:asciiTheme="majorHAnsi" w:hAnsiTheme="majorHAnsi" w:cstheme="majorHAnsi"/>
          <w:bCs/>
          <w:lang w:eastAsia="ru-RU"/>
        </w:rPr>
        <w:t>cost</w:t>
      </w:r>
      <w:r>
        <w:rPr>
          <w:rFonts w:asciiTheme="majorHAnsi" w:hAnsiTheme="majorHAnsi" w:cstheme="majorHAnsi"/>
          <w:bCs/>
          <w:lang w:eastAsia="ru-RU"/>
        </w:rPr>
        <w:t>s.</w:t>
      </w:r>
    </w:p>
    <w:p w:rsidR="009534E2" w:rsidRDefault="003369EB">
      <w:pPr>
        <w:pStyle w:val="BodyText"/>
        <w:rPr>
          <w:rFonts w:asciiTheme="majorHAnsi" w:hAnsiTheme="majorHAnsi" w:cstheme="majorHAnsi"/>
          <w:bCs/>
          <w:lang w:eastAsia="ru-RU"/>
        </w:rPr>
      </w:pPr>
      <w:r>
        <w:rPr>
          <w:rFonts w:asciiTheme="majorHAnsi" w:hAnsiTheme="majorHAnsi" w:cstheme="majorHAnsi"/>
          <w:bCs/>
          <w:lang w:eastAsia="ru-RU"/>
        </w:rPr>
        <w:t xml:space="preserve">The provisional Goodwill calculated as the difference between the Group’s share of the fair value of the identifiable net assets acquired in the business combination and the consideration paid amounted to </w:t>
      </w:r>
      <w:bookmarkStart w:name="_7becb0f9_7d93_4ae5_b261_071a688c4011" w:id="1421"/>
      <w:r>
        <w:rPr>
          <w:rFonts w:asciiTheme="majorHAnsi" w:hAnsiTheme="majorHAnsi" w:cstheme="majorHAnsi"/>
          <w:bCs/>
          <w:lang w:eastAsia="ru-RU"/>
        </w:rPr>
        <w:t>842</w:t>
      </w:r>
      <w:bookmarkEnd w:id="1421"/>
      <w:r>
        <w:rPr>
          <w:rFonts w:asciiTheme="majorHAnsi" w:hAnsiTheme="majorHAnsi" w:cstheme="majorHAnsi"/>
          <w:bCs/>
          <w:lang w:eastAsia="ru-RU"/>
        </w:rPr>
        <w:t xml:space="preserve"> and related to the expected synergy with the Group’s existing business. Goodwill was allocated to the new CGU RealWeb. </w:t>
      </w:r>
      <w:bookmarkStart w:name="_f83bc328_5121_45ff_b258_fc67a2053c52" w:id="1422"/>
      <w:r>
        <w:rPr>
          <w:rFonts w:asciiTheme="majorHAnsi" w:hAnsiTheme="majorHAnsi" w:cstheme="majorHAnsi"/>
          <w:bCs/>
          <w:lang w:eastAsia="ru-RU"/>
        </w:rPr>
        <w:t>None</w:t>
      </w:r>
      <w:bookmarkEnd w:id="1422"/>
      <w:r>
        <w:rPr>
          <w:rFonts w:asciiTheme="majorHAnsi" w:hAnsiTheme="majorHAnsi" w:cstheme="majorHAnsi"/>
          <w:bCs/>
          <w:lang w:eastAsia="ru-RU"/>
        </w:rPr>
        <w:t xml:space="preserve"> of the goodwill recognised is expected to be deductible for the income tax purposes.</w:t>
      </w:r>
    </w:p>
    <w:p w:rsidR="009534E2" w:rsidRDefault="003369EB">
      <w:pPr>
        <w:pStyle w:val="BodyText"/>
        <w:spacing w:after="0"/>
        <w:rPr>
          <w:rFonts w:asciiTheme="majorHAnsi" w:hAnsiTheme="majorHAnsi" w:cstheme="majorHAnsi"/>
          <w:bCs/>
          <w:lang w:eastAsia="ru-RU"/>
        </w:rPr>
      </w:pPr>
      <w:r>
        <w:rPr>
          <w:rFonts w:asciiTheme="majorHAnsi" w:hAnsiTheme="majorHAnsi" w:cstheme="majorHAnsi"/>
          <w:bCs/>
          <w:lang w:eastAsia="ru-RU"/>
        </w:rPr>
        <w:t xml:space="preserve">Revenue of RealWeb business from the acquisition date to the reporting date amounted to </w:t>
      </w:r>
      <w:bookmarkStart w:name="_0cae542a_c575_42cb_889c_50d457127d97" w:id="1423"/>
      <w:r>
        <w:rPr>
          <w:rFonts w:asciiTheme="majorHAnsi" w:hAnsiTheme="majorHAnsi" w:cstheme="majorHAnsi"/>
          <w:bCs/>
          <w:lang w:eastAsia="ru-RU"/>
        </w:rPr>
        <w:t>981</w:t>
      </w:r>
      <w:bookmarkEnd w:id="1423"/>
      <w:r>
        <w:rPr>
          <w:rFonts w:asciiTheme="majorHAnsi" w:hAnsiTheme="majorHAnsi" w:cstheme="majorHAnsi"/>
          <w:bCs/>
          <w:lang w:eastAsia="ru-RU"/>
        </w:rPr>
        <w:t xml:space="preserve"> and the net profit was</w:t>
      </w:r>
      <w:r w:rsidR="000C5197">
        <w:rPr>
          <w:rFonts w:asciiTheme="majorHAnsi" w:hAnsiTheme="majorHAnsi" w:cstheme="majorHAnsi"/>
          <w:bCs/>
          <w:lang w:eastAsia="ru-RU"/>
        </w:rPr>
        <w:t xml:space="preserve"> insignificant</w:t>
      </w:r>
      <w:r>
        <w:rPr>
          <w:rFonts w:asciiTheme="majorHAnsi" w:hAnsiTheme="majorHAnsi" w:cstheme="majorHAnsi"/>
          <w:bCs/>
          <w:lang w:eastAsia="ru-RU"/>
        </w:rPr>
        <w:t>. The management of the Group does not provide the information regarding revenue and profit or loss of the combined entity for the current reporting period as though the acquisition happened on January 1, 2022,  due to the fact that RealWeb had no financial statements prepared in accordance with IFRS and therefore preparation of such disclosure would have been impracticable.</w:t>
      </w:r>
    </w:p>
    <w:p w:rsidR="009534E2" w:rsidRDefault="009534E2">
      <w:pPr>
        <w:jc w:val="center"/>
        <w:rPr>
          <w:rFonts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338"/>
        <w:gridCol w:w="296"/>
        <w:gridCol w:w="1166"/>
      </w:tblGrid>
      <w:tr w:rsidR="009534E2">
        <w:trPr>
          <w:trHeight w:val="20" w:hRule="exact"/>
        </w:trPr>
        <w:tc>
          <w:tcPr>
            <w:tcW w:w="4323"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eb6c1e2f_3d98_4f86_9d53_666868bad972" w:colFirst="0" w:colLast="0" w:id="1424"/>
            <w:bookmarkStart w:name="_14a89e1a_5e75_469a_b2f8_d08ce1fb500a" w:colFirst="1" w:colLast="1" w:id="1425"/>
            <w:bookmarkStart w:name="_f231d2d2_1bda_49a8_aff7_23c9b5f4a85d" w:colFirst="2" w:colLast="2" w:id="1426"/>
            <w:bookmarkStart w:name="_095e8ad2_a48e_44d8_a6eb_9aae01337b9d" w:id="1427"/>
          </w:p>
        </w:tc>
        <w:tc>
          <w:tcPr>
            <w:tcW w:w="13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40"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c>
          <w:tcPr>
            <w:tcW w:w="4323" w:type="pct"/>
            <w:tcBorders>
              <w:top w:val="nil"/>
              <w:left w:val="nil"/>
              <w:bottom w:val="nil"/>
              <w:right w:val="nil"/>
              <w:tl2br w:val="nil"/>
              <w:tr2bl w:val="nil"/>
            </w:tcBorders>
            <w:shd w:val="clear" w:color="auto" w:fill="auto"/>
            <w:vAlign w:val="bottom"/>
          </w:tcPr>
          <w:p w:rsidR="009534E2" w:rsidRDefault="003369EB">
            <w:pPr>
              <w:rPr>
                <w:rFonts w:asciiTheme="majorHAnsi" w:hAnsiTheme="majorHAnsi" w:cstheme="majorHAnsi"/>
                <w:b/>
                <w:color w:val="000000"/>
                <w:sz w:val="16"/>
              </w:rPr>
            </w:pPr>
            <w:bookmarkStart w:name="_8619abb4_f307_46fc_a605_c4414e6c181e" w:id="1428"/>
            <w:bookmarkEnd w:id="1424"/>
            <w:bookmarkEnd w:id="1425"/>
            <w:bookmarkEnd w:id="1426"/>
            <w:r>
              <w:rPr>
                <w:rFonts w:eastAsia="Times New Roman" w:asciiTheme="majorHAnsi" w:hAnsiTheme="majorHAnsi" w:cstheme="majorHAnsi"/>
                <w:b/>
                <w:color w:val="000000"/>
                <w:sz w:val="16"/>
              </w:rPr>
              <w:t>Analysis of cash flows on acquisition:</w:t>
            </w:r>
          </w:p>
        </w:tc>
        <w:tc>
          <w:tcPr>
            <w:tcW w:w="137"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0"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Amount</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bea2e7b6_19b2_4039_ac22_101c7cef3452" w:id="1429"/>
            <w:bookmarkEnd w:id="1428"/>
            <w:r>
              <w:rPr>
                <w:rFonts w:eastAsia="Times New Roman" w:asciiTheme="majorHAnsi" w:hAnsiTheme="majorHAnsi" w:cstheme="majorHAnsi"/>
                <w:color w:val="000000"/>
              </w:rPr>
              <w:t>Cash paid</w:t>
            </w:r>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xml:space="preserve"> (1,773)</w:t>
            </w:r>
          </w:p>
        </w:tc>
      </w:tr>
      <w:tr w:rsidR="009534E2">
        <w:tc>
          <w:tcPr>
            <w:tcW w:w="4323" w:type="pct"/>
            <w:tcBorders>
              <w:top w:val="nil"/>
              <w:left w:val="nil"/>
              <w:bottom w:val="nil"/>
              <w:right w:val="nil"/>
              <w:tl2br w:val="nil"/>
              <w:tr2bl w:val="nil"/>
            </w:tcBorders>
            <w:vAlign w:val="bottom"/>
          </w:tcPr>
          <w:p w:rsidR="009534E2" w:rsidRDefault="003369EB">
            <w:pPr>
              <w:ind w:left="120"/>
              <w:rPr>
                <w:rFonts w:asciiTheme="majorHAnsi" w:hAnsiTheme="majorHAnsi" w:cstheme="majorHAnsi"/>
                <w:color w:val="000000"/>
              </w:rPr>
            </w:pPr>
            <w:bookmarkStart w:name="_77260c69_df95_4fa8_91e0_c4ecfb0182dc" w:id="1430"/>
            <w:bookmarkEnd w:id="1429"/>
            <w:r>
              <w:rPr>
                <w:rFonts w:eastAsia="Times New Roman" w:asciiTheme="majorHAnsi" w:hAnsiTheme="majorHAnsi" w:cstheme="majorHAnsi"/>
                <w:color w:val="000000"/>
              </w:rPr>
              <w:t>Net cash acquired with the subsidiaries</w:t>
            </w:r>
          </w:p>
        </w:tc>
        <w:tc>
          <w:tcPr>
            <w:tcW w:w="137"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single" w:color="000000" w:sz="4" w:space="0"/>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3,089</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b/>
                <w:color w:val="000000"/>
              </w:rPr>
            </w:pPr>
            <w:bookmarkStart w:name="_66363826_6d78_4f8c_b27d_3f346c7a8115" w:id="1431"/>
            <w:bookmarkEnd w:id="1430"/>
            <w:r>
              <w:rPr>
                <w:rFonts w:eastAsia="Times New Roman" w:asciiTheme="majorHAnsi" w:hAnsiTheme="majorHAnsi" w:cstheme="majorHAnsi"/>
                <w:b/>
                <w:color w:val="000000"/>
              </w:rPr>
              <w:t>Total cash acquired in business combination</w:t>
            </w:r>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b/>
                <w:color w:val="000000"/>
              </w:rPr>
            </w:pPr>
            <w:r>
              <w:rPr>
                <w:rFonts w:eastAsia="Times New Roman" w:asciiTheme="majorHAnsi" w:hAnsiTheme="majorHAnsi" w:cstheme="majorHAnsi"/>
                <w:b/>
                <w:color w:val="000000"/>
              </w:rPr>
              <w:t> </w:t>
            </w:r>
          </w:p>
        </w:tc>
        <w:tc>
          <w:tcPr>
            <w:tcW w:w="540" w:type="pct"/>
            <w:tcBorders>
              <w:top w:val="nil"/>
              <w:left w:val="nil"/>
              <w:bottom w:val="double" w:color="000000" w:sz="4" w:space="0"/>
              <w:right w:val="nil"/>
              <w:tl2br w:val="nil"/>
              <w:tr2bl w:val="nil"/>
            </w:tcBorders>
            <w:shd w:val="clear" w:color="auto" w:fill="CCEEFF"/>
            <w:noWrap/>
            <w:vAlign w:val="bottom"/>
          </w:tcPr>
          <w:p w:rsidR="009534E2" w:rsidRDefault="003369EB">
            <w:pPr>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1,316</w:t>
            </w:r>
          </w:p>
        </w:tc>
      </w:tr>
      <w:bookmarkEnd w:id="1427"/>
      <w:bookmarkEnd w:id="1431"/>
    </w:tbl>
    <w:p w:rsidR="009534E2" w:rsidRDefault="009534E2">
      <w:pPr>
        <w:jc w:val="center"/>
        <w:rPr>
          <w:rFonts w:asciiTheme="majorHAnsi" w:hAnsiTheme="majorHAnsi" w:cstheme="majorHAnsi"/>
          <w:lang w:eastAsia="ru-RU"/>
        </w:rPr>
      </w:pPr>
    </w:p>
    <w:p w:rsidR="009534E2" w:rsidRDefault="003369EB">
      <w:pPr>
        <w:pStyle w:val="BodyText"/>
        <w:rPr>
          <w:rFonts w:asciiTheme="majorHAnsi" w:hAnsiTheme="majorHAnsi" w:cstheme="majorHAnsi"/>
          <w:b/>
          <w:i/>
          <w:iCs/>
          <w:lang w:eastAsia="ru-RU"/>
        </w:rPr>
      </w:pPr>
      <w:r>
        <w:rPr>
          <w:rFonts w:asciiTheme="majorHAnsi" w:hAnsiTheme="majorHAnsi" w:cstheme="majorHAnsi"/>
          <w:b/>
          <w:i/>
          <w:iCs/>
          <w:lang w:eastAsia="ru-RU"/>
        </w:rPr>
        <w:t>PYYPL</w:t>
      </w:r>
    </w:p>
    <w:p w:rsidR="009534E2" w:rsidRDefault="003369EB">
      <w:pPr>
        <w:pStyle w:val="BodyText"/>
        <w:rPr>
          <w:rFonts w:asciiTheme="majorHAnsi" w:hAnsiTheme="majorHAnsi" w:cstheme="majorHAnsi"/>
          <w:bCs/>
          <w:lang w:eastAsia="ru-RU"/>
        </w:rPr>
      </w:pPr>
      <w:r>
        <w:rPr>
          <w:rFonts w:asciiTheme="majorHAnsi" w:hAnsiTheme="majorHAnsi" w:cstheme="majorHAnsi"/>
          <w:bCs/>
          <w:lang w:eastAsia="ru-RU"/>
        </w:rPr>
        <w:t xml:space="preserve">At the end of September, 2022, the Group acquired a </w:t>
      </w:r>
      <w:bookmarkStart w:name="_65e5ed25_a453_458a_b57f_1c381ea87863" w:id="1432"/>
      <w:r>
        <w:rPr>
          <w:rFonts w:asciiTheme="majorHAnsi" w:hAnsiTheme="majorHAnsi" w:cstheme="majorHAnsi"/>
          <w:bCs/>
          <w:lang w:eastAsia="ru-RU"/>
        </w:rPr>
        <w:t>9.9%</w:t>
      </w:r>
      <w:bookmarkEnd w:id="1432"/>
      <w:r>
        <w:rPr>
          <w:rFonts w:asciiTheme="majorHAnsi" w:hAnsiTheme="majorHAnsi" w:cstheme="majorHAnsi"/>
          <w:bCs/>
          <w:lang w:eastAsia="ru-RU"/>
        </w:rPr>
        <w:t xml:space="preserve"> stake in Advanced Digital Applications Holding Ltd (ADAH), the parent of PYYPL fintech company that provides financial services for underbanked customers in Middle East and North Africa region. The transaction is in line with the management plans for an expansion to the international Fintech markets. The Group considers having a significant influence over the investee as has a guaranteed seat (one out of three) at its Board of Directors and hence can participate in decision making regarding its relevant activities. Thus, the Group recognizes this investment as an associate and accounts for it under the equity method.</w:t>
      </w:r>
    </w:p>
    <w:p w:rsidR="009534E2" w:rsidRDefault="003369EB">
      <w:pPr>
        <w:pStyle w:val="BodyText"/>
        <w:rPr>
          <w:rFonts w:asciiTheme="majorHAnsi" w:hAnsiTheme="majorHAnsi" w:cstheme="majorHAnsi"/>
          <w:bCs/>
          <w:lang w:eastAsia="ru-RU"/>
        </w:rPr>
      </w:pPr>
      <w:r>
        <w:rPr>
          <w:rFonts w:asciiTheme="majorHAnsi" w:hAnsiTheme="majorHAnsi" w:cstheme="majorHAnsi"/>
          <w:bCs/>
          <w:lang w:eastAsia="ru-RU"/>
        </w:rPr>
        <w:t xml:space="preserve">The transaction was financed within the Group’s available cash. As part of the deal, the Group obtained for free the option to increase its stake in the future up to </w:t>
      </w:r>
      <w:bookmarkStart w:name="_de332187_b2f6_4394_97bb_ea2062b17785" w:id="1433"/>
      <w:r>
        <w:rPr>
          <w:rFonts w:asciiTheme="majorHAnsi" w:hAnsiTheme="majorHAnsi" w:cstheme="majorHAnsi"/>
          <w:bCs/>
          <w:lang w:eastAsia="ru-RU"/>
        </w:rPr>
        <w:t>26%</w:t>
      </w:r>
      <w:bookmarkEnd w:id="1433"/>
      <w:r>
        <w:rPr>
          <w:rFonts w:asciiTheme="majorHAnsi" w:hAnsiTheme="majorHAnsi" w:cstheme="majorHAnsi"/>
          <w:bCs/>
          <w:lang w:eastAsia="ru-RU"/>
        </w:rPr>
        <w:t xml:space="preserve"> on favorable conditions until the end of April 2024.</w:t>
      </w:r>
    </w:p>
    <w:p w:rsidR="009534E2" w:rsidRDefault="003369EB">
      <w:pPr>
        <w:pStyle w:val="BodyText"/>
        <w:keepNext/>
        <w:keepLines/>
        <w:rPr>
          <w:rFonts w:asciiTheme="majorHAnsi" w:hAnsiTheme="majorHAnsi" w:cstheme="majorHAnsi"/>
          <w:b/>
          <w:lang w:eastAsia="ru-RU"/>
        </w:rPr>
      </w:pPr>
      <w:r>
        <w:rPr>
          <w:rFonts w:asciiTheme="majorHAnsi" w:hAnsiTheme="majorHAnsi" w:cstheme="majorHAnsi"/>
          <w:b/>
          <w:lang w:eastAsia="ru-RU"/>
        </w:rPr>
        <w:t>6. Acquisitions, disposals and discontinued operations (continued)</w:t>
      </w:r>
    </w:p>
    <w:p w:rsidR="009534E2" w:rsidRDefault="003369EB">
      <w:pPr>
        <w:pStyle w:val="BodyText"/>
        <w:keepNext/>
        <w:spacing w:after="0"/>
        <w:rPr>
          <w:rFonts w:asciiTheme="majorHAnsi" w:hAnsiTheme="majorHAnsi" w:cstheme="majorHAnsi"/>
          <w:bCs/>
          <w:lang w:eastAsia="ru-RU"/>
        </w:rPr>
      </w:pPr>
      <w:r>
        <w:rPr>
          <w:rFonts w:asciiTheme="majorHAnsi" w:hAnsiTheme="majorHAnsi" w:cstheme="majorHAnsi"/>
          <w:bCs/>
          <w:lang w:eastAsia="ru-RU"/>
        </w:rPr>
        <w:t>The consideration measured at fair values was made by the following:</w:t>
      </w:r>
    </w:p>
    <w:p w:rsidR="009534E2" w:rsidRDefault="009534E2">
      <w:pPr>
        <w:keepNext/>
        <w:jc w:val="center"/>
        <w:rPr>
          <w:rFonts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338"/>
        <w:gridCol w:w="296"/>
        <w:gridCol w:w="1166"/>
      </w:tblGrid>
      <w:tr w:rsidR="009534E2">
        <w:trPr>
          <w:trHeight w:val="20" w:hRule="exact"/>
          <w:jc w:val="center"/>
        </w:trPr>
        <w:tc>
          <w:tcPr>
            <w:tcW w:w="4323"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372a4bc5_2993_48f1_a850_1fc492f1d649" w:colFirst="0" w:colLast="0" w:id="1434"/>
            <w:bookmarkStart w:name="_b6c51943_0d84_41d0_842a_63b9b8d8f127" w:colFirst="1" w:colLast="1" w:id="1435"/>
            <w:bookmarkStart w:name="_29b59714_246a_4649_89f2_1f99fbb1a3ca" w:colFirst="2" w:colLast="2" w:id="1436"/>
            <w:bookmarkStart w:name="_832d1ef7_487c_48c1_82f2_b0b02d008c2a" w:id="1437"/>
          </w:p>
        </w:tc>
        <w:tc>
          <w:tcPr>
            <w:tcW w:w="13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40"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4323"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04e04268_77ad_4bb8_ba82_cc717ea5d416" w:id="1438"/>
            <w:bookmarkEnd w:id="1434"/>
            <w:bookmarkEnd w:id="1435"/>
            <w:bookmarkEnd w:id="1436"/>
            <w:r>
              <w:rPr>
                <w:rFonts w:eastAsia="Times New Roman" w:asciiTheme="majorHAnsi" w:hAnsiTheme="majorHAnsi" w:cstheme="majorHAnsi"/>
                <w:color w:val="000000"/>
              </w:rPr>
              <w:t>Cash consideration transferred (</w:t>
            </w:r>
            <w:bookmarkStart w:name="_cfe85fef_50fa_4621_805c_1c11561d5bd6" w:id="1439"/>
            <w:r>
              <w:rPr>
                <w:rFonts w:eastAsia="Times New Roman" w:asciiTheme="majorHAnsi" w:hAnsiTheme="majorHAnsi" w:cstheme="majorHAnsi"/>
                <w:color w:val="000000"/>
              </w:rPr>
              <w:t>$11</w:t>
            </w:r>
            <w:bookmarkEnd w:id="1439"/>
            <w:r>
              <w:rPr>
                <w:rFonts w:eastAsia="Times New Roman" w:asciiTheme="majorHAnsi" w:hAnsiTheme="majorHAnsi" w:cstheme="majorHAnsi"/>
                <w:color w:val="000000"/>
              </w:rPr>
              <w:t xml:space="preserve"> million)</w:t>
            </w:r>
          </w:p>
        </w:tc>
        <w:tc>
          <w:tcPr>
            <w:tcW w:w="13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660</w:t>
            </w:r>
          </w:p>
        </w:tc>
      </w:tr>
      <w:tr w:rsidR="009534E2">
        <w:trPr>
          <w:jc w:val="center"/>
        </w:trPr>
        <w:tc>
          <w:tcPr>
            <w:tcW w:w="4323"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42620922_aaeb_469b_bb18_1d071d2a0fc2" w:id="1440"/>
            <w:bookmarkEnd w:id="1438"/>
            <w:r>
              <w:rPr>
                <w:rFonts w:eastAsia="Times New Roman" w:asciiTheme="majorHAnsi" w:hAnsiTheme="majorHAnsi" w:cstheme="majorHAnsi"/>
                <w:color w:val="000000"/>
              </w:rPr>
              <w:t>Fair value of option received from ADAH</w:t>
            </w:r>
          </w:p>
        </w:tc>
        <w:tc>
          <w:tcPr>
            <w:tcW w:w="13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single" w:color="000000" w:sz="4" w:space="0"/>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(333)</w:t>
            </w:r>
          </w:p>
        </w:tc>
      </w:tr>
      <w:tr w:rsidR="009534E2">
        <w:trPr>
          <w:jc w:val="center"/>
        </w:trPr>
        <w:tc>
          <w:tcPr>
            <w:tcW w:w="4323"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30c7a35e_a4b0_40cd_bde0_45d176321c77" w:id="1441"/>
            <w:bookmarkEnd w:id="1440"/>
            <w:r>
              <w:rPr>
                <w:rFonts w:eastAsia="Times New Roman" w:asciiTheme="majorHAnsi" w:hAnsiTheme="majorHAnsi" w:cstheme="majorHAnsi"/>
                <w:b/>
                <w:color w:val="000000"/>
              </w:rPr>
              <w:t>Total consideration</w:t>
            </w:r>
          </w:p>
        </w:tc>
        <w:tc>
          <w:tcPr>
            <w:tcW w:w="13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540"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327</w:t>
            </w:r>
          </w:p>
        </w:tc>
      </w:tr>
      <w:bookmarkEnd w:id="1437"/>
      <w:bookmarkEnd w:id="1441"/>
    </w:tbl>
    <w:p w:rsidR="009534E2" w:rsidRDefault="009534E2">
      <w:pPr>
        <w:jc w:val="center"/>
        <w:rPr>
          <w:rFonts w:asciiTheme="majorHAnsi" w:hAnsiTheme="majorHAnsi" w:cstheme="majorHAnsi"/>
          <w:lang w:eastAsia="ru-RU"/>
        </w:rPr>
      </w:pPr>
    </w:p>
    <w:p w:rsidR="009534E2" w:rsidRDefault="003369EB">
      <w:pPr>
        <w:pStyle w:val="BodyText"/>
        <w:rPr>
          <w:rFonts w:asciiTheme="majorHAnsi" w:hAnsiTheme="majorHAnsi" w:cstheme="majorHAnsi"/>
          <w:bCs/>
          <w:lang w:eastAsia="ru-RU"/>
        </w:rPr>
      </w:pPr>
      <w:r>
        <w:rPr>
          <w:rFonts w:asciiTheme="majorHAnsi" w:hAnsiTheme="majorHAnsi" w:cstheme="majorHAnsi"/>
          <w:bCs/>
          <w:lang w:eastAsia="ru-RU"/>
        </w:rPr>
        <w:t>Cash consideration has been paid in full as of the reporting date.</w:t>
      </w:r>
    </w:p>
    <w:p w:rsidR="009534E2" w:rsidRDefault="003369EB">
      <w:pPr>
        <w:pStyle w:val="BodyText"/>
        <w:spacing w:after="0"/>
        <w:rPr>
          <w:rFonts w:asciiTheme="majorHAnsi" w:hAnsiTheme="majorHAnsi" w:cstheme="majorHAnsi"/>
          <w:bCs/>
          <w:lang w:eastAsia="ru-RU"/>
        </w:rPr>
      </w:pPr>
      <w:r>
        <w:rPr>
          <w:rFonts w:asciiTheme="majorHAnsi" w:hAnsiTheme="majorHAnsi" w:cstheme="majorHAnsi"/>
          <w:bCs/>
          <w:lang w:eastAsia="ru-RU"/>
        </w:rPr>
        <w:t>The fair value of the identifiable assets and liabilities as of the date of acquisition was:</w:t>
      </w:r>
    </w:p>
    <w:p w:rsidR="009534E2" w:rsidRDefault="009534E2">
      <w:pPr>
        <w:jc w:val="center"/>
        <w:rPr>
          <w:rFonts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338"/>
        <w:gridCol w:w="296"/>
        <w:gridCol w:w="1166"/>
      </w:tblGrid>
      <w:tr w:rsidR="009534E2">
        <w:trPr>
          <w:trHeight w:val="20" w:hRule="exact"/>
        </w:trPr>
        <w:tc>
          <w:tcPr>
            <w:tcW w:w="4323"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e0247d10_9cde_4387_a414_fc442845dd2e" w:colFirst="0" w:colLast="0" w:id="1442"/>
            <w:bookmarkStart w:name="_a2026db9_bf53_49e0_a2fe_25a8e13c286c" w:colFirst="1" w:colLast="1" w:id="1443"/>
            <w:bookmarkStart w:name="_350b1e88_ebf1_45df_a969_2ed99508c511" w:colFirst="2" w:colLast="2" w:id="1444"/>
            <w:bookmarkStart w:name="_c046d93f_3d70_461c_bb0f_32898d64c31f" w:id="1445"/>
          </w:p>
        </w:tc>
        <w:tc>
          <w:tcPr>
            <w:tcW w:w="13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40"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c>
          <w:tcPr>
            <w:tcW w:w="4323" w:type="pct"/>
            <w:tcBorders>
              <w:top w:val="nil"/>
              <w:left w:val="nil"/>
              <w:bottom w:val="nil"/>
              <w:right w:val="nil"/>
              <w:tl2br w:val="nil"/>
              <w:tr2bl w:val="nil"/>
            </w:tcBorders>
            <w:shd w:val="clear" w:color="auto" w:fill="auto"/>
            <w:vAlign w:val="bottom"/>
          </w:tcPr>
          <w:p w:rsidR="009534E2" w:rsidRDefault="003369EB">
            <w:pPr>
              <w:rPr>
                <w:rFonts w:asciiTheme="majorHAnsi" w:hAnsiTheme="majorHAnsi" w:cstheme="majorHAnsi"/>
                <w:b/>
                <w:color w:val="000000"/>
                <w:sz w:val="16"/>
              </w:rPr>
            </w:pPr>
            <w:bookmarkStart w:name="_8445d983_5167_44a1_9ae3_0dc63710c98c" w:id="1446"/>
            <w:bookmarkEnd w:id="1442"/>
            <w:bookmarkEnd w:id="1443"/>
            <w:bookmarkEnd w:id="1444"/>
            <w:r>
              <w:rPr>
                <w:rFonts w:eastAsia="Times New Roman" w:asciiTheme="majorHAnsi" w:hAnsiTheme="majorHAnsi" w:cstheme="majorHAnsi"/>
                <w:b/>
                <w:color w:val="000000"/>
                <w:sz w:val="16"/>
              </w:rPr>
              <w:t>Net assets acquired:</w:t>
            </w:r>
          </w:p>
        </w:tc>
        <w:tc>
          <w:tcPr>
            <w:tcW w:w="137" w:type="pct"/>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0"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Fair value</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aa887dc9_56d4_48ed_86b0_eefe79c6f16e" w:id="1447"/>
            <w:bookmarkEnd w:id="1446"/>
            <w:r>
              <w:rPr>
                <w:rFonts w:eastAsia="Times New Roman" w:asciiTheme="majorHAnsi" w:hAnsiTheme="majorHAnsi" w:cstheme="majorHAnsi"/>
                <w:color w:val="000000"/>
              </w:rPr>
              <w:t>Intangible assets</w:t>
            </w:r>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408</w:t>
            </w:r>
          </w:p>
        </w:tc>
      </w:tr>
      <w:tr w:rsidR="009534E2">
        <w:tc>
          <w:tcPr>
            <w:tcW w:w="4323" w:type="pct"/>
            <w:tcBorders>
              <w:top w:val="nil"/>
              <w:left w:val="nil"/>
              <w:bottom w:val="nil"/>
              <w:right w:val="nil"/>
              <w:tl2br w:val="nil"/>
              <w:tr2bl w:val="nil"/>
            </w:tcBorders>
            <w:vAlign w:val="bottom"/>
          </w:tcPr>
          <w:p w:rsidR="009534E2" w:rsidRDefault="003369EB">
            <w:pPr>
              <w:ind w:left="120"/>
              <w:rPr>
                <w:rFonts w:asciiTheme="majorHAnsi" w:hAnsiTheme="majorHAnsi" w:cstheme="majorHAnsi"/>
                <w:color w:val="000000"/>
              </w:rPr>
            </w:pPr>
            <w:bookmarkStart w:name="_2568a7fd_5a01_49e3_841e_14d7538f41b9" w:id="1448"/>
            <w:bookmarkEnd w:id="1447"/>
            <w:r>
              <w:rPr>
                <w:rFonts w:eastAsia="Times New Roman" w:asciiTheme="majorHAnsi" w:hAnsiTheme="majorHAnsi" w:cstheme="majorHAnsi"/>
                <w:color w:val="000000"/>
              </w:rPr>
              <w:t>Accounts receivable</w:t>
            </w:r>
          </w:p>
        </w:tc>
        <w:tc>
          <w:tcPr>
            <w:tcW w:w="137"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610</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03d364a6_b668_488f_919d_e43dd675e0c8" w:id="1449"/>
            <w:bookmarkEnd w:id="1448"/>
            <w:r>
              <w:rPr>
                <w:rFonts w:eastAsia="Times New Roman" w:asciiTheme="majorHAnsi" w:hAnsiTheme="majorHAnsi" w:cstheme="majorHAnsi"/>
                <w:color w:val="000000"/>
              </w:rPr>
              <w:t>Cash and cash equivalents</w:t>
            </w:r>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603</w:t>
            </w:r>
          </w:p>
        </w:tc>
      </w:tr>
      <w:tr w:rsidR="009534E2">
        <w:tc>
          <w:tcPr>
            <w:tcW w:w="4323" w:type="pct"/>
            <w:tcBorders>
              <w:top w:val="nil"/>
              <w:left w:val="nil"/>
              <w:bottom w:val="nil"/>
              <w:right w:val="nil"/>
              <w:tl2br w:val="nil"/>
              <w:tr2bl w:val="nil"/>
            </w:tcBorders>
            <w:vAlign w:val="bottom"/>
          </w:tcPr>
          <w:p w:rsidR="009534E2" w:rsidRDefault="003369EB">
            <w:pPr>
              <w:ind w:left="120"/>
              <w:rPr>
                <w:rFonts w:asciiTheme="majorHAnsi" w:hAnsiTheme="majorHAnsi" w:cstheme="majorHAnsi"/>
                <w:color w:val="000000"/>
              </w:rPr>
            </w:pPr>
            <w:bookmarkStart w:name="_8cc9566c_289f_4eec_bd77_dd2a5aa21da8" w:id="1450"/>
            <w:bookmarkEnd w:id="1449"/>
            <w:r>
              <w:rPr>
                <w:rFonts w:eastAsia="Times New Roman" w:asciiTheme="majorHAnsi" w:hAnsiTheme="majorHAnsi" w:cstheme="majorHAnsi"/>
                <w:color w:val="000000"/>
              </w:rPr>
              <w:t>Other assets</w:t>
            </w:r>
          </w:p>
        </w:tc>
        <w:tc>
          <w:tcPr>
            <w:tcW w:w="137"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25</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d53a73a0_16f6_48d4_ac69_8dafaf964ce4" w:id="1451"/>
            <w:bookmarkEnd w:id="1450"/>
            <w:r>
              <w:rPr>
                <w:rFonts w:eastAsia="Times New Roman" w:asciiTheme="majorHAnsi" w:hAnsiTheme="majorHAnsi" w:cstheme="majorHAnsi"/>
                <w:color w:val="000000"/>
              </w:rPr>
              <w:t>Debt</w:t>
            </w:r>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xml:space="preserve"> (512)</w:t>
            </w:r>
          </w:p>
        </w:tc>
      </w:tr>
      <w:tr w:rsidR="009534E2">
        <w:tc>
          <w:tcPr>
            <w:tcW w:w="4323" w:type="pct"/>
            <w:tcBorders>
              <w:top w:val="nil"/>
              <w:left w:val="nil"/>
              <w:bottom w:val="nil"/>
              <w:right w:val="nil"/>
              <w:tl2br w:val="nil"/>
              <w:tr2bl w:val="nil"/>
            </w:tcBorders>
            <w:vAlign w:val="bottom"/>
          </w:tcPr>
          <w:p w:rsidR="009534E2" w:rsidRDefault="003369EB">
            <w:pPr>
              <w:ind w:left="120"/>
              <w:rPr>
                <w:rFonts w:asciiTheme="majorHAnsi" w:hAnsiTheme="majorHAnsi" w:cstheme="majorHAnsi"/>
                <w:color w:val="000000"/>
              </w:rPr>
            </w:pPr>
            <w:bookmarkStart w:name="_202e2ae6_beed_4d1b_bc74_1654f3dd8ec8" w:id="1452"/>
            <w:bookmarkEnd w:id="1451"/>
            <w:r>
              <w:rPr>
                <w:rFonts w:eastAsia="Times New Roman" w:asciiTheme="majorHAnsi" w:hAnsiTheme="majorHAnsi" w:cstheme="majorHAnsi"/>
                <w:color w:val="000000"/>
              </w:rPr>
              <w:t>Trade and other payables</w:t>
            </w:r>
          </w:p>
        </w:tc>
        <w:tc>
          <w:tcPr>
            <w:tcW w:w="137" w:type="pct"/>
            <w:tcBorders>
              <w:top w:val="nil"/>
              <w:left w:val="nil"/>
              <w:bottom w:val="nil"/>
              <w:right w:val="nil"/>
              <w:tl2br w:val="nil"/>
              <w:tr2bl w:val="nil"/>
            </w:tcBorders>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nil"/>
              <w:right w:val="nil"/>
              <w:tl2br w:val="nil"/>
              <w:tr2bl w:val="nil"/>
            </w:tcBorders>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xml:space="preserve"> (204)</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5582baa2_5be9_47a0_a33f_4ee1737736ab" w:id="1453"/>
            <w:bookmarkEnd w:id="1452"/>
            <w:r>
              <w:rPr>
                <w:rFonts w:eastAsia="Times New Roman" w:asciiTheme="majorHAnsi" w:hAnsiTheme="majorHAnsi" w:cstheme="majorHAnsi"/>
                <w:color w:val="000000"/>
              </w:rPr>
              <w:t>Other liabilities</w:t>
            </w:r>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single" w:color="000000" w:sz="4" w:space="0"/>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xml:space="preserve"> (57)</w:t>
            </w:r>
          </w:p>
        </w:tc>
      </w:tr>
      <w:tr w:rsidR="009534E2">
        <w:tc>
          <w:tcPr>
            <w:tcW w:w="4323" w:type="pct"/>
            <w:tcBorders>
              <w:top w:val="nil"/>
              <w:left w:val="nil"/>
              <w:bottom w:val="nil"/>
              <w:right w:val="nil"/>
              <w:tl2br w:val="nil"/>
              <w:tr2bl w:val="nil"/>
            </w:tcBorders>
            <w:vAlign w:val="bottom"/>
          </w:tcPr>
          <w:p w:rsidR="009534E2" w:rsidRDefault="003369EB">
            <w:pPr>
              <w:rPr>
                <w:rFonts w:asciiTheme="majorHAnsi" w:hAnsiTheme="majorHAnsi" w:cstheme="majorHAnsi"/>
                <w:b/>
                <w:color w:val="000000"/>
              </w:rPr>
            </w:pPr>
            <w:bookmarkStart w:name="_12830a39_224a_4741_814c_cf25f7118446" w:id="1454"/>
            <w:bookmarkEnd w:id="1453"/>
            <w:r>
              <w:rPr>
                <w:rFonts w:eastAsia="Times New Roman" w:asciiTheme="majorHAnsi" w:hAnsiTheme="majorHAnsi" w:cstheme="majorHAnsi"/>
                <w:b/>
                <w:color w:val="000000"/>
              </w:rPr>
              <w:t>Total identifiable net assets at fair value</w:t>
            </w:r>
          </w:p>
        </w:tc>
        <w:tc>
          <w:tcPr>
            <w:tcW w:w="137" w:type="pct"/>
            <w:tcBorders>
              <w:top w:val="nil"/>
              <w:left w:val="nil"/>
              <w:bottom w:val="nil"/>
              <w:right w:val="nil"/>
              <w:tl2br w:val="nil"/>
              <w:tr2bl w:val="nil"/>
            </w:tcBorders>
            <w:noWrap/>
            <w:vAlign w:val="bottom"/>
          </w:tcPr>
          <w:p w:rsidR="009534E2" w:rsidRDefault="003369EB">
            <w:pPr>
              <w:rPr>
                <w:rFonts w:asciiTheme="majorHAnsi" w:hAnsiTheme="majorHAnsi" w:cstheme="majorHAnsi"/>
                <w:b/>
                <w:color w:val="000000"/>
              </w:rPr>
            </w:pPr>
            <w:r>
              <w:rPr>
                <w:rFonts w:eastAsia="Times New Roman" w:asciiTheme="majorHAnsi" w:hAnsiTheme="majorHAnsi" w:cstheme="majorHAnsi"/>
                <w:b/>
                <w:color w:val="000000"/>
              </w:rPr>
              <w:t> </w:t>
            </w:r>
          </w:p>
        </w:tc>
        <w:tc>
          <w:tcPr>
            <w:tcW w:w="540" w:type="pct"/>
            <w:tcBorders>
              <w:top w:val="nil"/>
              <w:left w:val="nil"/>
              <w:bottom w:val="single" w:color="000000" w:sz="4" w:space="0"/>
              <w:right w:val="nil"/>
              <w:tl2br w:val="nil"/>
              <w:tr2bl w:val="nil"/>
            </w:tcBorders>
            <w:noWrap/>
            <w:vAlign w:val="bottom"/>
          </w:tcPr>
          <w:p w:rsidR="009534E2" w:rsidRDefault="003369EB">
            <w:pPr>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873</w:t>
            </w:r>
          </w:p>
        </w:tc>
      </w:tr>
      <w:tr w:rsidR="009534E2">
        <w:tc>
          <w:tcPr>
            <w:tcW w:w="4323" w:type="pct"/>
            <w:tcBorders>
              <w:top w:val="nil"/>
              <w:left w:val="nil"/>
              <w:bottom w:val="nil"/>
              <w:right w:val="nil"/>
              <w:tl2br w:val="nil"/>
              <w:tr2bl w:val="nil"/>
            </w:tcBorders>
            <w:shd w:val="clear" w:color="auto" w:fill="CCEEFF"/>
            <w:vAlign w:val="bottom"/>
          </w:tcPr>
          <w:p w:rsidR="009534E2" w:rsidRDefault="003369EB">
            <w:pPr>
              <w:ind w:left="120"/>
              <w:rPr>
                <w:rFonts w:asciiTheme="majorHAnsi" w:hAnsiTheme="majorHAnsi" w:cstheme="majorHAnsi"/>
                <w:color w:val="000000"/>
              </w:rPr>
            </w:pPr>
            <w:bookmarkStart w:name="_d87ba533_958f_43ae_bb89_c05d3b3c4fe5" w:id="1455"/>
            <w:bookmarkEnd w:id="1454"/>
            <w:r>
              <w:rPr>
                <w:rFonts w:eastAsia="Times New Roman" w:asciiTheme="majorHAnsi" w:hAnsiTheme="majorHAnsi" w:cstheme="majorHAnsi"/>
                <w:color w:val="000000"/>
              </w:rPr>
              <w:t xml:space="preserve">Group’s share of net assets acquired </w:t>
            </w:r>
            <w:bookmarkStart w:name="_0042bfa3_3183_4dd2_ae90_ee35e75ed549" w:id="1456"/>
            <w:bookmarkStart w:name="_d36e2f0f_3e42_4567_aba3_5e3d7e77cdaa" w:id="1457"/>
            <w:r>
              <w:rPr>
                <w:rFonts w:eastAsia="Times New Roman" w:asciiTheme="majorHAnsi" w:hAnsiTheme="majorHAnsi" w:cstheme="majorHAnsi"/>
                <w:color w:val="000000"/>
              </w:rPr>
              <w:t>(</w:t>
            </w:r>
            <w:bookmarkStart w:name="_38017fe9_2c9b_4a4b_874d_3fc1c81ec75a" w:id="1458"/>
            <w:r>
              <w:rPr>
                <w:rFonts w:eastAsia="Times New Roman" w:asciiTheme="majorHAnsi" w:hAnsiTheme="majorHAnsi" w:cstheme="majorHAnsi"/>
                <w:color w:val="000000"/>
              </w:rPr>
              <w:t>9.9%</w:t>
            </w:r>
            <w:bookmarkEnd w:id="1458"/>
            <w:r>
              <w:rPr>
                <w:rFonts w:eastAsia="Times New Roman" w:asciiTheme="majorHAnsi" w:hAnsiTheme="majorHAnsi" w:cstheme="majorHAnsi"/>
                <w:color w:val="000000"/>
              </w:rPr>
              <w:t>)</w:t>
            </w:r>
            <w:bookmarkEnd w:id="1456"/>
            <w:bookmarkEnd w:id="1457"/>
          </w:p>
        </w:tc>
        <w:tc>
          <w:tcPr>
            <w:tcW w:w="137"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540" w:type="pct"/>
            <w:tcBorders>
              <w:top w:val="nil"/>
              <w:left w:val="nil"/>
              <w:bottom w:val="single" w:color="000000" w:sz="4" w:space="0"/>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86</w:t>
            </w:r>
          </w:p>
        </w:tc>
      </w:tr>
      <w:tr w:rsidR="009534E2">
        <w:tc>
          <w:tcPr>
            <w:tcW w:w="4323" w:type="pct"/>
            <w:tcBorders>
              <w:top w:val="nil"/>
              <w:left w:val="nil"/>
              <w:bottom w:val="nil"/>
              <w:right w:val="nil"/>
              <w:tl2br w:val="nil"/>
              <w:tr2bl w:val="nil"/>
            </w:tcBorders>
            <w:vAlign w:val="bottom"/>
          </w:tcPr>
          <w:p w:rsidR="009534E2" w:rsidRDefault="003369EB">
            <w:pPr>
              <w:rPr>
                <w:rFonts w:asciiTheme="majorHAnsi" w:hAnsiTheme="majorHAnsi" w:cstheme="majorHAnsi"/>
                <w:b/>
                <w:color w:val="000000"/>
              </w:rPr>
            </w:pPr>
            <w:bookmarkStart w:name="_0810dc32_77f3_4090_b9b0_49fd5a8fc884" w:id="1459"/>
            <w:bookmarkEnd w:id="1455"/>
            <w:r>
              <w:rPr>
                <w:rFonts w:eastAsia="Times New Roman" w:asciiTheme="majorHAnsi" w:hAnsiTheme="majorHAnsi" w:cstheme="majorHAnsi"/>
                <w:b/>
                <w:color w:val="000000"/>
              </w:rPr>
              <w:t>Goodwill arising on acquisition</w:t>
            </w:r>
          </w:p>
        </w:tc>
        <w:tc>
          <w:tcPr>
            <w:tcW w:w="137" w:type="pct"/>
            <w:tcBorders>
              <w:top w:val="nil"/>
              <w:left w:val="nil"/>
              <w:bottom w:val="nil"/>
              <w:right w:val="nil"/>
              <w:tl2br w:val="nil"/>
              <w:tr2bl w:val="nil"/>
            </w:tcBorders>
            <w:noWrap/>
            <w:vAlign w:val="bottom"/>
          </w:tcPr>
          <w:p w:rsidR="009534E2" w:rsidRDefault="003369EB">
            <w:pPr>
              <w:rPr>
                <w:rFonts w:asciiTheme="majorHAnsi" w:hAnsiTheme="majorHAnsi" w:cstheme="majorHAnsi"/>
                <w:b/>
                <w:color w:val="000000"/>
              </w:rPr>
            </w:pPr>
            <w:r>
              <w:rPr>
                <w:rFonts w:eastAsia="Times New Roman" w:asciiTheme="majorHAnsi" w:hAnsiTheme="majorHAnsi" w:cstheme="majorHAnsi"/>
                <w:b/>
                <w:color w:val="000000"/>
              </w:rPr>
              <w:t> </w:t>
            </w:r>
          </w:p>
        </w:tc>
        <w:tc>
          <w:tcPr>
            <w:tcW w:w="540" w:type="pct"/>
            <w:tcBorders>
              <w:top w:val="nil"/>
              <w:left w:val="nil"/>
              <w:bottom w:val="double" w:color="000000" w:sz="4" w:space="0"/>
              <w:right w:val="nil"/>
              <w:tl2br w:val="nil"/>
              <w:tr2bl w:val="nil"/>
            </w:tcBorders>
            <w:noWrap/>
            <w:vAlign w:val="bottom"/>
          </w:tcPr>
          <w:p w:rsidR="009534E2" w:rsidRDefault="003369EB">
            <w:pPr>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241</w:t>
            </w:r>
          </w:p>
        </w:tc>
      </w:tr>
      <w:bookmarkEnd w:id="1445"/>
      <w:bookmarkEnd w:id="1459"/>
    </w:tbl>
    <w:p w:rsidR="009534E2" w:rsidRDefault="009534E2">
      <w:pPr>
        <w:jc w:val="center"/>
        <w:rPr>
          <w:rFonts w:asciiTheme="majorHAnsi" w:hAnsiTheme="majorHAnsi" w:cstheme="majorHAnsi"/>
          <w:lang w:eastAsia="ru-RU"/>
        </w:rPr>
      </w:pPr>
    </w:p>
    <w:p w:rsidR="009534E2" w:rsidRDefault="003369EB">
      <w:pPr>
        <w:pStyle w:val="BodyText"/>
        <w:rPr>
          <w:rFonts w:asciiTheme="majorHAnsi" w:hAnsiTheme="majorHAnsi" w:cstheme="majorHAnsi"/>
          <w:bCs/>
          <w:lang w:eastAsia="ru-RU"/>
        </w:rPr>
      </w:pPr>
      <w:r>
        <w:rPr>
          <w:rFonts w:asciiTheme="majorHAnsi" w:hAnsiTheme="majorHAnsi" w:cstheme="majorHAnsi"/>
          <w:bCs/>
          <w:lang w:eastAsia="ru-RU"/>
        </w:rPr>
        <w:t xml:space="preserve">Goodwill related to the associate amounted to </w:t>
      </w:r>
      <w:bookmarkStart w:name="_0d09261f_eef5_4c60_be33_40d64c81df65" w:id="1460"/>
      <w:r>
        <w:rPr>
          <w:rFonts w:asciiTheme="majorHAnsi" w:hAnsiTheme="majorHAnsi" w:cstheme="majorHAnsi"/>
          <w:bCs/>
          <w:lang w:eastAsia="ru-RU"/>
        </w:rPr>
        <w:t>241</w:t>
      </w:r>
      <w:bookmarkEnd w:id="1460"/>
      <w:r>
        <w:rPr>
          <w:rFonts w:asciiTheme="majorHAnsi" w:hAnsiTheme="majorHAnsi" w:cstheme="majorHAnsi"/>
          <w:bCs/>
          <w:lang w:eastAsia="ru-RU"/>
        </w:rPr>
        <w:t xml:space="preserve"> and is included in the carrying amount of the investment in associate.</w:t>
      </w:r>
    </w:p>
    <w:p w:rsidR="009534E2" w:rsidRDefault="003369EB">
      <w:pPr>
        <w:pStyle w:val="BodyText"/>
        <w:keepNext/>
        <w:keepLines/>
        <w:rPr>
          <w:rFonts w:asciiTheme="majorHAnsi" w:hAnsiTheme="majorHAnsi" w:cstheme="majorHAnsi"/>
          <w:i/>
          <w:iCs/>
          <w:lang w:eastAsia="ru-RU"/>
        </w:rPr>
      </w:pPr>
      <w:r>
        <w:rPr>
          <w:rFonts w:asciiTheme="majorHAnsi" w:hAnsiTheme="majorHAnsi" w:cstheme="majorHAnsi"/>
          <w:i/>
          <w:iCs/>
          <w:lang w:eastAsia="ru-RU"/>
        </w:rPr>
        <w:t>2021</w:t>
      </w:r>
    </w:p>
    <w:p w:rsidR="009534E2" w:rsidRDefault="003369EB">
      <w:pPr>
        <w:pStyle w:val="BodyText"/>
        <w:keepNext/>
        <w:keepLines/>
        <w:rPr>
          <w:rFonts w:asciiTheme="majorHAnsi" w:hAnsiTheme="majorHAnsi" w:cstheme="majorHAnsi"/>
          <w:b/>
          <w:bCs/>
          <w:i/>
          <w:iCs/>
          <w:lang w:eastAsia="ru-RU"/>
        </w:rPr>
      </w:pPr>
      <w:r>
        <w:rPr>
          <w:rFonts w:asciiTheme="majorHAnsi" w:hAnsiTheme="majorHAnsi" w:cstheme="majorHAnsi"/>
          <w:b/>
          <w:bCs/>
          <w:i/>
          <w:iCs/>
          <w:lang w:eastAsia="ru-RU"/>
        </w:rPr>
        <w:t>Tochka sale</w:t>
      </w:r>
    </w:p>
    <w:p w:rsidR="009534E2" w:rsidRDefault="003369EB">
      <w:pPr>
        <w:pStyle w:val="BodyText"/>
        <w:rPr>
          <w:rFonts w:asciiTheme="majorHAnsi" w:hAnsiTheme="majorHAnsi" w:cstheme="majorHAnsi"/>
          <w:lang w:eastAsia="ru-RU"/>
        </w:rPr>
      </w:pPr>
      <w:bookmarkStart w:name="_d315038e_c2e9_4828_b2fb_2a9ba9960e8b" w:id="1461"/>
      <w:r>
        <w:rPr>
          <w:rFonts w:asciiTheme="majorHAnsi" w:hAnsiTheme="majorHAnsi" w:cstheme="majorHAnsi"/>
          <w:lang w:eastAsia="ru-RU"/>
        </w:rPr>
        <w:t xml:space="preserve">During third quarter 2021, the Group has completed the sale of its </w:t>
      </w:r>
      <w:bookmarkStart w:name="_e3769586_0a03_419a_9b0c_6e9ca62aabf8" w:id="1462"/>
      <w:r>
        <w:rPr>
          <w:rFonts w:asciiTheme="majorHAnsi" w:hAnsiTheme="majorHAnsi" w:cstheme="majorHAnsi"/>
          <w:lang w:eastAsia="ru-RU"/>
        </w:rPr>
        <w:t>40%</w:t>
      </w:r>
      <w:bookmarkEnd w:id="1462"/>
      <w:r>
        <w:rPr>
          <w:rFonts w:asciiTheme="majorHAnsi" w:hAnsiTheme="majorHAnsi" w:cstheme="majorHAnsi"/>
          <w:lang w:eastAsia="ru-RU"/>
        </w:rPr>
        <w:t xml:space="preserve"> stake (</w:t>
      </w:r>
      <w:bookmarkStart w:name="_2458d189_52ae_4070_ba66_80365165924d" w:id="1463"/>
      <w:r>
        <w:rPr>
          <w:rFonts w:asciiTheme="majorHAnsi" w:hAnsiTheme="majorHAnsi" w:cstheme="majorHAnsi"/>
          <w:lang w:eastAsia="ru-RU"/>
        </w:rPr>
        <w:t>45%</w:t>
      </w:r>
      <w:bookmarkEnd w:id="1463"/>
      <w:r>
        <w:rPr>
          <w:rFonts w:asciiTheme="majorHAnsi" w:hAnsiTheme="majorHAnsi" w:cstheme="majorHAnsi"/>
          <w:lang w:eastAsia="ru-RU"/>
        </w:rPr>
        <w:t xml:space="preserve"> economic interest) in the capital of its associate company, Tochka to a third party. </w:t>
      </w:r>
    </w:p>
    <w:p w:rsidR="009534E2" w:rsidRDefault="003369EB">
      <w:pPr>
        <w:pStyle w:val="BodyText"/>
        <w:keepNext/>
        <w:spacing w:after="0"/>
        <w:rPr>
          <w:rFonts w:asciiTheme="majorHAnsi" w:hAnsiTheme="majorHAnsi" w:cstheme="majorHAnsi"/>
          <w:lang w:eastAsia="ru-RU"/>
        </w:rPr>
      </w:pPr>
      <w:bookmarkStart w:name="_d2b3f570_5527_403b_998f_fc2329a32852" w:id="1464"/>
      <w:r>
        <w:rPr>
          <w:rFonts w:asciiTheme="majorHAnsi" w:hAnsiTheme="majorHAnsi" w:cstheme="majorHAnsi"/>
          <w:lang w:eastAsia="ru-RU"/>
        </w:rPr>
        <w:t>The result of disposal is presented below:</w:t>
      </w:r>
    </w:p>
    <w:p w:rsidR="009534E2" w:rsidRDefault="009534E2">
      <w:pPr>
        <w:pStyle w:val="BodyText"/>
        <w:keepNext/>
        <w:spacing w:after="0"/>
        <w:rPr>
          <w:rFonts w:asciiTheme="majorHAnsi" w:hAnsiTheme="majorHAnsi" w:cstheme="majorHAnsi"/>
          <w:lang w:eastAsia="ru-RU"/>
        </w:rPr>
      </w:pPr>
    </w:p>
    <w:tbl>
      <w:tblPr>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590"/>
        <w:gridCol w:w="240"/>
        <w:gridCol w:w="810"/>
      </w:tblGrid>
      <w:tr w:rsidR="009534E2">
        <w:trPr>
          <w:trHeight w:val="20" w:hRule="exact"/>
          <w:jc w:val="center"/>
        </w:trPr>
        <w:tc>
          <w:tcPr>
            <w:tcW w:w="4392"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10b2e888_ea33_45e0_9c0a_c7e68e0e4690" w:colFirst="0" w:colLast="0" w:id="1465"/>
            <w:bookmarkStart w:name="_71ab8eba_4b0b_477a_8d68_79d353af5b3f" w:colFirst="1" w:colLast="1" w:id="1466"/>
            <w:bookmarkStart w:name="_abac6a78_ce66_4fbf_95c1_05e805c7c3bd" w:colFirst="2" w:colLast="2" w:id="1467"/>
            <w:bookmarkStart w:name="_477dc3df_41a8_404e_bd6d_1fe08d1cd3ef" w:id="1468"/>
          </w:p>
        </w:tc>
        <w:tc>
          <w:tcPr>
            <w:tcW w:w="139"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469"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9534E2">
        <w:trPr>
          <w:jc w:val="center"/>
        </w:trPr>
        <w:tc>
          <w:tcPr>
            <w:tcW w:w="4392"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07c16468_9ac2_4d07_aad2_7ee677c23b36" w:id="1469"/>
            <w:bookmarkEnd w:id="1465"/>
            <w:bookmarkEnd w:id="1466"/>
            <w:bookmarkEnd w:id="1467"/>
            <w:r>
              <w:rPr>
                <w:rFonts w:eastAsia="Times New Roman" w:asciiTheme="majorHAnsi" w:hAnsiTheme="majorHAnsi" w:cstheme="majorHAnsi"/>
                <w:color w:val="000000"/>
              </w:rPr>
              <w:t>Fixed amount</w:t>
            </w:r>
          </w:p>
        </w:tc>
        <w:tc>
          <w:tcPr>
            <w:tcW w:w="139"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rFonts w:asciiTheme="majorHAnsi" w:hAnsiTheme="majorHAnsi" w:cstheme="majorHAnsi"/>
                <w:color w:val="000000"/>
              </w:rPr>
            </w:pPr>
            <w:r>
              <w:rPr>
                <w:rFonts w:eastAsia="Times New Roman" w:asciiTheme="majorHAnsi" w:hAnsiTheme="majorHAnsi" w:cstheme="majorHAnsi"/>
                <w:color w:val="000000"/>
              </w:rPr>
              <w:t>    </w:t>
            </w:r>
          </w:p>
        </w:tc>
        <w:tc>
          <w:tcPr>
            <w:tcW w:w="469"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4,947</w:t>
            </w:r>
          </w:p>
        </w:tc>
      </w:tr>
      <w:tr w:rsidR="009534E2">
        <w:trPr>
          <w:jc w:val="center"/>
        </w:trPr>
        <w:tc>
          <w:tcPr>
            <w:tcW w:w="4392"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bd1ce886_b51c_41b6_91f2_cddf1e2ea3c2" w:id="1470"/>
            <w:bookmarkEnd w:id="1469"/>
            <w:r>
              <w:rPr>
                <w:rFonts w:eastAsia="Times New Roman" w:asciiTheme="majorHAnsi" w:hAnsiTheme="majorHAnsi" w:cstheme="majorHAnsi"/>
                <w:color w:val="000000"/>
              </w:rPr>
              <w:t>Amount contingent on Tochka’s earnings for the year 2021</w:t>
            </w:r>
          </w:p>
        </w:tc>
        <w:tc>
          <w:tcPr>
            <w:tcW w:w="139"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469"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4,647</w:t>
            </w:r>
          </w:p>
        </w:tc>
      </w:tr>
      <w:tr w:rsidR="009534E2">
        <w:trPr>
          <w:jc w:val="center"/>
        </w:trPr>
        <w:tc>
          <w:tcPr>
            <w:tcW w:w="4392"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7da5e5f1_8144_4169_a6da_bcb59c6068bc" w:id="1471"/>
            <w:bookmarkEnd w:id="1470"/>
            <w:r>
              <w:rPr>
                <w:rFonts w:eastAsia="Times New Roman" w:asciiTheme="majorHAnsi" w:hAnsiTheme="majorHAnsi" w:cstheme="majorHAnsi"/>
                <w:color w:val="000000"/>
              </w:rPr>
              <w:t>Dividends received from associate*</w:t>
            </w:r>
          </w:p>
        </w:tc>
        <w:tc>
          <w:tcPr>
            <w:tcW w:w="139"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469"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532</w:t>
            </w:r>
          </w:p>
        </w:tc>
      </w:tr>
      <w:tr w:rsidR="009534E2">
        <w:trPr>
          <w:jc w:val="center"/>
        </w:trPr>
        <w:tc>
          <w:tcPr>
            <w:tcW w:w="4392"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8caeffdb_404a_48d8_b3a6_3609dabcb305" w:id="1472"/>
            <w:bookmarkEnd w:id="1471"/>
            <w:r>
              <w:rPr>
                <w:rFonts w:eastAsia="Times New Roman" w:asciiTheme="majorHAnsi" w:hAnsiTheme="majorHAnsi" w:cstheme="majorHAnsi"/>
                <w:color w:val="000000"/>
              </w:rPr>
              <w:t>Carrying amount of disposed investment</w:t>
            </w:r>
          </w:p>
        </w:tc>
        <w:tc>
          <w:tcPr>
            <w:tcW w:w="139"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469" w:type="pct"/>
            <w:tcBorders>
              <w:top w:val="nil"/>
              <w:left w:val="nil"/>
              <w:bottom w:val="single" w:color="000000" w:sz="4" w:space="0"/>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(1,949)</w:t>
            </w:r>
          </w:p>
        </w:tc>
      </w:tr>
      <w:tr w:rsidR="009534E2">
        <w:trPr>
          <w:jc w:val="center"/>
        </w:trPr>
        <w:tc>
          <w:tcPr>
            <w:tcW w:w="4392"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b/>
                <w:color w:val="000000"/>
              </w:rPr>
            </w:pPr>
            <w:bookmarkStart w:name="_999b2d7c_af36_4b3e_9655_d823e2c9506c" w:id="1473"/>
            <w:bookmarkEnd w:id="1472"/>
            <w:r>
              <w:rPr>
                <w:rFonts w:eastAsia="Times New Roman" w:asciiTheme="majorHAnsi" w:hAnsiTheme="majorHAnsi" w:cstheme="majorHAnsi"/>
                <w:b/>
                <w:color w:val="000000"/>
              </w:rPr>
              <w:t>Total gain on disposal</w:t>
            </w:r>
          </w:p>
        </w:tc>
        <w:tc>
          <w:tcPr>
            <w:tcW w:w="139"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469"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8,177</w:t>
            </w:r>
          </w:p>
        </w:tc>
      </w:tr>
    </w:tbl>
    <w:bookmarkEnd w:id="1461"/>
    <w:bookmarkEnd w:id="1468"/>
    <w:bookmarkEnd w:id="1473"/>
    <w:p w:rsidR="009534E2" w:rsidRDefault="00EC0AE1">
      <w:pPr>
        <w:pStyle w:val="BodyText"/>
        <w:tabs>
          <w:tab w:val="left" w:pos="360"/>
        </w:tabs>
        <w:spacing w:after="0"/>
        <w:rPr>
          <w:rFonts w:asciiTheme="majorHAnsi" w:hAnsiTheme="majorHAnsi" w:cstheme="majorHAnsi"/>
          <w:lang w:eastAsia="ru-RU"/>
        </w:rPr>
      </w:pPr>
      <w:r>
        <w:rPr>
          <w:rFonts w:eastAsia="Times New Roman" w:asciiTheme="majorHAnsi" w:hAnsiTheme="majorHAnsi" w:cstheme="majorHAnsi"/>
          <w:sz w:val="8"/>
          <w:szCs w:val="8"/>
          <w:lang w:eastAsia="ru-RU"/>
        </w:rPr>
        <w:pict w14:anchorId="694DD9F0">
          <v:rect id="_x0000_i1048" style="width:135pt;height:1pt" o:hr="t" o:hrstd="t" o:hrnoshade="t" o:hrpct="250" fillcolor="black" stroked="f"/>
        </w:pict>
      </w:r>
    </w:p>
    <w:p w:rsidR="009534E2" w:rsidRDefault="003369EB">
      <w:pPr>
        <w:pStyle w:val="BodyText"/>
        <w:numPr>
          <w:ilvl w:val="0"/>
          <w:numId w:val="25"/>
        </w:numPr>
        <w:tabs>
          <w:tab w:val="left" w:pos="360"/>
        </w:tabs>
        <w:ind w:left="360"/>
        <w:rPr>
          <w:rFonts w:asciiTheme="majorHAnsi" w:hAnsiTheme="majorHAnsi" w:cstheme="majorHAnsi"/>
          <w:i/>
          <w:iCs/>
          <w:lang w:eastAsia="ru-RU"/>
        </w:rPr>
      </w:pPr>
      <w:r>
        <w:rPr>
          <w:rFonts w:asciiTheme="majorHAnsi" w:hAnsiTheme="majorHAnsi" w:cstheme="majorHAnsi"/>
          <w:i/>
          <w:iCs/>
          <w:lang w:eastAsia="ru-RU"/>
        </w:rPr>
        <w:t>Receiving the Dividends was the substantial condition of the transaction and treated as part of the price. Dividends were received after the Group has ceased to apply equity accounting for the associate.</w:t>
      </w:r>
    </w:p>
    <w:bookmarkEnd w:id="1464"/>
    <w:p w:rsidR="009534E2" w:rsidRDefault="003369EB">
      <w:pPr>
        <w:pStyle w:val="BodyText"/>
        <w:spacing w:after="0"/>
        <w:rPr>
          <w:rFonts w:asciiTheme="majorHAnsi" w:hAnsiTheme="majorHAnsi" w:cstheme="majorHAnsi"/>
          <w:lang w:eastAsia="ru-RU"/>
        </w:rPr>
      </w:pPr>
      <w:r>
        <w:rPr>
          <w:rFonts w:asciiTheme="majorHAnsi" w:hAnsiTheme="majorHAnsi" w:cstheme="majorHAnsi"/>
          <w:lang w:eastAsia="ru-RU"/>
        </w:rPr>
        <w:t xml:space="preserve">Dividends and fixed amount of cash consideration were received during the third quarter of 2021. Contingent part was received in second quarter of 2022 in the amount of </w:t>
      </w:r>
      <w:bookmarkStart w:name="_57159c34_0e81_488e_b63a_d6834726837e" w:id="1474"/>
      <w:r>
        <w:rPr>
          <w:rFonts w:asciiTheme="majorHAnsi" w:hAnsiTheme="majorHAnsi" w:cstheme="majorHAnsi"/>
          <w:lang w:eastAsia="ru-RU"/>
        </w:rPr>
        <w:t>4,855</w:t>
      </w:r>
      <w:bookmarkEnd w:id="1474"/>
      <w:r>
        <w:rPr>
          <w:rFonts w:asciiTheme="majorHAnsi" w:hAnsiTheme="majorHAnsi" w:cstheme="majorHAnsi"/>
          <w:lang w:eastAsia="ru-RU"/>
        </w:rPr>
        <w:t>.</w:t>
      </w:r>
    </w:p>
    <w:p w:rsidR="009534E2" w:rsidRDefault="009534E2">
      <w:pPr>
        <w:pStyle w:val="BodyText"/>
        <w:spacing w:after="0"/>
        <w:rPr>
          <w:rFonts w:asciiTheme="majorHAnsi" w:hAnsiTheme="majorHAnsi" w:cstheme="majorHAnsi"/>
          <w:lang w:eastAsia="ru-RU"/>
        </w:rPr>
      </w:pPr>
    </w:p>
    <w:p w:rsidR="009534E2" w:rsidRDefault="003369EB">
      <w:pPr>
        <w:pStyle w:val="BodyText"/>
        <w:keepNext/>
        <w:keepLines/>
        <w:rPr>
          <w:rFonts w:asciiTheme="majorHAnsi" w:hAnsiTheme="majorHAnsi" w:cstheme="majorHAnsi"/>
          <w:i/>
          <w:iCs/>
          <w:lang w:eastAsia="ru-RU"/>
        </w:rPr>
      </w:pPr>
      <w:r>
        <w:rPr>
          <w:rFonts w:asciiTheme="majorHAnsi" w:hAnsiTheme="majorHAnsi" w:cstheme="majorHAnsi"/>
          <w:i/>
          <w:iCs/>
          <w:lang w:eastAsia="ru-RU"/>
        </w:rPr>
        <w:t>2020</w:t>
      </w:r>
    </w:p>
    <w:p w:rsidR="009534E2" w:rsidRDefault="003369EB">
      <w:pPr>
        <w:pStyle w:val="BodyText"/>
        <w:keepNext/>
        <w:keepLines/>
        <w:rPr>
          <w:rFonts w:asciiTheme="majorHAnsi" w:hAnsiTheme="majorHAnsi" w:cstheme="majorHAnsi"/>
          <w:b/>
          <w:bCs/>
          <w:i/>
          <w:iCs/>
          <w:lang w:eastAsia="ru-RU"/>
        </w:rPr>
      </w:pPr>
      <w:r>
        <w:rPr>
          <w:rFonts w:asciiTheme="majorHAnsi" w:hAnsiTheme="majorHAnsi" w:cstheme="majorHAnsi"/>
          <w:b/>
          <w:bCs/>
          <w:i/>
          <w:iCs/>
          <w:lang w:eastAsia="ru-RU"/>
        </w:rPr>
        <w:t>Rocketbank and SOVEST disposal</w:t>
      </w:r>
    </w:p>
    <w:p w:rsidR="009534E2" w:rsidRDefault="003369EB">
      <w:pPr>
        <w:pStyle w:val="BodyText"/>
        <w:keepNext/>
        <w:rPr>
          <w:rFonts w:asciiTheme="majorHAnsi" w:hAnsiTheme="majorHAnsi" w:cstheme="majorHAnsi"/>
          <w:lang w:eastAsia="ru-RU"/>
        </w:rPr>
      </w:pPr>
      <w:r>
        <w:rPr>
          <w:rFonts w:asciiTheme="majorHAnsi" w:hAnsiTheme="majorHAnsi" w:cstheme="majorHAnsi"/>
          <w:lang w:eastAsia="ru-RU"/>
        </w:rPr>
        <w:t xml:space="preserve">During the year 2020 the Group disposed </w:t>
      </w:r>
      <w:r w:rsidR="000C5197">
        <w:rPr>
          <w:rFonts w:asciiTheme="majorHAnsi" w:hAnsiTheme="majorHAnsi" w:cstheme="majorHAnsi"/>
          <w:lang w:eastAsia="ru-RU"/>
        </w:rPr>
        <w:t xml:space="preserve">of the </w:t>
      </w:r>
      <w:r>
        <w:rPr>
          <w:rFonts w:asciiTheme="majorHAnsi" w:hAnsiTheme="majorHAnsi" w:cstheme="majorHAnsi"/>
          <w:lang w:eastAsia="ru-RU"/>
        </w:rPr>
        <w:t>Rocketbank and SOVEST projects.</w:t>
      </w:r>
    </w:p>
    <w:p w:rsidR="009534E2" w:rsidRDefault="003369EB">
      <w:pPr>
        <w:pStyle w:val="BodyText"/>
        <w:keepNext/>
        <w:spacing w:after="0"/>
        <w:rPr>
          <w:rFonts w:asciiTheme="majorHAnsi" w:hAnsiTheme="majorHAnsi" w:cstheme="majorHAnsi"/>
          <w:lang w:eastAsia="ru-RU"/>
        </w:rPr>
      </w:pPr>
      <w:r>
        <w:rPr>
          <w:rFonts w:asciiTheme="majorHAnsi" w:hAnsiTheme="majorHAnsi" w:cstheme="majorHAnsi"/>
          <w:lang w:eastAsia="ru-RU"/>
        </w:rPr>
        <w:t>The results of the discontinued operations relatin</w:t>
      </w:r>
      <w:r w:rsidR="000C5197">
        <w:rPr>
          <w:rFonts w:asciiTheme="majorHAnsi" w:hAnsiTheme="majorHAnsi" w:cstheme="majorHAnsi"/>
          <w:lang w:eastAsia="ru-RU"/>
        </w:rPr>
        <w:t>g</w:t>
      </w:r>
      <w:r>
        <w:rPr>
          <w:rFonts w:asciiTheme="majorHAnsi" w:hAnsiTheme="majorHAnsi" w:cstheme="majorHAnsi"/>
          <w:lang w:eastAsia="ru-RU"/>
        </w:rPr>
        <w:t xml:space="preserve"> to these projects are presented below:</w:t>
      </w:r>
    </w:p>
    <w:p w:rsidR="009534E2" w:rsidRDefault="009534E2">
      <w:pPr>
        <w:pStyle w:val="BodyText"/>
        <w:keepNext/>
        <w:spacing w:after="0"/>
        <w:rPr>
          <w:rFonts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851"/>
        <w:gridCol w:w="306"/>
        <w:gridCol w:w="983"/>
        <w:gridCol w:w="307"/>
        <w:gridCol w:w="983"/>
        <w:gridCol w:w="307"/>
        <w:gridCol w:w="985"/>
        <w:gridCol w:w="78"/>
      </w:tblGrid>
      <w:tr w:rsidR="009534E2">
        <w:trPr>
          <w:trHeight w:val="20" w:hRule="exact"/>
        </w:trPr>
        <w:tc>
          <w:tcPr>
            <w:tcW w:w="3172" w:type="pct"/>
            <w:tcBorders>
              <w:top w:val="nil"/>
              <w:left w:val="nil"/>
              <w:bottom w:val="nil"/>
              <w:right w:val="nil"/>
            </w:tcBorders>
            <w:vAlign w:val="bottom"/>
          </w:tcPr>
          <w:p w:rsidR="009534E2" w:rsidRDefault="009534E2">
            <w:pPr>
              <w:keepNext/>
              <w:keepLines/>
              <w:spacing w:after="1"/>
              <w:rPr>
                <w:sz w:val="2"/>
              </w:rPr>
            </w:pPr>
            <w:bookmarkStart w:name="_bbec4ed7_2457_4b3f_98c4_780603ac3a81" w:colFirst="0" w:colLast="0" w:id="1475"/>
            <w:bookmarkStart w:name="_efde8dac_25c2_4bcd_87e3_3e5c0907062e" w:colFirst="1" w:colLast="1" w:id="1476"/>
            <w:bookmarkStart w:name="_6b63d260_6dc7_4785_b9e8_9f46c1771f13" w:colFirst="2" w:colLast="2" w:id="1477"/>
            <w:bookmarkStart w:name="_8c38566b_7032_46f9_a548_5657e4c0acb2" w:colFirst="3" w:colLast="3" w:id="1478"/>
            <w:bookmarkStart w:name="_3f823d7d_6b05_4ca3_ac8a_8394fc79df8c" w:colFirst="4" w:colLast="4" w:id="1479"/>
            <w:bookmarkStart w:name="_5215ff97_bad9_4646_8b48_e5a23ab3a6e3" w:colFirst="5" w:colLast="5" w:id="1480"/>
            <w:bookmarkStart w:name="_da4c7be8_dcd7_4b78_8f7e_61f86ee2e36e" w:colFirst="6" w:colLast="6" w:id="1481"/>
            <w:bookmarkStart w:name="_df9ae304_e52f_425e_bfdb_7e9ee2da8fc5" w:colFirst="7" w:colLast="7" w:id="1482"/>
            <w:bookmarkStart w:name="_5046d530_63d4_4683_9776_79f1a61b895a" w:id="1483"/>
          </w:p>
        </w:tc>
        <w:tc>
          <w:tcPr>
            <w:tcW w:w="142" w:type="pct"/>
            <w:tcBorders>
              <w:top w:val="nil"/>
              <w:left w:val="nil"/>
              <w:bottom w:val="nil"/>
              <w:right w:val="nil"/>
            </w:tcBorders>
            <w:noWrap/>
            <w:vAlign w:val="bottom"/>
          </w:tcPr>
          <w:p w:rsidR="009534E2" w:rsidRDefault="009534E2">
            <w:pPr>
              <w:keepNext/>
              <w:keepLines/>
              <w:spacing w:after="1"/>
              <w:rPr>
                <w:sz w:val="2"/>
              </w:rPr>
            </w:pPr>
          </w:p>
        </w:tc>
        <w:tc>
          <w:tcPr>
            <w:tcW w:w="455" w:type="pct"/>
            <w:tcBorders>
              <w:top w:val="nil"/>
              <w:left w:val="nil"/>
              <w:bottom w:val="nil"/>
              <w:right w:val="nil"/>
            </w:tcBorders>
            <w:noWrap/>
            <w:vAlign w:val="bottom"/>
          </w:tcPr>
          <w:p w:rsidR="009534E2" w:rsidRDefault="009534E2">
            <w:pPr>
              <w:keepNext/>
              <w:keepLines/>
              <w:spacing w:after="1"/>
              <w:rPr>
                <w:sz w:val="2"/>
              </w:rPr>
            </w:pPr>
          </w:p>
        </w:tc>
        <w:tc>
          <w:tcPr>
            <w:tcW w:w="142" w:type="pct"/>
            <w:tcBorders>
              <w:top w:val="nil"/>
              <w:left w:val="nil"/>
              <w:bottom w:val="nil"/>
              <w:right w:val="nil"/>
            </w:tcBorders>
            <w:noWrap/>
            <w:vAlign w:val="bottom"/>
          </w:tcPr>
          <w:p w:rsidR="009534E2" w:rsidRDefault="009534E2">
            <w:pPr>
              <w:keepNext/>
              <w:keepLines/>
              <w:spacing w:after="1"/>
              <w:rPr>
                <w:sz w:val="2"/>
              </w:rPr>
            </w:pPr>
          </w:p>
        </w:tc>
        <w:tc>
          <w:tcPr>
            <w:tcW w:w="455" w:type="pct"/>
            <w:tcBorders>
              <w:top w:val="nil"/>
              <w:left w:val="nil"/>
              <w:bottom w:val="nil"/>
              <w:right w:val="nil"/>
            </w:tcBorders>
            <w:noWrap/>
            <w:vAlign w:val="bottom"/>
          </w:tcPr>
          <w:p w:rsidR="009534E2" w:rsidRDefault="009534E2">
            <w:pPr>
              <w:keepNext/>
              <w:keepLines/>
              <w:spacing w:after="1"/>
              <w:rPr>
                <w:sz w:val="2"/>
              </w:rPr>
            </w:pPr>
          </w:p>
        </w:tc>
        <w:tc>
          <w:tcPr>
            <w:tcW w:w="142" w:type="pct"/>
            <w:tcBorders>
              <w:top w:val="nil"/>
              <w:left w:val="nil"/>
              <w:bottom w:val="nil"/>
              <w:right w:val="nil"/>
            </w:tcBorders>
            <w:noWrap/>
            <w:vAlign w:val="bottom"/>
          </w:tcPr>
          <w:p w:rsidR="009534E2" w:rsidRDefault="009534E2">
            <w:pPr>
              <w:keepNext/>
              <w:keepLines/>
              <w:spacing w:after="1"/>
              <w:rPr>
                <w:sz w:val="2"/>
              </w:rPr>
            </w:pPr>
          </w:p>
        </w:tc>
        <w:tc>
          <w:tcPr>
            <w:tcW w:w="456" w:type="pct"/>
            <w:tcBorders>
              <w:top w:val="nil"/>
              <w:left w:val="nil"/>
              <w:bottom w:val="nil"/>
              <w:right w:val="nil"/>
            </w:tcBorders>
            <w:noWrap/>
            <w:vAlign w:val="bottom"/>
          </w:tcPr>
          <w:p w:rsidR="009534E2" w:rsidRDefault="009534E2">
            <w:pPr>
              <w:keepNext/>
              <w:keepLines/>
              <w:spacing w:after="1"/>
              <w:rPr>
                <w:sz w:val="2"/>
              </w:rPr>
            </w:pPr>
          </w:p>
        </w:tc>
        <w:tc>
          <w:tcPr>
            <w:tcW w:w="36" w:type="pct"/>
            <w:tcBorders>
              <w:top w:val="nil"/>
              <w:left w:val="nil"/>
              <w:bottom w:val="nil"/>
              <w:right w:val="nil"/>
            </w:tcBorders>
            <w:noWrap/>
            <w:vAlign w:val="bottom"/>
          </w:tcPr>
          <w:p w:rsidR="009534E2" w:rsidRDefault="009534E2">
            <w:pPr>
              <w:keepNext/>
              <w:keepLines/>
              <w:spacing w:after="1"/>
              <w:rPr>
                <w:sz w:val="2"/>
              </w:rPr>
            </w:pPr>
          </w:p>
        </w:tc>
      </w:tr>
      <w:tr w:rsidR="009534E2">
        <w:tc>
          <w:tcPr>
            <w:tcW w:w="3172" w:type="pct"/>
            <w:tcBorders>
              <w:top w:val="nil"/>
              <w:left w:val="nil"/>
              <w:bottom w:val="nil"/>
              <w:right w:val="nil"/>
              <w:tl2br w:val="nil"/>
              <w:tr2bl w:val="nil"/>
            </w:tcBorders>
            <w:shd w:val="clear" w:color="auto" w:fill="auto"/>
            <w:vAlign w:val="bottom"/>
          </w:tcPr>
          <w:p w:rsidR="009534E2" w:rsidRDefault="009534E2">
            <w:pPr>
              <w:keepNext/>
              <w:keepLines/>
              <w:spacing w:after="1"/>
              <w:rPr>
                <w:b/>
                <w:color w:val="000000"/>
                <w:sz w:val="16"/>
              </w:rPr>
            </w:pPr>
            <w:bookmarkStart w:name="_40004b1f_91ed_4d84_9024_e2df15c1e181" w:id="1484"/>
            <w:bookmarkStart w:name="_8a2cf617_4744_4e1a_a8be_ab0cda4a3f9f" w:colFirst="0" w:colLast="7" w:id="1485"/>
            <w:bookmarkStart w:name="_e4c81e11_5013_49a9_9d19_4e06b4de6056" w:colFirst="0" w:colLast="7" w:id="1486"/>
            <w:bookmarkEnd w:id="1475"/>
            <w:bookmarkEnd w:id="1476"/>
            <w:bookmarkEnd w:id="1477"/>
            <w:bookmarkEnd w:id="1478"/>
            <w:bookmarkEnd w:id="1479"/>
            <w:bookmarkEnd w:id="1480"/>
            <w:bookmarkEnd w:id="1481"/>
            <w:bookmarkEnd w:id="1482"/>
          </w:p>
        </w:tc>
        <w:tc>
          <w:tcPr>
            <w:tcW w:w="142" w:type="pct"/>
            <w:tcBorders>
              <w:top w:val="nil"/>
              <w:left w:val="nil"/>
              <w:bottom w:val="nil"/>
              <w:right w:val="nil"/>
              <w:tl2br w:val="nil"/>
              <w:tr2bl w:val="nil"/>
            </w:tcBorders>
            <w:shd w:val="clear" w:color="auto" w:fill="auto"/>
            <w:noWrap/>
            <w:vAlign w:val="bottom"/>
          </w:tcPr>
          <w:p w:rsidR="009534E2" w:rsidRDefault="009534E2">
            <w:pPr>
              <w:keepNext/>
              <w:keepLines/>
              <w:spacing w:after="1"/>
              <w:jc w:val="center"/>
              <w:rPr>
                <w:b/>
                <w:color w:val="000000"/>
                <w:sz w:val="16"/>
              </w:rPr>
            </w:pPr>
          </w:p>
        </w:tc>
        <w:tc>
          <w:tcPr>
            <w:tcW w:w="1650" w:type="pct"/>
            <w:gridSpan w:val="5"/>
            <w:tcBorders>
              <w:top w:val="nil"/>
              <w:left w:val="nil"/>
              <w:bottom w:val="single" w:color="000000" w:sz="4" w:space="0"/>
              <w:right w:val="nil"/>
              <w:tl2br w:val="nil"/>
              <w:tr2bl w:val="nil"/>
            </w:tcBorders>
            <w:shd w:val="clear" w:color="auto" w:fill="auto"/>
            <w:noWrap/>
            <w:vAlign w:val="bottom"/>
          </w:tcPr>
          <w:p w:rsidR="009534E2" w:rsidRDefault="003369EB">
            <w:pPr>
              <w:keepNext/>
              <w:keepLines/>
              <w:spacing w:after="1"/>
              <w:jc w:val="center"/>
              <w:rPr>
                <w:b/>
                <w:color w:val="000000"/>
                <w:sz w:val="16"/>
              </w:rPr>
            </w:pPr>
            <w:r>
              <w:rPr>
                <w:rFonts w:ascii="Times New Roman" w:hAnsi="Times New Roman" w:eastAsia="Times New Roman" w:cs="Times New Roman"/>
                <w:b/>
                <w:color w:val="000000"/>
                <w:sz w:val="16"/>
              </w:rPr>
              <w:t>Year ended December 31, 2020</w:t>
            </w:r>
          </w:p>
        </w:tc>
        <w:tc>
          <w:tcPr>
            <w:tcW w:w="36" w:type="pct"/>
            <w:tcBorders>
              <w:top w:val="nil"/>
              <w:left w:val="nil"/>
              <w:bottom w:val="nil"/>
              <w:right w:val="nil"/>
              <w:tl2br w:val="nil"/>
              <w:tr2bl w:val="nil"/>
            </w:tcBorders>
            <w:shd w:val="clear" w:color="auto" w:fill="auto"/>
            <w:noWrap/>
            <w:vAlign w:val="bottom"/>
          </w:tcPr>
          <w:p w:rsidR="009534E2" w:rsidRDefault="009534E2">
            <w:pPr>
              <w:keepNext/>
              <w:keepLines/>
              <w:spacing w:after="1"/>
              <w:jc w:val="center"/>
              <w:rPr>
                <w:color w:val="000000"/>
                <w:sz w:val="16"/>
              </w:rPr>
            </w:pPr>
          </w:p>
        </w:tc>
      </w:tr>
      <w:tr w:rsidR="009534E2">
        <w:tc>
          <w:tcPr>
            <w:tcW w:w="3172" w:type="pct"/>
            <w:tcBorders>
              <w:top w:val="nil"/>
              <w:left w:val="nil"/>
              <w:bottom w:val="nil"/>
              <w:right w:val="nil"/>
              <w:tl2br w:val="nil"/>
              <w:tr2bl w:val="nil"/>
            </w:tcBorders>
            <w:shd w:val="clear" w:color="auto" w:fill="auto"/>
            <w:vAlign w:val="bottom"/>
          </w:tcPr>
          <w:p w:rsidR="009534E2" w:rsidRDefault="009534E2">
            <w:pPr>
              <w:keepNext/>
              <w:keepLines/>
              <w:spacing w:after="1"/>
              <w:rPr>
                <w:b/>
                <w:color w:val="000000"/>
                <w:sz w:val="16"/>
              </w:rPr>
            </w:pPr>
            <w:bookmarkStart w:name="_23529475_b520_4562_9171_ce979116c010" w:id="1487"/>
            <w:bookmarkEnd w:id="1484"/>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jc w:val="center"/>
              <w:rPr>
                <w:b/>
                <w:color w:val="000000"/>
                <w:sz w:val="16"/>
              </w:rPr>
            </w:pPr>
            <w:r>
              <w:rPr>
                <w:rFonts w:ascii="Times New Roman" w:hAnsi="Times New Roman" w:eastAsia="Times New Roman" w:cs="Times New Roman"/>
                <w:b/>
                <w:color w:val="000000"/>
                <w:sz w:val="16"/>
              </w:rPr>
              <w:t>    </w:t>
            </w:r>
          </w:p>
        </w:tc>
        <w:tc>
          <w:tcPr>
            <w:tcW w:w="455"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spacing w:after="1"/>
              <w:jc w:val="center"/>
              <w:rPr>
                <w:b/>
                <w:color w:val="000000"/>
                <w:sz w:val="16"/>
              </w:rPr>
            </w:pPr>
            <w:r>
              <w:rPr>
                <w:rFonts w:ascii="Times New Roman" w:hAnsi="Times New Roman" w:eastAsia="Times New Roman" w:cs="Times New Roman"/>
                <w:b/>
                <w:color w:val="000000"/>
                <w:sz w:val="16"/>
              </w:rPr>
              <w:t>Rocketbank</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jc w:val="center"/>
              <w:rPr>
                <w:b/>
                <w:color w:val="000000"/>
                <w:sz w:val="16"/>
              </w:rPr>
            </w:pPr>
            <w:r>
              <w:rPr>
                <w:rFonts w:ascii="Times New Roman" w:hAnsi="Times New Roman" w:eastAsia="Times New Roman" w:cs="Times New Roman"/>
                <w:b/>
                <w:color w:val="000000"/>
                <w:sz w:val="16"/>
              </w:rPr>
              <w:t>    </w:t>
            </w:r>
          </w:p>
        </w:tc>
        <w:tc>
          <w:tcPr>
            <w:tcW w:w="455"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spacing w:after="1"/>
              <w:jc w:val="center"/>
              <w:rPr>
                <w:b/>
                <w:color w:val="000000"/>
                <w:sz w:val="16"/>
              </w:rPr>
            </w:pPr>
            <w:r>
              <w:rPr>
                <w:rFonts w:ascii="Times New Roman" w:hAnsi="Times New Roman" w:eastAsia="Times New Roman" w:cs="Times New Roman"/>
                <w:b/>
                <w:color w:val="000000"/>
                <w:sz w:val="16"/>
              </w:rPr>
              <w:t>SOVEST</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jc w:val="center"/>
              <w:rPr>
                <w:b/>
                <w:color w:val="000000"/>
                <w:sz w:val="16"/>
              </w:rPr>
            </w:pPr>
            <w:r>
              <w:rPr>
                <w:rFonts w:ascii="Times New Roman" w:hAnsi="Times New Roman" w:eastAsia="Times New Roman" w:cs="Times New Roman"/>
                <w:b/>
                <w:color w:val="000000"/>
                <w:sz w:val="16"/>
              </w:rPr>
              <w:t>    </w:t>
            </w:r>
          </w:p>
        </w:tc>
        <w:tc>
          <w:tcPr>
            <w:tcW w:w="456"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spacing w:after="1"/>
              <w:jc w:val="center"/>
              <w:rPr>
                <w:b/>
                <w:color w:val="000000"/>
                <w:sz w:val="16"/>
              </w:rPr>
            </w:pPr>
            <w:r>
              <w:rPr>
                <w:rFonts w:ascii="Times New Roman" w:hAnsi="Times New Roman" w:eastAsia="Times New Roman" w:cs="Times New Roman"/>
                <w:b/>
                <w:color w:val="000000"/>
                <w:sz w:val="16"/>
              </w:rPr>
              <w:t>Total</w:t>
            </w:r>
          </w:p>
        </w:tc>
        <w:tc>
          <w:tcPr>
            <w:tcW w:w="36" w:type="pct"/>
            <w:tcBorders>
              <w:top w:val="nil"/>
              <w:left w:val="nil"/>
              <w:bottom w:val="nil"/>
              <w:right w:val="nil"/>
              <w:tl2br w:val="nil"/>
              <w:tr2bl w:val="nil"/>
            </w:tcBorders>
            <w:shd w:val="clear" w:color="auto" w:fill="auto"/>
            <w:noWrap/>
            <w:vAlign w:val="bottom"/>
          </w:tcPr>
          <w:p w:rsidR="009534E2" w:rsidRDefault="009534E2">
            <w:pPr>
              <w:keepNext/>
              <w:keepLines/>
              <w:spacing w:after="1"/>
              <w:jc w:val="center"/>
              <w:rPr>
                <w:color w:val="000000"/>
                <w:sz w:val="16"/>
              </w:rPr>
            </w:pPr>
          </w:p>
        </w:tc>
      </w:tr>
      <w:tr w:rsidR="009534E2">
        <w:tc>
          <w:tcPr>
            <w:tcW w:w="3172" w:type="pct"/>
            <w:tcBorders>
              <w:top w:val="nil"/>
              <w:left w:val="nil"/>
              <w:bottom w:val="nil"/>
              <w:right w:val="nil"/>
              <w:tl2br w:val="nil"/>
              <w:tr2bl w:val="nil"/>
            </w:tcBorders>
            <w:shd w:val="clear" w:color="auto" w:fill="CCEEFF"/>
            <w:vAlign w:val="bottom"/>
          </w:tcPr>
          <w:p w:rsidR="009534E2" w:rsidRDefault="003369EB">
            <w:pPr>
              <w:keepNext/>
              <w:keepLines/>
              <w:spacing w:after="1"/>
              <w:rPr>
                <w:b/>
                <w:color w:val="000000"/>
              </w:rPr>
            </w:pPr>
            <w:bookmarkStart w:name="_ef9840c5_9d42_4cef_94d0_25d915cf3838" w:id="1488"/>
            <w:bookmarkEnd w:id="1487"/>
            <w:r>
              <w:rPr>
                <w:rFonts w:ascii="Times New Roman" w:hAnsi="Times New Roman" w:eastAsia="Times New Roman" w:cs="Times New Roman"/>
                <w:b/>
                <w:color w:val="000000"/>
              </w:rPr>
              <w:t>Revenue</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b/>
                <w:color w:val="000000"/>
              </w:rPr>
            </w:pPr>
            <w:r>
              <w:rPr>
                <w:rFonts w:ascii="Times New Roman" w:hAnsi="Times New Roman" w:eastAsia="Times New Roman" w:cs="Times New Roman"/>
                <w:b/>
                <w:color w:val="000000"/>
              </w:rPr>
              <w:t> </w:t>
            </w:r>
          </w:p>
        </w:tc>
        <w:tc>
          <w:tcPr>
            <w:tcW w:w="455" w:type="pct"/>
            <w:tcBorders>
              <w:top w:val="single" w:color="000000" w:sz="4" w:space="0"/>
              <w:left w:val="nil"/>
              <w:bottom w:val="nil"/>
              <w:right w:val="nil"/>
              <w:tl2br w:val="nil"/>
              <w:tr2bl w:val="nil"/>
            </w:tcBorders>
            <w:shd w:val="clear" w:color="auto" w:fill="CCEEFF"/>
            <w:noWrap/>
            <w:vAlign w:val="bottom"/>
          </w:tcPr>
          <w:p w:rsidR="009534E2" w:rsidRDefault="003369EB">
            <w:pPr>
              <w:keepNext/>
              <w:keepLines/>
              <w:spacing w:after="1"/>
              <w:ind w:right="60"/>
              <w:jc w:val="right"/>
              <w:rPr>
                <w:b/>
                <w:color w:val="000000"/>
              </w:rPr>
            </w:pPr>
            <w:r>
              <w:rPr>
                <w:rFonts w:ascii="Times New Roman" w:hAnsi="Times New Roman" w:eastAsia="Times New Roman" w:cs="Times New Roman"/>
                <w:b/>
                <w:color w:val="000000"/>
              </w:rPr>
              <w:t xml:space="preserve"> 1,151</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b/>
                <w:color w:val="000000"/>
              </w:rPr>
            </w:pPr>
            <w:r>
              <w:rPr>
                <w:rFonts w:ascii="Times New Roman" w:hAnsi="Times New Roman" w:eastAsia="Times New Roman" w:cs="Times New Roman"/>
                <w:b/>
                <w:color w:val="000000"/>
              </w:rPr>
              <w:t> </w:t>
            </w:r>
          </w:p>
        </w:tc>
        <w:tc>
          <w:tcPr>
            <w:tcW w:w="455" w:type="pct"/>
            <w:tcBorders>
              <w:top w:val="single" w:color="000000" w:sz="4" w:space="0"/>
              <w:left w:val="nil"/>
              <w:bottom w:val="nil"/>
              <w:right w:val="nil"/>
              <w:tl2br w:val="nil"/>
              <w:tr2bl w:val="nil"/>
            </w:tcBorders>
            <w:shd w:val="clear" w:color="auto" w:fill="CCEEFF"/>
            <w:noWrap/>
            <w:vAlign w:val="bottom"/>
          </w:tcPr>
          <w:p w:rsidR="009534E2" w:rsidRDefault="003369EB">
            <w:pPr>
              <w:keepNext/>
              <w:keepLines/>
              <w:spacing w:after="1"/>
              <w:ind w:right="60"/>
              <w:jc w:val="right"/>
              <w:rPr>
                <w:b/>
                <w:color w:val="000000"/>
              </w:rPr>
            </w:pPr>
            <w:r>
              <w:rPr>
                <w:rFonts w:ascii="Times New Roman" w:hAnsi="Times New Roman" w:eastAsia="Times New Roman" w:cs="Times New Roman"/>
                <w:b/>
                <w:color w:val="000000"/>
              </w:rPr>
              <w:t xml:space="preserve"> 1,463</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b/>
                <w:color w:val="000000"/>
              </w:rPr>
            </w:pPr>
            <w:r>
              <w:rPr>
                <w:rFonts w:ascii="Times New Roman" w:hAnsi="Times New Roman" w:eastAsia="Times New Roman" w:cs="Times New Roman"/>
                <w:b/>
                <w:color w:val="000000"/>
              </w:rPr>
              <w:t> </w:t>
            </w:r>
          </w:p>
        </w:tc>
        <w:tc>
          <w:tcPr>
            <w:tcW w:w="456" w:type="pct"/>
            <w:tcBorders>
              <w:top w:val="single" w:color="000000" w:sz="4" w:space="0"/>
              <w:left w:val="nil"/>
              <w:bottom w:val="nil"/>
              <w:right w:val="nil"/>
              <w:tl2br w:val="nil"/>
              <w:tr2bl w:val="nil"/>
            </w:tcBorders>
            <w:shd w:val="clear" w:color="auto" w:fill="CCEEFF"/>
            <w:noWrap/>
            <w:vAlign w:val="bottom"/>
          </w:tcPr>
          <w:p w:rsidR="009534E2" w:rsidRDefault="003369EB">
            <w:pPr>
              <w:keepNext/>
              <w:keepLines/>
              <w:spacing w:after="1"/>
              <w:ind w:right="60"/>
              <w:jc w:val="right"/>
              <w:rPr>
                <w:b/>
                <w:color w:val="000000"/>
              </w:rPr>
            </w:pPr>
            <w:r>
              <w:rPr>
                <w:rFonts w:ascii="Times New Roman" w:hAnsi="Times New Roman" w:eastAsia="Times New Roman" w:cs="Times New Roman"/>
                <w:b/>
                <w:color w:val="000000"/>
              </w:rPr>
              <w:t xml:space="preserve"> 2,614</w:t>
            </w:r>
          </w:p>
        </w:tc>
        <w:tc>
          <w:tcPr>
            <w:tcW w:w="36" w:type="pct"/>
            <w:tcBorders>
              <w:top w:val="nil"/>
              <w:left w:val="nil"/>
              <w:bottom w:val="nil"/>
              <w:right w:val="nil"/>
              <w:tl2br w:val="nil"/>
              <w:tr2bl w:val="nil"/>
            </w:tcBorders>
            <w:shd w:val="clear" w:color="auto" w:fill="CCEEFF"/>
            <w:noWrap/>
            <w:vAlign w:val="bottom"/>
          </w:tcPr>
          <w:p w:rsidR="009534E2" w:rsidRDefault="009534E2">
            <w:pPr>
              <w:keepNext/>
              <w:keepLines/>
              <w:spacing w:after="1"/>
              <w:rPr>
                <w:color w:val="000000"/>
              </w:rPr>
            </w:pPr>
          </w:p>
        </w:tc>
      </w:tr>
      <w:tr w:rsidR="009534E2">
        <w:tc>
          <w:tcPr>
            <w:tcW w:w="3172" w:type="pct"/>
            <w:tcBorders>
              <w:top w:val="nil"/>
              <w:left w:val="nil"/>
              <w:bottom w:val="nil"/>
              <w:right w:val="nil"/>
              <w:tl2br w:val="nil"/>
              <w:tr2bl w:val="nil"/>
            </w:tcBorders>
            <w:shd w:val="clear" w:color="auto" w:fill="auto"/>
            <w:vAlign w:val="bottom"/>
          </w:tcPr>
          <w:p w:rsidR="009534E2" w:rsidRDefault="003369EB">
            <w:pPr>
              <w:keepNext/>
              <w:keepLines/>
              <w:spacing w:after="1"/>
              <w:rPr>
                <w:b/>
                <w:color w:val="000000"/>
              </w:rPr>
            </w:pPr>
            <w:bookmarkStart w:name="_659ca6a3_40f4_4204_9d57_16b7a3a1586c" w:id="1489"/>
            <w:bookmarkEnd w:id="1488"/>
            <w:r>
              <w:rPr>
                <w:rFonts w:ascii="Times New Roman" w:hAnsi="Times New Roman" w:eastAsia="Times New Roman" w:cs="Times New Roman"/>
                <w:b/>
                <w:color w:val="000000"/>
              </w:rPr>
              <w:t>Operating costs and expenses:</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b/>
                <w:color w:val="000000"/>
              </w:rPr>
            </w:pPr>
            <w:r>
              <w:rPr>
                <w:rFonts w:ascii="Times New Roman" w:hAnsi="Times New Roman" w:eastAsia="Times New Roman" w:cs="Times New Roman"/>
                <w:b/>
                <w:color w:val="000000"/>
              </w:rPr>
              <w:t> </w:t>
            </w:r>
          </w:p>
        </w:tc>
        <w:tc>
          <w:tcPr>
            <w:tcW w:w="455"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spacing w:after="1"/>
              <w:jc w:val="right"/>
              <w:rPr>
                <w:b/>
                <w:color w:val="000000"/>
              </w:rPr>
            </w:pPr>
            <w:r>
              <w:rPr>
                <w:rFonts w:ascii="Times New Roman" w:hAnsi="Times New Roman" w:eastAsia="Times New Roman" w:cs="Times New Roman"/>
                <w:b/>
                <w:color w:val="000000"/>
              </w:rPr>
              <w:t xml:space="preserve"> (2,065)</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b/>
                <w:color w:val="000000"/>
              </w:rPr>
            </w:pPr>
            <w:r>
              <w:rPr>
                <w:rFonts w:ascii="Times New Roman" w:hAnsi="Times New Roman" w:eastAsia="Times New Roman" w:cs="Times New Roman"/>
                <w:b/>
                <w:color w:val="000000"/>
              </w:rPr>
              <w:t> </w:t>
            </w:r>
          </w:p>
        </w:tc>
        <w:tc>
          <w:tcPr>
            <w:tcW w:w="455"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spacing w:after="1"/>
              <w:jc w:val="right"/>
              <w:rPr>
                <w:b/>
                <w:color w:val="000000"/>
              </w:rPr>
            </w:pPr>
            <w:r>
              <w:rPr>
                <w:rFonts w:ascii="Times New Roman" w:hAnsi="Times New Roman" w:eastAsia="Times New Roman" w:cs="Times New Roman"/>
                <w:b/>
                <w:color w:val="000000"/>
              </w:rPr>
              <w:t xml:space="preserve"> (2,290)</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b/>
                <w:color w:val="000000"/>
              </w:rPr>
            </w:pPr>
            <w:r>
              <w:rPr>
                <w:rFonts w:ascii="Times New Roman" w:hAnsi="Times New Roman" w:eastAsia="Times New Roman" w:cs="Times New Roman"/>
                <w:b/>
                <w:color w:val="000000"/>
              </w:rPr>
              <w:t> </w:t>
            </w:r>
          </w:p>
        </w:tc>
        <w:tc>
          <w:tcPr>
            <w:tcW w:w="456"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spacing w:after="1"/>
              <w:jc w:val="right"/>
              <w:rPr>
                <w:b/>
                <w:color w:val="000000"/>
              </w:rPr>
            </w:pPr>
            <w:r>
              <w:rPr>
                <w:rFonts w:ascii="Times New Roman" w:hAnsi="Times New Roman" w:eastAsia="Times New Roman" w:cs="Times New Roman"/>
                <w:b/>
                <w:color w:val="000000"/>
              </w:rPr>
              <w:t xml:space="preserve"> (4,355)</w:t>
            </w:r>
          </w:p>
        </w:tc>
        <w:tc>
          <w:tcPr>
            <w:tcW w:w="36" w:type="pct"/>
            <w:tcBorders>
              <w:top w:val="nil"/>
              <w:left w:val="nil"/>
              <w:bottom w:val="nil"/>
              <w:right w:val="nil"/>
              <w:tl2br w:val="nil"/>
              <w:tr2bl w:val="nil"/>
            </w:tcBorders>
            <w:shd w:val="clear" w:color="auto" w:fill="auto"/>
            <w:noWrap/>
            <w:vAlign w:val="bottom"/>
          </w:tcPr>
          <w:p w:rsidR="009534E2" w:rsidRDefault="009534E2">
            <w:pPr>
              <w:keepNext/>
              <w:keepLines/>
              <w:spacing w:after="1"/>
              <w:rPr>
                <w:color w:val="000000"/>
              </w:rPr>
            </w:pPr>
          </w:p>
        </w:tc>
      </w:tr>
      <w:tr w:rsidR="009534E2">
        <w:tc>
          <w:tcPr>
            <w:tcW w:w="3172" w:type="pct"/>
            <w:tcBorders>
              <w:top w:val="nil"/>
              <w:left w:val="nil"/>
              <w:bottom w:val="nil"/>
              <w:right w:val="nil"/>
              <w:tl2br w:val="nil"/>
              <w:tr2bl w:val="nil"/>
            </w:tcBorders>
            <w:shd w:val="clear" w:color="auto" w:fill="CCEEFF"/>
            <w:vAlign w:val="bottom"/>
          </w:tcPr>
          <w:p w:rsidR="009534E2" w:rsidRDefault="003369EB">
            <w:pPr>
              <w:keepNext/>
              <w:keepLines/>
              <w:spacing w:after="1"/>
              <w:ind w:left="120"/>
              <w:rPr>
                <w:color w:val="000000"/>
              </w:rPr>
            </w:pPr>
            <w:bookmarkStart w:name="_c2a1c430_2923_4874_b064_59bb3544b2fd" w:id="1490"/>
            <w:bookmarkEnd w:id="1489"/>
            <w:r>
              <w:rPr>
                <w:rFonts w:ascii="Times New Roman" w:hAnsi="Times New Roman" w:eastAsia="Times New Roman" w:cs="Times New Roman"/>
                <w:color w:val="000000"/>
              </w:rPr>
              <w:t>Cost of revenue (exclusive of items shown separately below)</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single" w:color="000000" w:sz="4" w:space="0"/>
              <w:left w:val="nil"/>
              <w:bottom w:val="nil"/>
              <w:right w:val="nil"/>
              <w:tl2br w:val="nil"/>
              <w:tr2bl w:val="nil"/>
            </w:tcBorders>
            <w:shd w:val="clear" w:color="auto" w:fill="CCEEFF"/>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(604)</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single" w:color="000000" w:sz="4" w:space="0"/>
              <w:left w:val="nil"/>
              <w:bottom w:val="nil"/>
              <w:right w:val="nil"/>
              <w:tl2br w:val="nil"/>
              <w:tr2bl w:val="nil"/>
            </w:tcBorders>
            <w:shd w:val="clear" w:color="auto" w:fill="CCEEFF"/>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(160)</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6" w:type="pct"/>
            <w:tcBorders>
              <w:top w:val="single" w:color="000000" w:sz="4" w:space="0"/>
              <w:left w:val="nil"/>
              <w:bottom w:val="nil"/>
              <w:right w:val="nil"/>
              <w:tl2br w:val="nil"/>
              <w:tr2bl w:val="nil"/>
            </w:tcBorders>
            <w:shd w:val="clear" w:color="auto" w:fill="CCEEFF"/>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(764)</w:t>
            </w:r>
          </w:p>
        </w:tc>
        <w:tc>
          <w:tcPr>
            <w:tcW w:w="36" w:type="pct"/>
            <w:tcBorders>
              <w:top w:val="nil"/>
              <w:left w:val="nil"/>
              <w:bottom w:val="nil"/>
              <w:right w:val="nil"/>
              <w:tl2br w:val="nil"/>
              <w:tr2bl w:val="nil"/>
            </w:tcBorders>
            <w:shd w:val="clear" w:color="auto" w:fill="CCEEFF"/>
            <w:noWrap/>
            <w:vAlign w:val="bottom"/>
          </w:tcPr>
          <w:p w:rsidR="009534E2" w:rsidRDefault="009534E2">
            <w:pPr>
              <w:keepNext/>
              <w:keepLines/>
              <w:spacing w:after="1"/>
              <w:rPr>
                <w:color w:val="000000"/>
              </w:rPr>
            </w:pPr>
          </w:p>
        </w:tc>
      </w:tr>
      <w:tr w:rsidR="009534E2">
        <w:tc>
          <w:tcPr>
            <w:tcW w:w="3172" w:type="pct"/>
            <w:tcBorders>
              <w:top w:val="nil"/>
              <w:left w:val="nil"/>
              <w:bottom w:val="nil"/>
              <w:right w:val="nil"/>
              <w:tl2br w:val="nil"/>
              <w:tr2bl w:val="nil"/>
            </w:tcBorders>
            <w:shd w:val="clear" w:color="auto" w:fill="auto"/>
            <w:vAlign w:val="bottom"/>
          </w:tcPr>
          <w:p w:rsidR="009534E2" w:rsidRDefault="003369EB">
            <w:pPr>
              <w:keepNext/>
              <w:keepLines/>
              <w:spacing w:after="1"/>
              <w:ind w:left="120"/>
              <w:rPr>
                <w:color w:val="000000"/>
              </w:rPr>
            </w:pPr>
            <w:bookmarkStart w:name="_0b2ee611_b383_460c_9650_9e63685031b5" w:id="1491"/>
            <w:bookmarkEnd w:id="1490"/>
            <w:r>
              <w:rPr>
                <w:rFonts w:ascii="Times New Roman" w:hAnsi="Times New Roman" w:eastAsia="Times New Roman" w:cs="Times New Roman"/>
                <w:color w:val="000000"/>
              </w:rPr>
              <w:t>Selling, general and administrative expenses</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nil"/>
              <w:left w:val="nil"/>
              <w:bottom w:val="nil"/>
              <w:right w:val="nil"/>
              <w:tl2br w:val="nil"/>
              <w:tr2bl w:val="nil"/>
            </w:tcBorders>
            <w:shd w:val="clear" w:color="auto" w:fill="auto"/>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(338)</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nil"/>
              <w:left w:val="nil"/>
              <w:bottom w:val="nil"/>
              <w:right w:val="nil"/>
              <w:tl2br w:val="nil"/>
              <w:tr2bl w:val="nil"/>
            </w:tcBorders>
            <w:shd w:val="clear" w:color="auto" w:fill="auto"/>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(424)</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6" w:type="pct"/>
            <w:tcBorders>
              <w:top w:val="nil"/>
              <w:left w:val="nil"/>
              <w:bottom w:val="nil"/>
              <w:right w:val="nil"/>
              <w:tl2br w:val="nil"/>
              <w:tr2bl w:val="nil"/>
            </w:tcBorders>
            <w:shd w:val="clear" w:color="auto" w:fill="auto"/>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(762)</w:t>
            </w:r>
          </w:p>
        </w:tc>
        <w:tc>
          <w:tcPr>
            <w:tcW w:w="36" w:type="pct"/>
            <w:tcBorders>
              <w:top w:val="nil"/>
              <w:left w:val="nil"/>
              <w:bottom w:val="nil"/>
              <w:right w:val="nil"/>
              <w:tl2br w:val="nil"/>
              <w:tr2bl w:val="nil"/>
            </w:tcBorders>
            <w:shd w:val="clear" w:color="auto" w:fill="auto"/>
            <w:noWrap/>
            <w:vAlign w:val="bottom"/>
          </w:tcPr>
          <w:p w:rsidR="009534E2" w:rsidRDefault="009534E2">
            <w:pPr>
              <w:keepNext/>
              <w:keepLines/>
              <w:spacing w:after="1"/>
              <w:rPr>
                <w:color w:val="000000"/>
              </w:rPr>
            </w:pPr>
          </w:p>
        </w:tc>
      </w:tr>
      <w:tr w:rsidR="009534E2">
        <w:tc>
          <w:tcPr>
            <w:tcW w:w="3172" w:type="pct"/>
            <w:tcBorders>
              <w:top w:val="nil"/>
              <w:left w:val="nil"/>
              <w:bottom w:val="nil"/>
              <w:right w:val="nil"/>
              <w:tl2br w:val="nil"/>
              <w:tr2bl w:val="nil"/>
            </w:tcBorders>
            <w:shd w:val="clear" w:color="auto" w:fill="CCEEFF"/>
            <w:vAlign w:val="bottom"/>
          </w:tcPr>
          <w:p w:rsidR="009534E2" w:rsidRDefault="003369EB">
            <w:pPr>
              <w:keepNext/>
              <w:keepLines/>
              <w:spacing w:after="1"/>
              <w:ind w:left="120"/>
              <w:rPr>
                <w:color w:val="000000"/>
              </w:rPr>
            </w:pPr>
            <w:bookmarkStart w:name="_fa9db55e_18e7_47a2_946a_c6775cd893e5" w:id="1492"/>
            <w:bookmarkEnd w:id="1491"/>
            <w:r>
              <w:rPr>
                <w:rFonts w:ascii="Times New Roman" w:hAnsi="Times New Roman" w:eastAsia="Times New Roman" w:cs="Times New Roman"/>
                <w:color w:val="000000"/>
              </w:rPr>
              <w:t>Personnel expenses</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nil"/>
              <w:left w:val="nil"/>
              <w:bottom w:val="nil"/>
              <w:right w:val="nil"/>
              <w:tl2br w:val="nil"/>
              <w:tr2bl w:val="nil"/>
            </w:tcBorders>
            <w:shd w:val="clear" w:color="auto" w:fill="CCEEFF"/>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(986)</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nil"/>
              <w:left w:val="nil"/>
              <w:bottom w:val="nil"/>
              <w:right w:val="nil"/>
              <w:tl2br w:val="nil"/>
              <w:tr2bl w:val="nil"/>
            </w:tcBorders>
            <w:shd w:val="clear" w:color="auto" w:fill="CCEEFF"/>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(796)</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6" w:type="pct"/>
            <w:tcBorders>
              <w:top w:val="nil"/>
              <w:left w:val="nil"/>
              <w:bottom w:val="nil"/>
              <w:right w:val="nil"/>
              <w:tl2br w:val="nil"/>
              <w:tr2bl w:val="nil"/>
            </w:tcBorders>
            <w:shd w:val="clear" w:color="auto" w:fill="CCEEFF"/>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(1,782)</w:t>
            </w:r>
          </w:p>
        </w:tc>
        <w:tc>
          <w:tcPr>
            <w:tcW w:w="36" w:type="pct"/>
            <w:tcBorders>
              <w:top w:val="nil"/>
              <w:left w:val="nil"/>
              <w:bottom w:val="nil"/>
              <w:right w:val="nil"/>
              <w:tl2br w:val="nil"/>
              <w:tr2bl w:val="nil"/>
            </w:tcBorders>
            <w:shd w:val="clear" w:color="auto" w:fill="CCEEFF"/>
            <w:noWrap/>
            <w:vAlign w:val="bottom"/>
          </w:tcPr>
          <w:p w:rsidR="009534E2" w:rsidRDefault="009534E2">
            <w:pPr>
              <w:keepNext/>
              <w:keepLines/>
              <w:spacing w:after="1"/>
              <w:rPr>
                <w:color w:val="000000"/>
              </w:rPr>
            </w:pPr>
          </w:p>
        </w:tc>
      </w:tr>
      <w:tr w:rsidR="009534E2">
        <w:tc>
          <w:tcPr>
            <w:tcW w:w="3172" w:type="pct"/>
            <w:tcBorders>
              <w:top w:val="nil"/>
              <w:left w:val="nil"/>
              <w:bottom w:val="nil"/>
              <w:right w:val="nil"/>
              <w:tl2br w:val="nil"/>
              <w:tr2bl w:val="nil"/>
            </w:tcBorders>
            <w:shd w:val="clear" w:color="auto" w:fill="auto"/>
            <w:vAlign w:val="bottom"/>
          </w:tcPr>
          <w:p w:rsidR="009534E2" w:rsidRDefault="003369EB">
            <w:pPr>
              <w:keepNext/>
              <w:keepLines/>
              <w:spacing w:after="1"/>
              <w:ind w:left="120"/>
              <w:rPr>
                <w:color w:val="000000"/>
              </w:rPr>
            </w:pPr>
            <w:bookmarkStart w:name="_b418300a_53e6_40b6_b5e2_e212f66e0a99" w:id="1493"/>
            <w:bookmarkEnd w:id="1492"/>
            <w:r>
              <w:rPr>
                <w:rFonts w:ascii="Times New Roman" w:hAnsi="Times New Roman" w:eastAsia="Times New Roman" w:cs="Times New Roman"/>
                <w:color w:val="000000"/>
              </w:rPr>
              <w:t>Depreciation and amortization</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nil"/>
              <w:left w:val="nil"/>
              <w:bottom w:val="nil"/>
              <w:right w:val="nil"/>
              <w:tl2br w:val="nil"/>
              <w:tr2bl w:val="nil"/>
            </w:tcBorders>
            <w:shd w:val="clear" w:color="auto" w:fill="auto"/>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(111)</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nil"/>
              <w:left w:val="nil"/>
              <w:bottom w:val="nil"/>
              <w:right w:val="nil"/>
              <w:tl2br w:val="nil"/>
              <w:tr2bl w:val="nil"/>
            </w:tcBorders>
            <w:shd w:val="clear" w:color="auto" w:fill="auto"/>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(54)</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6" w:type="pct"/>
            <w:tcBorders>
              <w:top w:val="nil"/>
              <w:left w:val="nil"/>
              <w:bottom w:val="nil"/>
              <w:right w:val="nil"/>
              <w:tl2br w:val="nil"/>
              <w:tr2bl w:val="nil"/>
            </w:tcBorders>
            <w:shd w:val="clear" w:color="auto" w:fill="auto"/>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(165)</w:t>
            </w:r>
          </w:p>
        </w:tc>
        <w:tc>
          <w:tcPr>
            <w:tcW w:w="36" w:type="pct"/>
            <w:tcBorders>
              <w:top w:val="nil"/>
              <w:left w:val="nil"/>
              <w:bottom w:val="nil"/>
              <w:right w:val="nil"/>
              <w:tl2br w:val="nil"/>
              <w:tr2bl w:val="nil"/>
            </w:tcBorders>
            <w:shd w:val="clear" w:color="auto" w:fill="auto"/>
            <w:noWrap/>
            <w:vAlign w:val="bottom"/>
          </w:tcPr>
          <w:p w:rsidR="009534E2" w:rsidRDefault="009534E2">
            <w:pPr>
              <w:keepNext/>
              <w:keepLines/>
              <w:spacing w:after="1"/>
              <w:rPr>
                <w:color w:val="000000"/>
              </w:rPr>
            </w:pPr>
          </w:p>
        </w:tc>
      </w:tr>
      <w:tr w:rsidR="009534E2">
        <w:tc>
          <w:tcPr>
            <w:tcW w:w="3172" w:type="pct"/>
            <w:tcBorders>
              <w:top w:val="nil"/>
              <w:left w:val="nil"/>
              <w:bottom w:val="nil"/>
              <w:right w:val="nil"/>
              <w:tl2br w:val="nil"/>
              <w:tr2bl w:val="nil"/>
            </w:tcBorders>
            <w:shd w:val="clear" w:color="auto" w:fill="CCEEFF"/>
            <w:vAlign w:val="bottom"/>
          </w:tcPr>
          <w:p w:rsidR="009534E2" w:rsidRDefault="003369EB">
            <w:pPr>
              <w:keepNext/>
              <w:keepLines/>
              <w:spacing w:after="1"/>
              <w:ind w:left="120"/>
              <w:rPr>
                <w:color w:val="000000"/>
              </w:rPr>
            </w:pPr>
            <w:bookmarkStart w:name="_d9b5c405_1ce4_4762_8904_8ada9e29a0bd" w:id="1494"/>
            <w:bookmarkEnd w:id="1493"/>
            <w:r>
              <w:rPr>
                <w:rFonts w:ascii="Times New Roman" w:hAnsi="Times New Roman" w:eastAsia="Times New Roman" w:cs="Times New Roman"/>
                <w:color w:val="000000"/>
              </w:rPr>
              <w:t>Credit loss (expense)/income</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nil"/>
              <w:left w:val="nil"/>
              <w:bottom w:val="nil"/>
              <w:right w:val="nil"/>
              <w:tl2br w:val="nil"/>
              <w:tr2bl w:val="nil"/>
            </w:tcBorders>
            <w:shd w:val="clear" w:color="auto" w:fill="CCEEFF"/>
            <w:noWrap/>
            <w:vAlign w:val="bottom"/>
          </w:tcPr>
          <w:p w:rsidR="009534E2" w:rsidRDefault="003369EB">
            <w:pPr>
              <w:keepNext/>
              <w:keepLines/>
              <w:spacing w:after="1"/>
              <w:ind w:right="60"/>
              <w:jc w:val="right"/>
              <w:rPr>
                <w:color w:val="000000"/>
              </w:rPr>
            </w:pPr>
            <w:r>
              <w:rPr>
                <w:rFonts w:ascii="Times New Roman" w:hAnsi="Times New Roman" w:eastAsia="Times New Roman" w:cs="Times New Roman"/>
                <w:color w:val="000000"/>
              </w:rPr>
              <w:t xml:space="preserve"> 8</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nil"/>
              <w:left w:val="nil"/>
              <w:bottom w:val="nil"/>
              <w:right w:val="nil"/>
              <w:tl2br w:val="nil"/>
              <w:tr2bl w:val="nil"/>
            </w:tcBorders>
            <w:shd w:val="clear" w:color="auto" w:fill="CCEEFF"/>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(788)</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6" w:type="pct"/>
            <w:tcBorders>
              <w:top w:val="nil"/>
              <w:left w:val="nil"/>
              <w:bottom w:val="nil"/>
              <w:right w:val="nil"/>
              <w:tl2br w:val="nil"/>
              <w:tr2bl w:val="nil"/>
            </w:tcBorders>
            <w:shd w:val="clear" w:color="auto" w:fill="CCEEFF"/>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(780)</w:t>
            </w:r>
          </w:p>
        </w:tc>
        <w:tc>
          <w:tcPr>
            <w:tcW w:w="36" w:type="pct"/>
            <w:tcBorders>
              <w:top w:val="nil"/>
              <w:left w:val="nil"/>
              <w:bottom w:val="nil"/>
              <w:right w:val="nil"/>
              <w:tl2br w:val="nil"/>
              <w:tr2bl w:val="nil"/>
            </w:tcBorders>
            <w:shd w:val="clear" w:color="auto" w:fill="CCEEFF"/>
            <w:noWrap/>
            <w:vAlign w:val="bottom"/>
          </w:tcPr>
          <w:p w:rsidR="009534E2" w:rsidRDefault="009534E2">
            <w:pPr>
              <w:keepNext/>
              <w:keepLines/>
              <w:spacing w:after="1"/>
              <w:rPr>
                <w:color w:val="000000"/>
              </w:rPr>
            </w:pPr>
          </w:p>
        </w:tc>
      </w:tr>
      <w:tr w:rsidR="009534E2">
        <w:tc>
          <w:tcPr>
            <w:tcW w:w="3172" w:type="pct"/>
            <w:tcBorders>
              <w:top w:val="nil"/>
              <w:left w:val="nil"/>
              <w:bottom w:val="nil"/>
              <w:right w:val="nil"/>
              <w:tl2br w:val="nil"/>
              <w:tr2bl w:val="nil"/>
            </w:tcBorders>
            <w:shd w:val="clear" w:color="auto" w:fill="auto"/>
            <w:vAlign w:val="bottom"/>
          </w:tcPr>
          <w:p w:rsidR="009534E2" w:rsidRDefault="003369EB">
            <w:pPr>
              <w:keepNext/>
              <w:keepLines/>
              <w:spacing w:after="1"/>
              <w:ind w:left="120"/>
              <w:rPr>
                <w:color w:val="000000"/>
              </w:rPr>
            </w:pPr>
            <w:bookmarkStart w:name="_74a808db_77ac_4910_b9d9_bcf29807461b" w:id="1495"/>
            <w:bookmarkEnd w:id="1494"/>
            <w:r>
              <w:rPr>
                <w:rFonts w:ascii="Times New Roman" w:hAnsi="Times New Roman" w:eastAsia="Times New Roman" w:cs="Times New Roman"/>
                <w:color w:val="000000"/>
              </w:rPr>
              <w:t>Impairment of non-current assets</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(34)</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(68)</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6"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(102)</w:t>
            </w:r>
          </w:p>
        </w:tc>
        <w:tc>
          <w:tcPr>
            <w:tcW w:w="36" w:type="pct"/>
            <w:tcBorders>
              <w:top w:val="nil"/>
              <w:left w:val="nil"/>
              <w:bottom w:val="nil"/>
              <w:right w:val="nil"/>
              <w:tl2br w:val="nil"/>
              <w:tr2bl w:val="nil"/>
            </w:tcBorders>
            <w:shd w:val="clear" w:color="auto" w:fill="auto"/>
            <w:noWrap/>
            <w:vAlign w:val="bottom"/>
          </w:tcPr>
          <w:p w:rsidR="009534E2" w:rsidRDefault="009534E2">
            <w:pPr>
              <w:keepNext/>
              <w:keepLines/>
              <w:spacing w:after="1"/>
              <w:rPr>
                <w:color w:val="000000"/>
              </w:rPr>
            </w:pPr>
          </w:p>
        </w:tc>
      </w:tr>
      <w:tr w:rsidR="009534E2">
        <w:tc>
          <w:tcPr>
            <w:tcW w:w="3172" w:type="pct"/>
            <w:tcBorders>
              <w:top w:val="nil"/>
              <w:left w:val="nil"/>
              <w:bottom w:val="nil"/>
              <w:right w:val="nil"/>
              <w:tl2br w:val="nil"/>
              <w:tr2bl w:val="nil"/>
            </w:tcBorders>
            <w:shd w:val="clear" w:color="auto" w:fill="CCEEFF"/>
            <w:vAlign w:val="bottom"/>
          </w:tcPr>
          <w:p w:rsidR="009534E2" w:rsidRDefault="003369EB">
            <w:pPr>
              <w:keepNext/>
              <w:keepLines/>
              <w:spacing w:after="1"/>
              <w:rPr>
                <w:b/>
                <w:color w:val="000000"/>
              </w:rPr>
            </w:pPr>
            <w:bookmarkStart w:name="_4dee4a47_9943_45fe_963f_4ff00b798dd1" w:id="1496"/>
            <w:bookmarkEnd w:id="1495"/>
            <w:r>
              <w:rPr>
                <w:rFonts w:ascii="Times New Roman" w:hAnsi="Times New Roman" w:eastAsia="Times New Roman" w:cs="Times New Roman"/>
                <w:b/>
                <w:color w:val="000000"/>
              </w:rPr>
              <w:t>Loss from operations</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b/>
                <w:color w:val="000000"/>
              </w:rPr>
            </w:pPr>
            <w:r>
              <w:rPr>
                <w:rFonts w:ascii="Times New Roman" w:hAnsi="Times New Roman" w:eastAsia="Times New Roman" w:cs="Times New Roman"/>
                <w:b/>
                <w:color w:val="000000"/>
              </w:rPr>
              <w:t> </w:t>
            </w:r>
          </w:p>
        </w:tc>
        <w:tc>
          <w:tcPr>
            <w:tcW w:w="455" w:type="pct"/>
            <w:tcBorders>
              <w:top w:val="single" w:color="000000" w:sz="4" w:space="0"/>
              <w:left w:val="nil"/>
              <w:bottom w:val="single" w:color="000000" w:sz="4" w:space="0"/>
              <w:right w:val="nil"/>
              <w:tl2br w:val="nil"/>
              <w:tr2bl w:val="nil"/>
            </w:tcBorders>
            <w:shd w:val="clear" w:color="auto" w:fill="CCEEFF"/>
            <w:noWrap/>
            <w:vAlign w:val="bottom"/>
          </w:tcPr>
          <w:p w:rsidR="009534E2" w:rsidRDefault="003369EB">
            <w:pPr>
              <w:keepNext/>
              <w:keepLines/>
              <w:spacing w:after="1"/>
              <w:jc w:val="right"/>
              <w:rPr>
                <w:b/>
                <w:color w:val="000000"/>
              </w:rPr>
            </w:pPr>
            <w:r>
              <w:rPr>
                <w:rFonts w:ascii="Times New Roman" w:hAnsi="Times New Roman" w:eastAsia="Times New Roman" w:cs="Times New Roman"/>
                <w:b/>
                <w:color w:val="000000"/>
              </w:rPr>
              <w:t xml:space="preserve"> (914)</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b/>
                <w:color w:val="000000"/>
              </w:rPr>
            </w:pPr>
            <w:r>
              <w:rPr>
                <w:rFonts w:ascii="Times New Roman" w:hAnsi="Times New Roman" w:eastAsia="Times New Roman" w:cs="Times New Roman"/>
                <w:b/>
                <w:color w:val="000000"/>
              </w:rPr>
              <w:t> </w:t>
            </w:r>
          </w:p>
        </w:tc>
        <w:tc>
          <w:tcPr>
            <w:tcW w:w="455" w:type="pct"/>
            <w:tcBorders>
              <w:top w:val="single" w:color="000000" w:sz="4" w:space="0"/>
              <w:left w:val="nil"/>
              <w:bottom w:val="single" w:color="000000" w:sz="4" w:space="0"/>
              <w:right w:val="nil"/>
              <w:tl2br w:val="nil"/>
              <w:tr2bl w:val="nil"/>
            </w:tcBorders>
            <w:shd w:val="clear" w:color="auto" w:fill="CCEEFF"/>
            <w:noWrap/>
            <w:vAlign w:val="bottom"/>
          </w:tcPr>
          <w:p w:rsidR="009534E2" w:rsidRDefault="003369EB">
            <w:pPr>
              <w:keepNext/>
              <w:keepLines/>
              <w:spacing w:after="1"/>
              <w:jc w:val="right"/>
              <w:rPr>
                <w:b/>
                <w:color w:val="000000"/>
              </w:rPr>
            </w:pPr>
            <w:r>
              <w:rPr>
                <w:rFonts w:ascii="Times New Roman" w:hAnsi="Times New Roman" w:eastAsia="Times New Roman" w:cs="Times New Roman"/>
                <w:b/>
                <w:color w:val="000000"/>
              </w:rPr>
              <w:t xml:space="preserve"> (827)</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b/>
                <w:color w:val="000000"/>
              </w:rPr>
            </w:pPr>
            <w:r>
              <w:rPr>
                <w:rFonts w:ascii="Times New Roman" w:hAnsi="Times New Roman" w:eastAsia="Times New Roman" w:cs="Times New Roman"/>
                <w:b/>
                <w:color w:val="000000"/>
              </w:rPr>
              <w:t> </w:t>
            </w:r>
          </w:p>
        </w:tc>
        <w:tc>
          <w:tcPr>
            <w:tcW w:w="456" w:type="pct"/>
            <w:tcBorders>
              <w:top w:val="single" w:color="000000" w:sz="4" w:space="0"/>
              <w:left w:val="nil"/>
              <w:bottom w:val="single" w:color="000000" w:sz="4" w:space="0"/>
              <w:right w:val="nil"/>
              <w:tl2br w:val="nil"/>
              <w:tr2bl w:val="nil"/>
            </w:tcBorders>
            <w:shd w:val="clear" w:color="auto" w:fill="CCEEFF"/>
            <w:noWrap/>
            <w:vAlign w:val="bottom"/>
          </w:tcPr>
          <w:p w:rsidR="009534E2" w:rsidRDefault="003369EB">
            <w:pPr>
              <w:keepNext/>
              <w:keepLines/>
              <w:spacing w:after="1"/>
              <w:jc w:val="right"/>
              <w:rPr>
                <w:b/>
                <w:color w:val="000000"/>
              </w:rPr>
            </w:pPr>
            <w:r>
              <w:rPr>
                <w:rFonts w:ascii="Times New Roman" w:hAnsi="Times New Roman" w:eastAsia="Times New Roman" w:cs="Times New Roman"/>
                <w:b/>
                <w:color w:val="000000"/>
              </w:rPr>
              <w:t xml:space="preserve"> (1,741)</w:t>
            </w:r>
          </w:p>
        </w:tc>
        <w:tc>
          <w:tcPr>
            <w:tcW w:w="36" w:type="pct"/>
            <w:tcBorders>
              <w:top w:val="nil"/>
              <w:left w:val="nil"/>
              <w:bottom w:val="nil"/>
              <w:right w:val="nil"/>
              <w:tl2br w:val="nil"/>
              <w:tr2bl w:val="nil"/>
            </w:tcBorders>
            <w:shd w:val="clear" w:color="auto" w:fill="CCEEFF"/>
            <w:noWrap/>
            <w:vAlign w:val="bottom"/>
          </w:tcPr>
          <w:p w:rsidR="009534E2" w:rsidRDefault="009534E2">
            <w:pPr>
              <w:keepNext/>
              <w:keepLines/>
              <w:spacing w:after="1"/>
              <w:rPr>
                <w:color w:val="000000"/>
              </w:rPr>
            </w:pPr>
          </w:p>
        </w:tc>
      </w:tr>
      <w:tr w:rsidR="009534E2">
        <w:tc>
          <w:tcPr>
            <w:tcW w:w="3172" w:type="pct"/>
            <w:tcBorders>
              <w:top w:val="nil"/>
              <w:left w:val="nil"/>
              <w:bottom w:val="nil"/>
              <w:right w:val="nil"/>
              <w:tl2br w:val="nil"/>
              <w:tr2bl w:val="nil"/>
            </w:tcBorders>
            <w:shd w:val="clear" w:color="auto" w:fill="auto"/>
            <w:vAlign w:val="bottom"/>
          </w:tcPr>
          <w:p w:rsidR="009534E2" w:rsidRDefault="003369EB">
            <w:pPr>
              <w:keepNext/>
              <w:keepLines/>
              <w:spacing w:after="1"/>
              <w:ind w:left="120"/>
              <w:rPr>
                <w:color w:val="000000"/>
              </w:rPr>
            </w:pPr>
            <w:bookmarkStart w:name="_da9c6905_b2dc_4851_8c88_e625fa503140" w:id="1497"/>
            <w:bookmarkEnd w:id="1496"/>
            <w:r>
              <w:rPr>
                <w:rFonts w:ascii="Times New Roman" w:hAnsi="Times New Roman" w:eastAsia="Times New Roman" w:cs="Times New Roman"/>
                <w:color w:val="000000"/>
              </w:rPr>
              <w:t>Loss from sale of Sovest loans’ portfolio</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single" w:color="000000" w:sz="4" w:space="0"/>
              <w:left w:val="nil"/>
              <w:bottom w:val="nil"/>
              <w:right w:val="nil"/>
              <w:tl2br w:val="nil"/>
              <w:tr2bl w:val="nil"/>
            </w:tcBorders>
            <w:shd w:val="clear" w:color="auto" w:fill="auto"/>
            <w:noWrap/>
            <w:vAlign w:val="bottom"/>
          </w:tcPr>
          <w:p w:rsidR="009534E2" w:rsidRDefault="003369EB">
            <w:pPr>
              <w:keepNext/>
              <w:keepLines/>
              <w:spacing w:after="1"/>
              <w:ind w:right="60"/>
              <w:jc w:val="right"/>
              <w:rPr>
                <w:color w:val="000000"/>
              </w:rPr>
            </w:pPr>
            <w:r>
              <w:rPr>
                <w:rFonts w:ascii="Times New Roman" w:hAnsi="Times New Roman" w:eastAsia="Times New Roman" w:cs="Times New Roman"/>
                <w:color w:val="000000"/>
              </w:rPr>
              <w:t xml:space="preserve"> —</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single" w:color="000000" w:sz="4" w:space="0"/>
              <w:left w:val="nil"/>
              <w:bottom w:val="nil"/>
              <w:right w:val="nil"/>
              <w:tl2br w:val="nil"/>
              <w:tr2bl w:val="nil"/>
            </w:tcBorders>
            <w:shd w:val="clear" w:color="auto" w:fill="auto"/>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(712)</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6" w:type="pct"/>
            <w:tcBorders>
              <w:top w:val="single" w:color="000000" w:sz="4" w:space="0"/>
              <w:left w:val="nil"/>
              <w:bottom w:val="nil"/>
              <w:right w:val="nil"/>
              <w:tl2br w:val="nil"/>
              <w:tr2bl w:val="nil"/>
            </w:tcBorders>
            <w:shd w:val="clear" w:color="auto" w:fill="auto"/>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(712)</w:t>
            </w:r>
          </w:p>
        </w:tc>
        <w:tc>
          <w:tcPr>
            <w:tcW w:w="36" w:type="pct"/>
            <w:tcBorders>
              <w:top w:val="nil"/>
              <w:left w:val="nil"/>
              <w:bottom w:val="nil"/>
              <w:right w:val="nil"/>
              <w:tl2br w:val="nil"/>
              <w:tr2bl w:val="nil"/>
            </w:tcBorders>
            <w:shd w:val="clear" w:color="auto" w:fill="auto"/>
            <w:noWrap/>
            <w:vAlign w:val="bottom"/>
          </w:tcPr>
          <w:p w:rsidR="009534E2" w:rsidRDefault="009534E2">
            <w:pPr>
              <w:keepNext/>
              <w:keepLines/>
              <w:spacing w:after="1"/>
              <w:rPr>
                <w:color w:val="000000"/>
              </w:rPr>
            </w:pPr>
          </w:p>
        </w:tc>
      </w:tr>
      <w:tr w:rsidR="009534E2">
        <w:tc>
          <w:tcPr>
            <w:tcW w:w="3172" w:type="pct"/>
            <w:tcBorders>
              <w:top w:val="nil"/>
              <w:left w:val="nil"/>
              <w:bottom w:val="nil"/>
              <w:right w:val="nil"/>
              <w:tl2br w:val="nil"/>
              <w:tr2bl w:val="nil"/>
            </w:tcBorders>
            <w:shd w:val="clear" w:color="auto" w:fill="CCEEFF"/>
            <w:vAlign w:val="bottom"/>
          </w:tcPr>
          <w:p w:rsidR="009534E2" w:rsidRDefault="003369EB">
            <w:pPr>
              <w:keepNext/>
              <w:keepLines/>
              <w:spacing w:after="1"/>
              <w:ind w:left="120"/>
              <w:rPr>
                <w:color w:val="000000"/>
              </w:rPr>
            </w:pPr>
            <w:bookmarkStart w:name="_c06466da_b9c8_4906_93b1_3a4d0daebeac" w:id="1498"/>
            <w:bookmarkEnd w:id="1497"/>
            <w:r>
              <w:rPr>
                <w:rFonts w:ascii="Times New Roman" w:hAnsi="Times New Roman" w:eastAsia="Times New Roman" w:cs="Times New Roman"/>
                <w:color w:val="000000"/>
              </w:rPr>
              <w:t>Foreign exchange gain and loss, net</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nil"/>
              <w:left w:val="nil"/>
              <w:bottom w:val="nil"/>
              <w:right w:val="nil"/>
              <w:tl2br w:val="nil"/>
              <w:tr2bl w:val="nil"/>
            </w:tcBorders>
            <w:shd w:val="clear" w:color="auto" w:fill="CCEEFF"/>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(25)</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nil"/>
              <w:left w:val="nil"/>
              <w:bottom w:val="nil"/>
              <w:right w:val="nil"/>
              <w:tl2br w:val="nil"/>
              <w:tr2bl w:val="nil"/>
            </w:tcBorders>
            <w:shd w:val="clear" w:color="auto" w:fill="CCEEFF"/>
            <w:noWrap/>
            <w:vAlign w:val="bottom"/>
          </w:tcPr>
          <w:p w:rsidR="009534E2" w:rsidRDefault="003369EB">
            <w:pPr>
              <w:keepNext/>
              <w:keepLines/>
              <w:spacing w:after="1"/>
              <w:ind w:right="60"/>
              <w:jc w:val="right"/>
              <w:rPr>
                <w:color w:val="000000"/>
              </w:rPr>
            </w:pPr>
            <w:r>
              <w:rPr>
                <w:rFonts w:ascii="Times New Roman" w:hAnsi="Times New Roman" w:eastAsia="Times New Roman" w:cs="Times New Roman"/>
                <w:color w:val="000000"/>
              </w:rPr>
              <w:t xml:space="preserve"> —</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6" w:type="pct"/>
            <w:tcBorders>
              <w:top w:val="nil"/>
              <w:left w:val="nil"/>
              <w:bottom w:val="nil"/>
              <w:right w:val="nil"/>
              <w:tl2br w:val="nil"/>
              <w:tr2bl w:val="nil"/>
            </w:tcBorders>
            <w:shd w:val="clear" w:color="auto" w:fill="CCEEFF"/>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(25)</w:t>
            </w:r>
          </w:p>
        </w:tc>
        <w:tc>
          <w:tcPr>
            <w:tcW w:w="36" w:type="pct"/>
            <w:tcBorders>
              <w:top w:val="nil"/>
              <w:left w:val="nil"/>
              <w:bottom w:val="nil"/>
              <w:right w:val="nil"/>
              <w:tl2br w:val="nil"/>
              <w:tr2bl w:val="nil"/>
            </w:tcBorders>
            <w:shd w:val="clear" w:color="auto" w:fill="CCEEFF"/>
            <w:noWrap/>
            <w:vAlign w:val="bottom"/>
          </w:tcPr>
          <w:p w:rsidR="009534E2" w:rsidRDefault="009534E2">
            <w:pPr>
              <w:keepNext/>
              <w:keepLines/>
              <w:spacing w:after="1"/>
              <w:rPr>
                <w:color w:val="000000"/>
              </w:rPr>
            </w:pPr>
          </w:p>
        </w:tc>
      </w:tr>
      <w:tr w:rsidR="009534E2">
        <w:tc>
          <w:tcPr>
            <w:tcW w:w="3172" w:type="pct"/>
            <w:tcBorders>
              <w:top w:val="nil"/>
              <w:left w:val="nil"/>
              <w:bottom w:val="nil"/>
              <w:right w:val="nil"/>
              <w:tl2br w:val="nil"/>
              <w:tr2bl w:val="nil"/>
            </w:tcBorders>
            <w:shd w:val="clear" w:color="auto" w:fill="auto"/>
            <w:vAlign w:val="bottom"/>
          </w:tcPr>
          <w:p w:rsidR="009534E2" w:rsidRDefault="003369EB">
            <w:pPr>
              <w:keepNext/>
              <w:keepLines/>
              <w:spacing w:after="1"/>
              <w:ind w:left="120"/>
              <w:rPr>
                <w:color w:val="000000"/>
              </w:rPr>
            </w:pPr>
            <w:bookmarkStart w:name="_cca4bce9_8279_48b4_9b5a_237064833b13" w:id="1499"/>
            <w:bookmarkEnd w:id="1498"/>
            <w:r>
              <w:rPr>
                <w:rFonts w:ascii="Times New Roman" w:hAnsi="Times New Roman" w:eastAsia="Times New Roman" w:cs="Times New Roman"/>
                <w:color w:val="000000"/>
              </w:rPr>
              <w:t>Interest income and expenses, net</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(25)</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(6)</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6"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(31)</w:t>
            </w:r>
          </w:p>
        </w:tc>
        <w:tc>
          <w:tcPr>
            <w:tcW w:w="36" w:type="pct"/>
            <w:tcBorders>
              <w:top w:val="nil"/>
              <w:left w:val="nil"/>
              <w:bottom w:val="nil"/>
              <w:right w:val="nil"/>
              <w:tl2br w:val="nil"/>
              <w:tr2bl w:val="nil"/>
            </w:tcBorders>
            <w:shd w:val="clear" w:color="auto" w:fill="auto"/>
            <w:noWrap/>
            <w:vAlign w:val="bottom"/>
          </w:tcPr>
          <w:p w:rsidR="009534E2" w:rsidRDefault="009534E2">
            <w:pPr>
              <w:keepNext/>
              <w:keepLines/>
              <w:spacing w:after="1"/>
              <w:rPr>
                <w:color w:val="000000"/>
              </w:rPr>
            </w:pPr>
          </w:p>
        </w:tc>
      </w:tr>
      <w:tr w:rsidR="009534E2">
        <w:tc>
          <w:tcPr>
            <w:tcW w:w="3172" w:type="pct"/>
            <w:tcBorders>
              <w:top w:val="nil"/>
              <w:left w:val="nil"/>
              <w:bottom w:val="nil"/>
              <w:right w:val="nil"/>
              <w:tl2br w:val="nil"/>
              <w:tr2bl w:val="nil"/>
            </w:tcBorders>
            <w:shd w:val="clear" w:color="auto" w:fill="CCEEFF"/>
            <w:vAlign w:val="bottom"/>
          </w:tcPr>
          <w:p w:rsidR="009534E2" w:rsidRDefault="003369EB">
            <w:pPr>
              <w:keepNext/>
              <w:keepLines/>
              <w:spacing w:after="1"/>
              <w:rPr>
                <w:b/>
                <w:color w:val="000000"/>
              </w:rPr>
            </w:pPr>
            <w:bookmarkStart w:name="_423f31af_754c_41d8_85a9_8e2735cea7a6" w:id="1500"/>
            <w:bookmarkEnd w:id="1499"/>
            <w:r>
              <w:rPr>
                <w:rFonts w:ascii="Times New Roman" w:hAnsi="Times New Roman" w:eastAsia="Times New Roman" w:cs="Times New Roman"/>
                <w:b/>
                <w:color w:val="000000"/>
              </w:rPr>
              <w:t>Loss before tax from discontinued operations</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b/>
                <w:color w:val="000000"/>
              </w:rPr>
            </w:pPr>
            <w:r>
              <w:rPr>
                <w:rFonts w:ascii="Times New Roman" w:hAnsi="Times New Roman" w:eastAsia="Times New Roman" w:cs="Times New Roman"/>
                <w:b/>
                <w:color w:val="000000"/>
              </w:rPr>
              <w:t> </w:t>
            </w:r>
          </w:p>
        </w:tc>
        <w:tc>
          <w:tcPr>
            <w:tcW w:w="455" w:type="pct"/>
            <w:tcBorders>
              <w:top w:val="single" w:color="000000" w:sz="4" w:space="0"/>
              <w:left w:val="nil"/>
              <w:bottom w:val="nil"/>
              <w:right w:val="nil"/>
              <w:tl2br w:val="nil"/>
              <w:tr2bl w:val="nil"/>
            </w:tcBorders>
            <w:shd w:val="clear" w:color="auto" w:fill="CCEEFF"/>
            <w:noWrap/>
            <w:vAlign w:val="bottom"/>
          </w:tcPr>
          <w:p w:rsidR="009534E2" w:rsidRDefault="003369EB">
            <w:pPr>
              <w:keepNext/>
              <w:keepLines/>
              <w:spacing w:after="1"/>
              <w:jc w:val="right"/>
              <w:rPr>
                <w:b/>
                <w:color w:val="000000"/>
              </w:rPr>
            </w:pPr>
            <w:r>
              <w:rPr>
                <w:rFonts w:ascii="Times New Roman" w:hAnsi="Times New Roman" w:eastAsia="Times New Roman" w:cs="Times New Roman"/>
                <w:b/>
                <w:color w:val="000000"/>
              </w:rPr>
              <w:t xml:space="preserve"> (964)</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b/>
                <w:color w:val="000000"/>
              </w:rPr>
            </w:pPr>
            <w:r>
              <w:rPr>
                <w:rFonts w:ascii="Times New Roman" w:hAnsi="Times New Roman" w:eastAsia="Times New Roman" w:cs="Times New Roman"/>
                <w:b/>
                <w:color w:val="000000"/>
              </w:rPr>
              <w:t> </w:t>
            </w:r>
          </w:p>
        </w:tc>
        <w:tc>
          <w:tcPr>
            <w:tcW w:w="455" w:type="pct"/>
            <w:tcBorders>
              <w:top w:val="single" w:color="000000" w:sz="4" w:space="0"/>
              <w:left w:val="nil"/>
              <w:bottom w:val="nil"/>
              <w:right w:val="nil"/>
              <w:tl2br w:val="nil"/>
              <w:tr2bl w:val="nil"/>
            </w:tcBorders>
            <w:shd w:val="clear" w:color="auto" w:fill="CCEEFF"/>
            <w:noWrap/>
            <w:vAlign w:val="bottom"/>
          </w:tcPr>
          <w:p w:rsidR="009534E2" w:rsidRDefault="003369EB">
            <w:pPr>
              <w:keepNext/>
              <w:keepLines/>
              <w:spacing w:after="1"/>
              <w:jc w:val="right"/>
              <w:rPr>
                <w:b/>
                <w:color w:val="000000"/>
              </w:rPr>
            </w:pPr>
            <w:r>
              <w:rPr>
                <w:rFonts w:ascii="Times New Roman" w:hAnsi="Times New Roman" w:eastAsia="Times New Roman" w:cs="Times New Roman"/>
                <w:b/>
                <w:color w:val="000000"/>
              </w:rPr>
              <w:t xml:space="preserve"> (1,545)</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b/>
                <w:color w:val="000000"/>
              </w:rPr>
            </w:pPr>
            <w:r>
              <w:rPr>
                <w:rFonts w:ascii="Times New Roman" w:hAnsi="Times New Roman" w:eastAsia="Times New Roman" w:cs="Times New Roman"/>
                <w:b/>
                <w:color w:val="000000"/>
              </w:rPr>
              <w:t> </w:t>
            </w:r>
          </w:p>
        </w:tc>
        <w:tc>
          <w:tcPr>
            <w:tcW w:w="456" w:type="pct"/>
            <w:tcBorders>
              <w:top w:val="single" w:color="000000" w:sz="4" w:space="0"/>
              <w:left w:val="nil"/>
              <w:bottom w:val="nil"/>
              <w:right w:val="nil"/>
              <w:tl2br w:val="nil"/>
              <w:tr2bl w:val="nil"/>
            </w:tcBorders>
            <w:shd w:val="clear" w:color="auto" w:fill="CCEEFF"/>
            <w:noWrap/>
            <w:vAlign w:val="bottom"/>
          </w:tcPr>
          <w:p w:rsidR="009534E2" w:rsidRDefault="003369EB">
            <w:pPr>
              <w:keepNext/>
              <w:keepLines/>
              <w:spacing w:after="1"/>
              <w:jc w:val="right"/>
              <w:rPr>
                <w:b/>
                <w:color w:val="000000"/>
              </w:rPr>
            </w:pPr>
            <w:r>
              <w:rPr>
                <w:rFonts w:ascii="Times New Roman" w:hAnsi="Times New Roman" w:eastAsia="Times New Roman" w:cs="Times New Roman"/>
                <w:b/>
                <w:color w:val="000000"/>
              </w:rPr>
              <w:t xml:space="preserve"> (2,509)</w:t>
            </w:r>
          </w:p>
        </w:tc>
        <w:tc>
          <w:tcPr>
            <w:tcW w:w="36" w:type="pct"/>
            <w:tcBorders>
              <w:top w:val="nil"/>
              <w:left w:val="nil"/>
              <w:bottom w:val="nil"/>
              <w:right w:val="nil"/>
              <w:tl2br w:val="nil"/>
              <w:tr2bl w:val="nil"/>
            </w:tcBorders>
            <w:shd w:val="clear" w:color="auto" w:fill="CCEEFF"/>
            <w:noWrap/>
            <w:vAlign w:val="bottom"/>
          </w:tcPr>
          <w:p w:rsidR="009534E2" w:rsidRDefault="009534E2">
            <w:pPr>
              <w:keepNext/>
              <w:keepLines/>
              <w:spacing w:after="1"/>
              <w:rPr>
                <w:color w:val="000000"/>
              </w:rPr>
            </w:pPr>
          </w:p>
        </w:tc>
      </w:tr>
      <w:tr w:rsidR="009534E2">
        <w:tc>
          <w:tcPr>
            <w:tcW w:w="3172" w:type="pct"/>
            <w:tcBorders>
              <w:top w:val="nil"/>
              <w:left w:val="nil"/>
              <w:bottom w:val="nil"/>
              <w:right w:val="nil"/>
              <w:tl2br w:val="nil"/>
              <w:tr2bl w:val="nil"/>
            </w:tcBorders>
            <w:shd w:val="clear" w:color="auto" w:fill="auto"/>
            <w:vAlign w:val="bottom"/>
          </w:tcPr>
          <w:p w:rsidR="009534E2" w:rsidRDefault="003369EB">
            <w:pPr>
              <w:keepNext/>
              <w:keepLines/>
              <w:spacing w:after="1"/>
              <w:ind w:left="120"/>
              <w:rPr>
                <w:color w:val="000000"/>
              </w:rPr>
            </w:pPr>
            <w:bookmarkStart w:name="_87713aa3_1568_4c3b_a780_b00b45feabc1" w:id="1501"/>
            <w:bookmarkEnd w:id="1500"/>
            <w:r>
              <w:rPr>
                <w:rFonts w:ascii="Times New Roman" w:hAnsi="Times New Roman" w:eastAsia="Times New Roman" w:cs="Times New Roman"/>
                <w:color w:val="000000"/>
              </w:rPr>
              <w:t>Income tax benefit</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spacing w:after="1"/>
              <w:ind w:right="60"/>
              <w:jc w:val="right"/>
              <w:rPr>
                <w:color w:val="000000"/>
              </w:rPr>
            </w:pPr>
            <w:r>
              <w:rPr>
                <w:rFonts w:ascii="Times New Roman" w:hAnsi="Times New Roman" w:eastAsia="Times New Roman" w:cs="Times New Roman"/>
                <w:color w:val="000000"/>
              </w:rPr>
              <w:t xml:space="preserve"> 138</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5"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spacing w:after="1"/>
              <w:ind w:right="60"/>
              <w:jc w:val="right"/>
              <w:rPr>
                <w:color w:val="000000"/>
              </w:rPr>
            </w:pPr>
            <w:r>
              <w:rPr>
                <w:rFonts w:ascii="Times New Roman" w:hAnsi="Times New Roman" w:eastAsia="Times New Roman" w:cs="Times New Roman"/>
                <w:color w:val="000000"/>
              </w:rPr>
              <w:t xml:space="preserve"> 63</w:t>
            </w: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6"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spacing w:after="1"/>
              <w:ind w:right="60"/>
              <w:jc w:val="right"/>
              <w:rPr>
                <w:color w:val="000000"/>
              </w:rPr>
            </w:pPr>
            <w:r>
              <w:rPr>
                <w:rFonts w:ascii="Times New Roman" w:hAnsi="Times New Roman" w:eastAsia="Times New Roman" w:cs="Times New Roman"/>
                <w:color w:val="000000"/>
              </w:rPr>
              <w:t>201</w:t>
            </w:r>
          </w:p>
        </w:tc>
        <w:tc>
          <w:tcPr>
            <w:tcW w:w="36" w:type="pct"/>
            <w:tcBorders>
              <w:top w:val="nil"/>
              <w:left w:val="nil"/>
              <w:bottom w:val="nil"/>
              <w:right w:val="nil"/>
              <w:tl2br w:val="nil"/>
              <w:tr2bl w:val="nil"/>
            </w:tcBorders>
            <w:shd w:val="clear" w:color="auto" w:fill="auto"/>
            <w:noWrap/>
            <w:vAlign w:val="bottom"/>
          </w:tcPr>
          <w:p w:rsidR="009534E2" w:rsidRDefault="009534E2">
            <w:pPr>
              <w:keepNext/>
              <w:keepLines/>
              <w:spacing w:after="1"/>
              <w:rPr>
                <w:color w:val="000000"/>
              </w:rPr>
            </w:pPr>
          </w:p>
        </w:tc>
      </w:tr>
      <w:tr w:rsidR="009534E2">
        <w:tc>
          <w:tcPr>
            <w:tcW w:w="3172" w:type="pct"/>
            <w:tcBorders>
              <w:top w:val="nil"/>
              <w:left w:val="nil"/>
              <w:bottom w:val="nil"/>
              <w:right w:val="nil"/>
              <w:tl2br w:val="nil"/>
              <w:tr2bl w:val="nil"/>
            </w:tcBorders>
            <w:shd w:val="clear" w:color="auto" w:fill="CCEEFF"/>
            <w:vAlign w:val="bottom"/>
          </w:tcPr>
          <w:p w:rsidR="009534E2" w:rsidRDefault="003369EB">
            <w:pPr>
              <w:keepNext/>
              <w:keepLines/>
              <w:spacing w:after="1"/>
              <w:rPr>
                <w:b/>
                <w:color w:val="000000"/>
              </w:rPr>
            </w:pPr>
            <w:bookmarkStart w:name="_4eb0658a_09f3_4a42_9c80_4c048a0b22a7" w:id="1502"/>
            <w:bookmarkEnd w:id="1501"/>
            <w:r>
              <w:rPr>
                <w:rFonts w:ascii="Times New Roman" w:hAnsi="Times New Roman" w:eastAsia="Times New Roman" w:cs="Times New Roman"/>
                <w:b/>
                <w:color w:val="000000"/>
              </w:rPr>
              <w:t>Net loss from discontinued operations</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b/>
                <w:color w:val="000000"/>
              </w:rPr>
            </w:pPr>
            <w:r>
              <w:rPr>
                <w:rFonts w:ascii="Times New Roman" w:hAnsi="Times New Roman" w:eastAsia="Times New Roman" w:cs="Times New Roman"/>
                <w:b/>
                <w:color w:val="000000"/>
              </w:rPr>
              <w:t> </w:t>
            </w:r>
          </w:p>
        </w:tc>
        <w:tc>
          <w:tcPr>
            <w:tcW w:w="455" w:type="pct"/>
            <w:tcBorders>
              <w:top w:val="single" w:color="000000" w:sz="4" w:space="0"/>
              <w:left w:val="nil"/>
              <w:bottom w:val="single" w:color="000000" w:sz="4" w:space="0"/>
              <w:right w:val="nil"/>
              <w:tl2br w:val="nil"/>
              <w:tr2bl w:val="nil"/>
            </w:tcBorders>
            <w:shd w:val="clear" w:color="auto" w:fill="CCEEFF"/>
            <w:noWrap/>
            <w:vAlign w:val="bottom"/>
          </w:tcPr>
          <w:p w:rsidR="009534E2" w:rsidRDefault="003369EB">
            <w:pPr>
              <w:keepNext/>
              <w:keepLines/>
              <w:spacing w:after="1"/>
              <w:jc w:val="right"/>
              <w:rPr>
                <w:b/>
                <w:color w:val="000000"/>
              </w:rPr>
            </w:pPr>
            <w:r>
              <w:rPr>
                <w:rFonts w:ascii="Times New Roman" w:hAnsi="Times New Roman" w:eastAsia="Times New Roman" w:cs="Times New Roman"/>
                <w:b/>
                <w:color w:val="000000"/>
              </w:rPr>
              <w:t xml:space="preserve"> (826)</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b/>
                <w:color w:val="000000"/>
              </w:rPr>
            </w:pPr>
            <w:r>
              <w:rPr>
                <w:rFonts w:ascii="Times New Roman" w:hAnsi="Times New Roman" w:eastAsia="Times New Roman" w:cs="Times New Roman"/>
                <w:b/>
                <w:color w:val="000000"/>
              </w:rPr>
              <w:t> </w:t>
            </w:r>
          </w:p>
        </w:tc>
        <w:tc>
          <w:tcPr>
            <w:tcW w:w="455" w:type="pct"/>
            <w:tcBorders>
              <w:top w:val="single" w:color="000000" w:sz="4" w:space="0"/>
              <w:left w:val="nil"/>
              <w:bottom w:val="single" w:color="000000" w:sz="4" w:space="0"/>
              <w:right w:val="nil"/>
              <w:tl2br w:val="nil"/>
              <w:tr2bl w:val="nil"/>
            </w:tcBorders>
            <w:shd w:val="clear" w:color="auto" w:fill="CCEEFF"/>
            <w:noWrap/>
            <w:vAlign w:val="bottom"/>
          </w:tcPr>
          <w:p w:rsidR="009534E2" w:rsidRDefault="003369EB">
            <w:pPr>
              <w:keepNext/>
              <w:keepLines/>
              <w:spacing w:after="1"/>
              <w:jc w:val="right"/>
              <w:rPr>
                <w:b/>
                <w:color w:val="000000"/>
              </w:rPr>
            </w:pPr>
            <w:r>
              <w:rPr>
                <w:rFonts w:ascii="Times New Roman" w:hAnsi="Times New Roman" w:eastAsia="Times New Roman" w:cs="Times New Roman"/>
                <w:b/>
                <w:color w:val="000000"/>
              </w:rPr>
              <w:t xml:space="preserve"> (1,482)</w:t>
            </w: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b/>
                <w:color w:val="000000"/>
              </w:rPr>
            </w:pPr>
            <w:r>
              <w:rPr>
                <w:rFonts w:ascii="Times New Roman" w:hAnsi="Times New Roman" w:eastAsia="Times New Roman" w:cs="Times New Roman"/>
                <w:b/>
                <w:color w:val="000000"/>
              </w:rPr>
              <w:t> </w:t>
            </w:r>
          </w:p>
        </w:tc>
        <w:tc>
          <w:tcPr>
            <w:tcW w:w="456" w:type="pct"/>
            <w:tcBorders>
              <w:top w:val="single" w:color="000000" w:sz="4" w:space="0"/>
              <w:left w:val="nil"/>
              <w:bottom w:val="single" w:color="000000" w:sz="4" w:space="0"/>
              <w:right w:val="nil"/>
              <w:tl2br w:val="nil"/>
              <w:tr2bl w:val="nil"/>
            </w:tcBorders>
            <w:shd w:val="clear" w:color="auto" w:fill="CCEEFF"/>
            <w:noWrap/>
            <w:vAlign w:val="bottom"/>
          </w:tcPr>
          <w:p w:rsidR="009534E2" w:rsidRDefault="003369EB">
            <w:pPr>
              <w:keepNext/>
              <w:keepLines/>
              <w:spacing w:after="1"/>
              <w:jc w:val="right"/>
              <w:rPr>
                <w:b/>
                <w:color w:val="000000"/>
              </w:rPr>
            </w:pPr>
            <w:r>
              <w:rPr>
                <w:rFonts w:ascii="Times New Roman" w:hAnsi="Times New Roman" w:eastAsia="Times New Roman" w:cs="Times New Roman"/>
                <w:b/>
                <w:color w:val="000000"/>
              </w:rPr>
              <w:t xml:space="preserve"> (2,308)</w:t>
            </w:r>
          </w:p>
        </w:tc>
        <w:tc>
          <w:tcPr>
            <w:tcW w:w="36" w:type="pct"/>
            <w:tcBorders>
              <w:top w:val="nil"/>
              <w:left w:val="nil"/>
              <w:bottom w:val="nil"/>
              <w:right w:val="nil"/>
              <w:tl2br w:val="nil"/>
              <w:tr2bl w:val="nil"/>
            </w:tcBorders>
            <w:shd w:val="clear" w:color="auto" w:fill="CCEEFF"/>
            <w:noWrap/>
            <w:vAlign w:val="bottom"/>
          </w:tcPr>
          <w:p w:rsidR="009534E2" w:rsidRDefault="009534E2">
            <w:pPr>
              <w:keepNext/>
              <w:keepLines/>
              <w:spacing w:after="1"/>
              <w:rPr>
                <w:color w:val="000000"/>
              </w:rPr>
            </w:pPr>
          </w:p>
        </w:tc>
      </w:tr>
      <w:tr w:rsidR="009534E2">
        <w:tc>
          <w:tcPr>
            <w:tcW w:w="3172" w:type="pct"/>
            <w:tcBorders>
              <w:top w:val="nil"/>
              <w:left w:val="nil"/>
              <w:bottom w:val="nil"/>
              <w:right w:val="nil"/>
              <w:tl2br w:val="nil"/>
              <w:tr2bl w:val="nil"/>
            </w:tcBorders>
            <w:shd w:val="clear" w:color="auto" w:fill="auto"/>
            <w:vAlign w:val="bottom"/>
          </w:tcPr>
          <w:p w:rsidR="009534E2" w:rsidRDefault="009534E2">
            <w:pPr>
              <w:keepNext/>
              <w:keepLines/>
              <w:spacing w:after="1"/>
              <w:rPr>
                <w:b/>
                <w:color w:val="000000"/>
                <w:sz w:val="16"/>
              </w:rPr>
            </w:pPr>
            <w:bookmarkStart w:name="_29f1e2c9_f0b7_41a9_a1c7_0f05f95c260f" w:id="1503"/>
            <w:bookmarkEnd w:id="1502"/>
          </w:p>
        </w:tc>
        <w:tc>
          <w:tcPr>
            <w:tcW w:w="142" w:type="pct"/>
            <w:tcBorders>
              <w:top w:val="nil"/>
              <w:left w:val="nil"/>
              <w:bottom w:val="nil"/>
              <w:right w:val="nil"/>
              <w:tl2br w:val="nil"/>
              <w:tr2bl w:val="nil"/>
            </w:tcBorders>
            <w:shd w:val="clear" w:color="auto" w:fill="auto"/>
            <w:noWrap/>
            <w:vAlign w:val="bottom"/>
          </w:tcPr>
          <w:p w:rsidR="009534E2" w:rsidRDefault="009534E2">
            <w:pPr>
              <w:keepNext/>
              <w:keepLines/>
              <w:spacing w:after="1"/>
              <w:rPr>
                <w:color w:val="000000"/>
                <w:sz w:val="16"/>
              </w:rPr>
            </w:pPr>
          </w:p>
        </w:tc>
        <w:tc>
          <w:tcPr>
            <w:tcW w:w="455" w:type="pct"/>
            <w:tcBorders>
              <w:top w:val="single" w:color="000000" w:sz="4" w:space="0"/>
              <w:left w:val="nil"/>
              <w:bottom w:val="nil"/>
              <w:right w:val="nil"/>
              <w:tl2br w:val="nil"/>
              <w:tr2bl w:val="nil"/>
            </w:tcBorders>
            <w:shd w:val="clear" w:color="auto" w:fill="auto"/>
            <w:noWrap/>
            <w:vAlign w:val="bottom"/>
          </w:tcPr>
          <w:p w:rsidR="009534E2" w:rsidRDefault="009534E2">
            <w:pPr>
              <w:keepNext/>
              <w:keepLines/>
              <w:spacing w:after="1"/>
              <w:jc w:val="right"/>
              <w:rPr>
                <w:color w:val="000000"/>
                <w:sz w:val="16"/>
              </w:rPr>
            </w:pPr>
          </w:p>
        </w:tc>
        <w:tc>
          <w:tcPr>
            <w:tcW w:w="142" w:type="pct"/>
            <w:tcBorders>
              <w:top w:val="nil"/>
              <w:left w:val="nil"/>
              <w:bottom w:val="nil"/>
              <w:right w:val="nil"/>
              <w:tl2br w:val="nil"/>
              <w:tr2bl w:val="nil"/>
            </w:tcBorders>
            <w:shd w:val="clear" w:color="auto" w:fill="auto"/>
            <w:noWrap/>
            <w:vAlign w:val="bottom"/>
          </w:tcPr>
          <w:p w:rsidR="009534E2" w:rsidRDefault="009534E2">
            <w:pPr>
              <w:keepNext/>
              <w:keepLines/>
              <w:spacing w:after="1"/>
              <w:rPr>
                <w:color w:val="000000"/>
                <w:sz w:val="16"/>
              </w:rPr>
            </w:pPr>
          </w:p>
        </w:tc>
        <w:tc>
          <w:tcPr>
            <w:tcW w:w="455" w:type="pct"/>
            <w:tcBorders>
              <w:top w:val="single" w:color="000000" w:sz="4" w:space="0"/>
              <w:left w:val="nil"/>
              <w:bottom w:val="nil"/>
              <w:right w:val="nil"/>
              <w:tl2br w:val="nil"/>
              <w:tr2bl w:val="nil"/>
            </w:tcBorders>
            <w:shd w:val="clear" w:color="auto" w:fill="auto"/>
            <w:noWrap/>
            <w:vAlign w:val="bottom"/>
          </w:tcPr>
          <w:p w:rsidR="009534E2" w:rsidRDefault="009534E2">
            <w:pPr>
              <w:keepNext/>
              <w:keepLines/>
              <w:spacing w:after="1"/>
              <w:jc w:val="right"/>
              <w:rPr>
                <w:color w:val="000000"/>
                <w:sz w:val="16"/>
              </w:rPr>
            </w:pPr>
          </w:p>
        </w:tc>
        <w:tc>
          <w:tcPr>
            <w:tcW w:w="142" w:type="pct"/>
            <w:tcBorders>
              <w:top w:val="nil"/>
              <w:left w:val="nil"/>
              <w:bottom w:val="nil"/>
              <w:right w:val="nil"/>
              <w:tl2br w:val="nil"/>
              <w:tr2bl w:val="nil"/>
            </w:tcBorders>
            <w:shd w:val="clear" w:color="auto" w:fill="auto"/>
            <w:noWrap/>
            <w:vAlign w:val="bottom"/>
          </w:tcPr>
          <w:p w:rsidR="009534E2" w:rsidRDefault="009534E2">
            <w:pPr>
              <w:keepNext/>
              <w:keepLines/>
              <w:spacing w:after="1"/>
              <w:rPr>
                <w:color w:val="000000"/>
                <w:sz w:val="16"/>
              </w:rPr>
            </w:pPr>
          </w:p>
        </w:tc>
        <w:tc>
          <w:tcPr>
            <w:tcW w:w="456" w:type="pct"/>
            <w:tcBorders>
              <w:top w:val="single" w:color="000000" w:sz="4" w:space="0"/>
              <w:left w:val="nil"/>
              <w:bottom w:val="nil"/>
              <w:right w:val="nil"/>
              <w:tl2br w:val="nil"/>
              <w:tr2bl w:val="nil"/>
            </w:tcBorders>
            <w:shd w:val="clear" w:color="auto" w:fill="auto"/>
            <w:noWrap/>
            <w:vAlign w:val="bottom"/>
          </w:tcPr>
          <w:p w:rsidR="009534E2" w:rsidRDefault="009534E2">
            <w:pPr>
              <w:keepNext/>
              <w:keepLines/>
              <w:spacing w:after="1"/>
              <w:rPr>
                <w:color w:val="000000"/>
                <w:sz w:val="16"/>
              </w:rPr>
            </w:pPr>
          </w:p>
        </w:tc>
        <w:tc>
          <w:tcPr>
            <w:tcW w:w="36" w:type="pct"/>
            <w:tcBorders>
              <w:top w:val="nil"/>
              <w:left w:val="nil"/>
              <w:bottom w:val="nil"/>
              <w:right w:val="nil"/>
              <w:tl2br w:val="nil"/>
              <w:tr2bl w:val="nil"/>
            </w:tcBorders>
            <w:shd w:val="clear" w:color="auto" w:fill="auto"/>
            <w:noWrap/>
            <w:vAlign w:val="bottom"/>
          </w:tcPr>
          <w:p w:rsidR="009534E2" w:rsidRDefault="009534E2">
            <w:pPr>
              <w:keepNext/>
              <w:keepLines/>
              <w:spacing w:after="1"/>
              <w:rPr>
                <w:color w:val="000000"/>
                <w:sz w:val="16"/>
              </w:rPr>
            </w:pPr>
          </w:p>
        </w:tc>
      </w:tr>
      <w:tr w:rsidR="009534E2">
        <w:tc>
          <w:tcPr>
            <w:tcW w:w="3172" w:type="pct"/>
            <w:tcBorders>
              <w:top w:val="nil"/>
              <w:left w:val="nil"/>
              <w:bottom w:val="nil"/>
              <w:right w:val="nil"/>
              <w:tl2br w:val="nil"/>
              <w:tr2bl w:val="nil"/>
            </w:tcBorders>
            <w:shd w:val="clear" w:color="auto" w:fill="CCEEFF"/>
            <w:vAlign w:val="bottom"/>
          </w:tcPr>
          <w:p w:rsidR="009534E2" w:rsidRDefault="003369EB">
            <w:pPr>
              <w:keepNext/>
              <w:keepLines/>
              <w:spacing w:after="1"/>
              <w:rPr>
                <w:b/>
                <w:color w:val="000000"/>
              </w:rPr>
            </w:pPr>
            <w:bookmarkStart w:name="_7e6aa901_c3c3_426d_a5a5_1651065f3f14" w:id="1504"/>
            <w:bookmarkEnd w:id="1503"/>
            <w:r>
              <w:rPr>
                <w:rFonts w:ascii="Times New Roman" w:hAnsi="Times New Roman" w:eastAsia="Times New Roman" w:cs="Times New Roman"/>
                <w:b/>
                <w:color w:val="000000"/>
              </w:rPr>
              <w:t>Earnings per share for discontinued operations</w:t>
            </w:r>
          </w:p>
        </w:tc>
        <w:tc>
          <w:tcPr>
            <w:tcW w:w="142" w:type="pct"/>
            <w:tcBorders>
              <w:top w:val="nil"/>
              <w:left w:val="nil"/>
              <w:bottom w:val="nil"/>
              <w:right w:val="nil"/>
              <w:tl2br w:val="nil"/>
              <w:tr2bl w:val="nil"/>
            </w:tcBorders>
            <w:shd w:val="clear" w:color="auto" w:fill="CCEEFF"/>
            <w:noWrap/>
            <w:vAlign w:val="bottom"/>
          </w:tcPr>
          <w:p w:rsidR="009534E2" w:rsidRDefault="009534E2">
            <w:pPr>
              <w:keepNext/>
              <w:keepLines/>
              <w:spacing w:after="1"/>
              <w:rPr>
                <w:color w:val="000000"/>
              </w:rPr>
            </w:pPr>
          </w:p>
        </w:tc>
        <w:tc>
          <w:tcPr>
            <w:tcW w:w="455" w:type="pct"/>
            <w:tcBorders>
              <w:top w:val="nil"/>
              <w:left w:val="nil"/>
              <w:bottom w:val="nil"/>
              <w:right w:val="nil"/>
              <w:tl2br w:val="nil"/>
              <w:tr2bl w:val="nil"/>
            </w:tcBorders>
            <w:shd w:val="clear" w:color="auto" w:fill="CCEEFF"/>
            <w:noWrap/>
            <w:vAlign w:val="bottom"/>
          </w:tcPr>
          <w:p w:rsidR="009534E2" w:rsidRDefault="009534E2">
            <w:pPr>
              <w:keepNext/>
              <w:keepLines/>
              <w:spacing w:after="1"/>
              <w:jc w:val="right"/>
              <w:rPr>
                <w:color w:val="000000"/>
              </w:rPr>
            </w:pPr>
          </w:p>
        </w:tc>
        <w:tc>
          <w:tcPr>
            <w:tcW w:w="142" w:type="pct"/>
            <w:tcBorders>
              <w:top w:val="nil"/>
              <w:left w:val="nil"/>
              <w:bottom w:val="nil"/>
              <w:right w:val="nil"/>
              <w:tl2br w:val="nil"/>
              <w:tr2bl w:val="nil"/>
            </w:tcBorders>
            <w:shd w:val="clear" w:color="auto" w:fill="CCEEFF"/>
            <w:noWrap/>
            <w:vAlign w:val="bottom"/>
          </w:tcPr>
          <w:p w:rsidR="009534E2" w:rsidRDefault="009534E2">
            <w:pPr>
              <w:keepNext/>
              <w:keepLines/>
              <w:spacing w:after="1"/>
              <w:rPr>
                <w:color w:val="000000"/>
              </w:rPr>
            </w:pPr>
          </w:p>
        </w:tc>
        <w:tc>
          <w:tcPr>
            <w:tcW w:w="455" w:type="pct"/>
            <w:tcBorders>
              <w:top w:val="nil"/>
              <w:left w:val="nil"/>
              <w:bottom w:val="nil"/>
              <w:right w:val="nil"/>
              <w:tl2br w:val="nil"/>
              <w:tr2bl w:val="nil"/>
            </w:tcBorders>
            <w:shd w:val="clear" w:color="auto" w:fill="CCEEFF"/>
            <w:noWrap/>
            <w:vAlign w:val="bottom"/>
          </w:tcPr>
          <w:p w:rsidR="009534E2" w:rsidRDefault="009534E2">
            <w:pPr>
              <w:keepNext/>
              <w:keepLines/>
              <w:spacing w:after="1"/>
              <w:jc w:val="right"/>
              <w:rPr>
                <w:color w:val="000000"/>
              </w:rPr>
            </w:pPr>
          </w:p>
        </w:tc>
        <w:tc>
          <w:tcPr>
            <w:tcW w:w="142" w:type="pct"/>
            <w:tcBorders>
              <w:top w:val="nil"/>
              <w:left w:val="nil"/>
              <w:bottom w:val="nil"/>
              <w:right w:val="nil"/>
              <w:tl2br w:val="nil"/>
              <w:tr2bl w:val="nil"/>
            </w:tcBorders>
            <w:shd w:val="clear" w:color="auto" w:fill="CCEEFF"/>
            <w:noWrap/>
            <w:vAlign w:val="bottom"/>
          </w:tcPr>
          <w:p w:rsidR="009534E2" w:rsidRDefault="009534E2">
            <w:pPr>
              <w:keepNext/>
              <w:keepLines/>
              <w:spacing w:after="1"/>
              <w:rPr>
                <w:color w:val="000000"/>
              </w:rPr>
            </w:pPr>
          </w:p>
        </w:tc>
        <w:tc>
          <w:tcPr>
            <w:tcW w:w="456" w:type="pct"/>
            <w:tcBorders>
              <w:top w:val="nil"/>
              <w:left w:val="nil"/>
              <w:bottom w:val="nil"/>
              <w:right w:val="nil"/>
              <w:tl2br w:val="nil"/>
              <w:tr2bl w:val="nil"/>
            </w:tcBorders>
            <w:shd w:val="clear" w:color="auto" w:fill="CCEEFF"/>
            <w:noWrap/>
            <w:vAlign w:val="bottom"/>
          </w:tcPr>
          <w:p w:rsidR="009534E2" w:rsidRDefault="009534E2">
            <w:pPr>
              <w:keepNext/>
              <w:keepLines/>
              <w:spacing w:after="1"/>
              <w:rPr>
                <w:color w:val="000000"/>
              </w:rPr>
            </w:pPr>
          </w:p>
        </w:tc>
        <w:tc>
          <w:tcPr>
            <w:tcW w:w="36" w:type="pct"/>
            <w:tcBorders>
              <w:top w:val="nil"/>
              <w:left w:val="nil"/>
              <w:bottom w:val="nil"/>
              <w:right w:val="nil"/>
              <w:tl2br w:val="nil"/>
              <w:tr2bl w:val="nil"/>
            </w:tcBorders>
            <w:shd w:val="clear" w:color="auto" w:fill="CCEEFF"/>
            <w:noWrap/>
            <w:vAlign w:val="bottom"/>
          </w:tcPr>
          <w:p w:rsidR="009534E2" w:rsidRDefault="009534E2">
            <w:pPr>
              <w:keepNext/>
              <w:keepLines/>
              <w:spacing w:after="1"/>
              <w:rPr>
                <w:color w:val="000000"/>
                <w:sz w:val="16"/>
              </w:rPr>
            </w:pPr>
          </w:p>
        </w:tc>
      </w:tr>
      <w:tr w:rsidR="009534E2">
        <w:tc>
          <w:tcPr>
            <w:tcW w:w="3172" w:type="pct"/>
            <w:tcBorders>
              <w:top w:val="nil"/>
              <w:left w:val="nil"/>
              <w:bottom w:val="nil"/>
              <w:right w:val="nil"/>
              <w:tl2br w:val="nil"/>
              <w:tr2bl w:val="nil"/>
            </w:tcBorders>
            <w:shd w:val="clear" w:color="auto" w:fill="auto"/>
            <w:vAlign w:val="bottom"/>
          </w:tcPr>
          <w:p w:rsidR="009534E2" w:rsidRDefault="003369EB">
            <w:pPr>
              <w:keepNext/>
              <w:keepLines/>
              <w:spacing w:after="1"/>
              <w:ind w:left="120"/>
              <w:rPr>
                <w:color w:val="000000"/>
              </w:rPr>
            </w:pPr>
            <w:bookmarkStart w:name="_8f8358f8_3795_44bf_b1c2_516f00922d27" w:id="1505"/>
            <w:bookmarkStart w:name="_cc9cc00e_ed13_4561_a327_b86058b4acd4" w:colFirst="6" w:colLast="6" w:id="1506"/>
            <w:bookmarkEnd w:id="1504"/>
            <w:r>
              <w:rPr>
                <w:rFonts w:ascii="Times New Roman" w:hAnsi="Times New Roman" w:eastAsia="Times New Roman" w:cs="Times New Roman"/>
                <w:color w:val="000000"/>
              </w:rPr>
              <w:t>Basic, loss from discontinued operations attributable to ordinary equity holders of the parent</w:t>
            </w:r>
          </w:p>
        </w:tc>
        <w:tc>
          <w:tcPr>
            <w:tcW w:w="142" w:type="pct"/>
            <w:tcBorders>
              <w:top w:val="nil"/>
              <w:left w:val="nil"/>
              <w:bottom w:val="nil"/>
              <w:right w:val="nil"/>
              <w:tl2br w:val="nil"/>
              <w:tr2bl w:val="nil"/>
            </w:tcBorders>
            <w:shd w:val="clear" w:color="auto" w:fill="auto"/>
            <w:noWrap/>
            <w:vAlign w:val="bottom"/>
          </w:tcPr>
          <w:p w:rsidR="009534E2" w:rsidRDefault="009534E2">
            <w:pPr>
              <w:keepNext/>
              <w:keepLines/>
              <w:spacing w:after="1"/>
              <w:rPr>
                <w:color w:val="000000"/>
              </w:rPr>
            </w:pPr>
          </w:p>
        </w:tc>
        <w:tc>
          <w:tcPr>
            <w:tcW w:w="455" w:type="pct"/>
            <w:tcBorders>
              <w:top w:val="nil"/>
              <w:left w:val="nil"/>
              <w:bottom w:val="nil"/>
              <w:right w:val="nil"/>
              <w:tl2br w:val="nil"/>
              <w:tr2bl w:val="nil"/>
            </w:tcBorders>
            <w:shd w:val="clear" w:color="auto" w:fill="auto"/>
            <w:noWrap/>
            <w:vAlign w:val="bottom"/>
          </w:tcPr>
          <w:p w:rsidR="009534E2" w:rsidRDefault="009534E2">
            <w:pPr>
              <w:keepNext/>
              <w:keepLines/>
              <w:spacing w:after="1"/>
              <w:jc w:val="right"/>
              <w:rPr>
                <w:color w:val="000000"/>
              </w:rPr>
            </w:pPr>
          </w:p>
        </w:tc>
        <w:tc>
          <w:tcPr>
            <w:tcW w:w="142" w:type="pct"/>
            <w:tcBorders>
              <w:top w:val="nil"/>
              <w:left w:val="nil"/>
              <w:bottom w:val="nil"/>
              <w:right w:val="nil"/>
              <w:tl2br w:val="nil"/>
              <w:tr2bl w:val="nil"/>
            </w:tcBorders>
            <w:shd w:val="clear" w:color="auto" w:fill="auto"/>
            <w:noWrap/>
            <w:vAlign w:val="bottom"/>
          </w:tcPr>
          <w:p w:rsidR="009534E2" w:rsidRDefault="009534E2">
            <w:pPr>
              <w:keepNext/>
              <w:keepLines/>
              <w:spacing w:after="1"/>
              <w:rPr>
                <w:color w:val="000000"/>
              </w:rPr>
            </w:pPr>
          </w:p>
        </w:tc>
        <w:tc>
          <w:tcPr>
            <w:tcW w:w="455" w:type="pct"/>
            <w:tcBorders>
              <w:top w:val="nil"/>
              <w:left w:val="nil"/>
              <w:bottom w:val="nil"/>
              <w:right w:val="nil"/>
              <w:tl2br w:val="nil"/>
              <w:tr2bl w:val="nil"/>
            </w:tcBorders>
            <w:shd w:val="clear" w:color="auto" w:fill="auto"/>
            <w:noWrap/>
            <w:vAlign w:val="bottom"/>
          </w:tcPr>
          <w:p w:rsidR="009534E2" w:rsidRDefault="009534E2">
            <w:pPr>
              <w:keepNext/>
              <w:keepLines/>
              <w:spacing w:after="1"/>
              <w:jc w:val="right"/>
              <w:rPr>
                <w:color w:val="000000"/>
              </w:rPr>
            </w:pPr>
          </w:p>
        </w:tc>
        <w:tc>
          <w:tcPr>
            <w:tcW w:w="142" w:type="pct"/>
            <w:tcBorders>
              <w:top w:val="nil"/>
              <w:left w:val="nil"/>
              <w:bottom w:val="nil"/>
              <w:right w:val="nil"/>
              <w:tl2br w:val="nil"/>
              <w:tr2bl w:val="nil"/>
            </w:tcBorders>
            <w:shd w:val="clear" w:color="auto" w:fill="auto"/>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6" w:type="pct"/>
            <w:tcBorders>
              <w:top w:val="nil"/>
              <w:left w:val="nil"/>
              <w:bottom w:val="nil"/>
              <w:right w:val="nil"/>
              <w:tl2br w:val="nil"/>
              <w:tr2bl w:val="nil"/>
            </w:tcBorders>
            <w:shd w:val="clear" w:color="auto" w:fill="auto"/>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(37.07)</w:t>
            </w:r>
          </w:p>
        </w:tc>
        <w:tc>
          <w:tcPr>
            <w:tcW w:w="36" w:type="pct"/>
            <w:tcBorders>
              <w:top w:val="nil"/>
              <w:left w:val="nil"/>
              <w:bottom w:val="nil"/>
              <w:right w:val="nil"/>
              <w:tl2br w:val="nil"/>
              <w:tr2bl w:val="nil"/>
            </w:tcBorders>
            <w:shd w:val="clear" w:color="auto" w:fill="auto"/>
            <w:noWrap/>
            <w:vAlign w:val="bottom"/>
          </w:tcPr>
          <w:p w:rsidR="009534E2" w:rsidRDefault="009534E2">
            <w:pPr>
              <w:keepNext/>
              <w:keepLines/>
              <w:spacing w:after="1"/>
              <w:rPr>
                <w:color w:val="000000"/>
                <w:sz w:val="16"/>
              </w:rPr>
            </w:pPr>
          </w:p>
        </w:tc>
      </w:tr>
      <w:tr w:rsidR="009534E2">
        <w:tc>
          <w:tcPr>
            <w:tcW w:w="3172" w:type="pct"/>
            <w:tcBorders>
              <w:top w:val="nil"/>
              <w:left w:val="nil"/>
              <w:bottom w:val="nil"/>
              <w:right w:val="nil"/>
              <w:tl2br w:val="nil"/>
              <w:tr2bl w:val="nil"/>
            </w:tcBorders>
            <w:shd w:val="clear" w:color="auto" w:fill="CCEEFF"/>
            <w:vAlign w:val="bottom"/>
          </w:tcPr>
          <w:p w:rsidR="009534E2" w:rsidRDefault="003369EB">
            <w:pPr>
              <w:keepNext/>
              <w:keepLines/>
              <w:spacing w:after="1"/>
              <w:ind w:left="120"/>
              <w:rPr>
                <w:color w:val="000000"/>
              </w:rPr>
            </w:pPr>
            <w:bookmarkStart w:name="_bad4686b_f72f_40d3_b054_d7ea0dd54640" w:id="1507"/>
            <w:bookmarkStart w:name="_4e0ee383_663b_415f_8a26_c5c4d333d55a" w:colFirst="6" w:colLast="6" w:id="1508"/>
            <w:bookmarkEnd w:id="1505"/>
            <w:bookmarkEnd w:id="1506"/>
            <w:r>
              <w:rPr>
                <w:rFonts w:ascii="Times New Roman" w:hAnsi="Times New Roman" w:eastAsia="Times New Roman" w:cs="Times New Roman"/>
                <w:color w:val="000000"/>
              </w:rPr>
              <w:t>Diluted, loss from discontinued operations attributable to ordinary equity holders of the parent</w:t>
            </w:r>
          </w:p>
        </w:tc>
        <w:tc>
          <w:tcPr>
            <w:tcW w:w="142" w:type="pct"/>
            <w:tcBorders>
              <w:top w:val="nil"/>
              <w:left w:val="nil"/>
              <w:bottom w:val="nil"/>
              <w:right w:val="nil"/>
              <w:tl2br w:val="nil"/>
              <w:tr2bl w:val="nil"/>
            </w:tcBorders>
            <w:shd w:val="clear" w:color="auto" w:fill="CCEEFF"/>
            <w:noWrap/>
            <w:vAlign w:val="bottom"/>
          </w:tcPr>
          <w:p w:rsidR="009534E2" w:rsidRDefault="009534E2">
            <w:pPr>
              <w:keepNext/>
              <w:keepLines/>
              <w:spacing w:after="1"/>
              <w:rPr>
                <w:color w:val="000000"/>
              </w:rPr>
            </w:pPr>
          </w:p>
        </w:tc>
        <w:tc>
          <w:tcPr>
            <w:tcW w:w="455" w:type="pct"/>
            <w:tcBorders>
              <w:top w:val="nil"/>
              <w:left w:val="nil"/>
              <w:bottom w:val="nil"/>
              <w:right w:val="nil"/>
              <w:tl2br w:val="nil"/>
              <w:tr2bl w:val="nil"/>
            </w:tcBorders>
            <w:shd w:val="clear" w:color="auto" w:fill="CCEEFF"/>
            <w:noWrap/>
            <w:vAlign w:val="bottom"/>
          </w:tcPr>
          <w:p w:rsidR="009534E2" w:rsidRDefault="009534E2">
            <w:pPr>
              <w:keepNext/>
              <w:keepLines/>
              <w:spacing w:after="1"/>
              <w:jc w:val="right"/>
              <w:rPr>
                <w:color w:val="000000"/>
              </w:rPr>
            </w:pPr>
          </w:p>
        </w:tc>
        <w:tc>
          <w:tcPr>
            <w:tcW w:w="142" w:type="pct"/>
            <w:tcBorders>
              <w:top w:val="nil"/>
              <w:left w:val="nil"/>
              <w:bottom w:val="nil"/>
              <w:right w:val="nil"/>
              <w:tl2br w:val="nil"/>
              <w:tr2bl w:val="nil"/>
            </w:tcBorders>
            <w:shd w:val="clear" w:color="auto" w:fill="CCEEFF"/>
            <w:noWrap/>
            <w:vAlign w:val="bottom"/>
          </w:tcPr>
          <w:p w:rsidR="009534E2" w:rsidRDefault="009534E2">
            <w:pPr>
              <w:keepNext/>
              <w:keepLines/>
              <w:spacing w:after="1"/>
              <w:rPr>
                <w:color w:val="000000"/>
              </w:rPr>
            </w:pPr>
          </w:p>
        </w:tc>
        <w:tc>
          <w:tcPr>
            <w:tcW w:w="455" w:type="pct"/>
            <w:tcBorders>
              <w:top w:val="nil"/>
              <w:left w:val="nil"/>
              <w:bottom w:val="nil"/>
              <w:right w:val="nil"/>
              <w:tl2br w:val="nil"/>
              <w:tr2bl w:val="nil"/>
            </w:tcBorders>
            <w:shd w:val="clear" w:color="auto" w:fill="CCEEFF"/>
            <w:noWrap/>
            <w:vAlign w:val="bottom"/>
          </w:tcPr>
          <w:p w:rsidR="009534E2" w:rsidRDefault="009534E2">
            <w:pPr>
              <w:keepNext/>
              <w:keepLines/>
              <w:spacing w:after="1"/>
              <w:jc w:val="right"/>
              <w:rPr>
                <w:color w:val="000000"/>
              </w:rPr>
            </w:pPr>
          </w:p>
        </w:tc>
        <w:tc>
          <w:tcPr>
            <w:tcW w:w="142" w:type="pct"/>
            <w:tcBorders>
              <w:top w:val="nil"/>
              <w:left w:val="nil"/>
              <w:bottom w:val="nil"/>
              <w:right w:val="nil"/>
              <w:tl2br w:val="nil"/>
              <w:tr2bl w:val="nil"/>
            </w:tcBorders>
            <w:shd w:val="clear" w:color="auto" w:fill="CCEEFF"/>
            <w:noWrap/>
            <w:vAlign w:val="bottom"/>
          </w:tcPr>
          <w:p w:rsidR="009534E2" w:rsidRDefault="003369EB">
            <w:pPr>
              <w:keepNext/>
              <w:keepLines/>
              <w:spacing w:after="1"/>
              <w:rPr>
                <w:color w:val="000000"/>
              </w:rPr>
            </w:pPr>
            <w:r>
              <w:rPr>
                <w:rFonts w:ascii="Times New Roman" w:hAnsi="Times New Roman" w:eastAsia="Times New Roman" w:cs="Times New Roman"/>
                <w:color w:val="000000"/>
              </w:rPr>
              <w:t> </w:t>
            </w:r>
          </w:p>
        </w:tc>
        <w:tc>
          <w:tcPr>
            <w:tcW w:w="456" w:type="pct"/>
            <w:tcBorders>
              <w:top w:val="nil"/>
              <w:left w:val="nil"/>
              <w:bottom w:val="nil"/>
              <w:right w:val="nil"/>
              <w:tl2br w:val="nil"/>
              <w:tr2bl w:val="nil"/>
            </w:tcBorders>
            <w:shd w:val="clear" w:color="auto" w:fill="CCEEFF"/>
            <w:noWrap/>
            <w:vAlign w:val="bottom"/>
          </w:tcPr>
          <w:p w:rsidR="009534E2" w:rsidRDefault="003369EB">
            <w:pPr>
              <w:keepNext/>
              <w:keepLines/>
              <w:spacing w:after="1"/>
              <w:jc w:val="right"/>
              <w:rPr>
                <w:color w:val="000000"/>
              </w:rPr>
            </w:pPr>
            <w:r>
              <w:rPr>
                <w:rFonts w:ascii="Times New Roman" w:hAnsi="Times New Roman" w:eastAsia="Times New Roman" w:cs="Times New Roman"/>
                <w:color w:val="000000"/>
              </w:rPr>
              <w:t xml:space="preserve"> (36.98)</w:t>
            </w:r>
          </w:p>
        </w:tc>
        <w:tc>
          <w:tcPr>
            <w:tcW w:w="36" w:type="pct"/>
            <w:tcBorders>
              <w:top w:val="nil"/>
              <w:left w:val="nil"/>
              <w:bottom w:val="nil"/>
              <w:right w:val="nil"/>
              <w:tl2br w:val="nil"/>
              <w:tr2bl w:val="nil"/>
            </w:tcBorders>
            <w:shd w:val="clear" w:color="auto" w:fill="CCEEFF"/>
            <w:noWrap/>
            <w:vAlign w:val="bottom"/>
          </w:tcPr>
          <w:p w:rsidR="009534E2" w:rsidRDefault="009534E2">
            <w:pPr>
              <w:keepNext/>
              <w:keepLines/>
              <w:spacing w:after="1"/>
              <w:rPr>
                <w:color w:val="000000"/>
                <w:sz w:val="16"/>
              </w:rPr>
            </w:pPr>
          </w:p>
        </w:tc>
      </w:tr>
    </w:tbl>
    <w:p w:rsidR="009534E2" w:rsidRDefault="00EC0AE1">
      <w:pPr>
        <w:pStyle w:val="BodyText"/>
        <w:spacing w:after="0"/>
        <w:rPr>
          <w:rFonts w:asciiTheme="majorHAnsi" w:hAnsiTheme="majorHAnsi" w:cstheme="majorHAnsi"/>
          <w:sz w:val="2"/>
          <w:lang w:eastAsia="ru-RU"/>
        </w:rPr>
      </w:pPr>
    </w:p>
    <w:bookmarkEnd w:displacedByCustomXml="next" w:id="1508"/>
    <w:bookmarkEnd w:displacedByCustomXml="next" w:id="1507"/>
    <w:bookmarkEnd w:displacedByCustomXml="next" w:id="1486"/>
    <w:bookmarkEnd w:displacedByCustomXml="next" w:id="1485"/>
    <w:bookmarkEnd w:displacedByCustomXml="next" w:id="1483"/>
    <w:p w:rsidR="009534E2" w:rsidRDefault="009534E2">
      <w:pPr>
        <w:rPr>
          <w:rFonts w:eastAsia="Times New Roman" w:asciiTheme="majorHAnsi" w:hAnsiTheme="majorHAnsi" w:cstheme="majorHAnsi"/>
          <w:lang w:eastAsia="ru-RU"/>
        </w:rPr>
      </w:pPr>
    </w:p>
    <w:bookmarkStart w:name="_be57a6af_395b_424a_925b_e33d2f950e73" w:displacedByCustomXml="next" w:id="1509"/>
    <w:bookmarkEnd w:displacedByCustomXml="next" w:id="1509"/>
    <w:p w:rsidR="009534E2" w:rsidRDefault="003369EB">
      <w:pPr>
        <w:pStyle w:val="Heading1"/>
        <w:keepNext w:val="0"/>
        <w:keepLines w:val="0"/>
        <w:pageBreakBefore/>
        <w:ind w:left="360" w:hanging="360"/>
        <w:rPr>
          <w:lang w:val="ru-RU" w:eastAsia="ru-RU"/>
        </w:rPr>
      </w:pPr>
      <w:r>
        <w:rPr>
          <w:lang w:eastAsia="ru-RU"/>
        </w:rPr>
        <w:t>7.</w:t>
      </w:r>
      <w:r>
        <w:rPr>
          <w:lang w:eastAsia="ru-RU"/>
        </w:rPr>
        <w:tab/>
      </w:r>
      <w:r>
        <w:rPr>
          <w:lang w:val="ru-RU" w:eastAsia="ru-RU"/>
        </w:rPr>
        <w:t>Operating segments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Chief executive officer (CEO) of the Group is considered as the chief operating decision maker of the Group (CODM). In reviewing the operational performance of the Group and allocating resources, the CODM reviews selected items of each segment’s consolidated statement of comprehensive income.</w:t>
      </w:r>
    </w:p>
    <w:p w:rsidR="009534E2" w:rsidRDefault="003369EB">
      <w:pPr>
        <w:pStyle w:val="BodyText"/>
        <w:keepNext/>
        <w:keepLines/>
        <w:rPr>
          <w:rFonts w:eastAsia="Times New Roman" w:asciiTheme="majorHAnsi" w:hAnsiTheme="majorHAnsi" w:cstheme="majorHAnsi"/>
        </w:rPr>
      </w:pPr>
      <w:r>
        <w:rPr>
          <w:rFonts w:eastAsia="Times New Roman" w:asciiTheme="majorHAnsi" w:hAnsiTheme="majorHAnsi" w:cstheme="majorHAnsi"/>
        </w:rPr>
        <w:t>In determining that the CODM was the CEO, the Group considered their responsibilities as well as the following factors:</w:t>
      </w:r>
    </w:p>
    <w:p w:rsidR="009534E2" w:rsidRDefault="003369EB">
      <w:pPr>
        <w:pStyle w:val="BodyText"/>
        <w:numPr>
          <w:ilvl w:val="0"/>
          <w:numId w:val="59"/>
        </w:numPr>
        <w:spacing w:after="0"/>
        <w:ind w:left="360"/>
        <w:rPr>
          <w:rFonts w:eastAsia="Times New Roman" w:asciiTheme="majorHAnsi" w:hAnsiTheme="majorHAnsi" w:cstheme="majorHAnsi"/>
        </w:rPr>
      </w:pPr>
      <w:r>
        <w:rPr>
          <w:rFonts w:eastAsia="Times New Roman" w:asciiTheme="majorHAnsi" w:hAnsiTheme="majorHAnsi" w:cstheme="majorHAnsi"/>
        </w:rPr>
        <w:t>The CEO determines compensation of other executive officers while the Group’s board of directors approves corporate key performance indicators (KPIs) and total bonus pool for those executive officers. In case of underperformance of corporate KPIs a right to make a final decision on bonus pool distribution is left with the Board of directors (BOD);</w:t>
      </w:r>
    </w:p>
    <w:p w:rsidR="009534E2" w:rsidRDefault="003369EB">
      <w:pPr>
        <w:pStyle w:val="BodyText"/>
        <w:numPr>
          <w:ilvl w:val="0"/>
          <w:numId w:val="59"/>
        </w:numPr>
        <w:spacing w:after="0"/>
        <w:ind w:left="360"/>
        <w:rPr>
          <w:rFonts w:eastAsia="Times New Roman" w:asciiTheme="majorHAnsi" w:hAnsiTheme="majorHAnsi" w:cstheme="majorHAnsi"/>
        </w:rPr>
      </w:pPr>
      <w:r>
        <w:rPr>
          <w:rFonts w:eastAsia="Times New Roman" w:asciiTheme="majorHAnsi" w:hAnsiTheme="majorHAnsi" w:cstheme="majorHAnsi"/>
        </w:rPr>
        <w:t>The CEO is actively involved in the operations of the Group and regularly chairs meetings on key projects of the Group; and</w:t>
      </w:r>
    </w:p>
    <w:p w:rsidR="009534E2" w:rsidRDefault="003369EB">
      <w:pPr>
        <w:pStyle w:val="BodyText"/>
        <w:numPr>
          <w:ilvl w:val="0"/>
          <w:numId w:val="59"/>
        </w:numPr>
        <w:ind w:left="360"/>
        <w:rPr>
          <w:rFonts w:eastAsia="Times New Roman" w:asciiTheme="majorHAnsi" w:hAnsiTheme="majorHAnsi" w:cstheme="majorHAnsi"/>
          <w:lang w:eastAsia="ru-RU"/>
        </w:rPr>
      </w:pPr>
      <w:r>
        <w:rPr>
          <w:rFonts w:eastAsia="Times New Roman" w:asciiTheme="majorHAnsi" w:hAnsiTheme="majorHAnsi" w:cstheme="majorHAnsi"/>
          <w:lang w:eastAsia="ru-RU"/>
        </w:rPr>
        <w:t>The CEO regularly reviews the financial and operational reports of the Group. These reports primarily include segment net revenue, segment profit before tax and segment net profit for the Group as well as certain operational data.</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financial data is presented on a combined basis for all key subsidiaries and associates representing the segment net revenue, segment profit before tax and segment net profit. The Group measures the performance of its operating segments by monitoring: segment net revenue, segment profit before tax and segment net profit. Segment net revenue is a measure of profitability defined as the segment revenues less segment direct costs. The Group does not monitor balances of assets and liabilities by segments as the CODM considers they have no impact on decision-making.</w:t>
      </w:r>
    </w:p>
    <w:p w:rsidR="009534E2" w:rsidRDefault="003369EB">
      <w:pPr>
        <w:pStyle w:val="BodyText"/>
        <w:keepNext/>
        <w:rPr>
          <w:rFonts w:eastAsia="Times New Roman" w:asciiTheme="majorHAnsi" w:hAnsiTheme="majorHAnsi" w:cstheme="majorHAnsi"/>
          <w:lang w:eastAsia="ru-RU"/>
        </w:rPr>
      </w:pPr>
      <w:r>
        <w:rPr>
          <w:rFonts w:eastAsia="Times New Roman" w:asciiTheme="majorHAnsi" w:hAnsiTheme="majorHAnsi" w:cstheme="majorHAnsi"/>
          <w:lang w:eastAsia="ru-RU"/>
        </w:rPr>
        <w:t>The Group has identified its operating segments based on the types of products and services the Group offers. The CODM reviews segment net revenue, segment profit before tax and segment net profit separately for Payment Services reportable segment. Payment Services (PS) is the operating segment that generates revenue through operations of the payment processing system offered to the Group’s customers through a diverse range of channels and interfaces.</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For the purpose of management reporting, expenses related to corporate back-office operations were not allocated to any operating segment and are presented separately to the CODM. Results of other operating segments and corporate expenses are included in Corporate and Other (CO) category for the purpose of segment reporting.</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Management reporting is different from IFRS, because it does not include certain IFRS adjustments, which are not analyzed by the CODM in assessing the operating performance of the business. The adjustments affect such major areas as share-based payments, offering expenses, the effect of disposal of subsidiaries and fair value adjustments, such as amortization and impairment, as well as non-recurring items that occur from time to time and are evaluated for adjustment as and when they occur. The tax effect of these adjustments is also excluded from management reporting.</w:t>
      </w: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Heading1"/>
        <w:pageBreakBefore/>
        <w:ind w:left="360" w:hanging="360"/>
        <w:rPr>
          <w:lang w:val="ru-RU" w:eastAsia="ru-RU"/>
        </w:rPr>
      </w:pPr>
      <w:bookmarkStart w:name="_190ff273_6746_4579_9229_b33d9459e686" w:id="1510"/>
      <w:bookmarkStart w:name="_a1b3da91_cb5a_4c38_a21d_e35daef89bab" w:id="1511"/>
      <w:r>
        <w:rPr>
          <w:lang w:eastAsia="ru-RU"/>
        </w:rPr>
        <w:t>7.</w:t>
      </w:r>
      <w:r>
        <w:rPr>
          <w:lang w:eastAsia="ru-RU"/>
        </w:rPr>
        <w:tab/>
      </w:r>
      <w:r>
        <w:rPr>
          <w:lang w:val="ru-RU" w:eastAsia="ru-RU"/>
        </w:rPr>
        <w:t>Operating segments (continued)</w:t>
      </w:r>
    </w:p>
    <w:p w:rsidRPr="00A27544" w:rsidR="009534E2" w:rsidRDefault="003369EB">
      <w:pPr>
        <w:pStyle w:val="BodyText"/>
        <w:keepNext/>
        <w:spacing w:after="0"/>
        <w:rPr>
          <w:rFonts w:eastAsia="Times New Roman" w:asciiTheme="majorHAnsi" w:hAnsiTheme="majorHAnsi" w:cstheme="majorHAnsi"/>
          <w:lang w:eastAsia="ru-RU"/>
        </w:rPr>
      </w:pPr>
      <w:bookmarkStart w:name="_c71afe3c_e7c7_46f9_9a0d_002793744384" w:id="1512"/>
      <w:r w:rsidRPr="00A27544">
        <w:rPr>
          <w:rFonts w:eastAsia="Times New Roman" w:asciiTheme="majorHAnsi" w:hAnsiTheme="majorHAnsi" w:cstheme="majorHAnsi"/>
          <w:lang w:eastAsia="ru-RU"/>
        </w:rPr>
        <w:t>The segments’ consolidated statement of comprehensive income for the year ended December 31, 2022, as presented to the CODM are presented below:</w:t>
      </w:r>
    </w:p>
    <w:p w:rsidRPr="00A27544" w:rsidR="009534E2" w:rsidRDefault="009534E2">
      <w:pPr>
        <w:keepNext/>
        <w:rPr>
          <w:rFonts w:eastAsia="Times New Roman"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Pr="00A27544" w:rsidR="009534E2">
        <w:trPr>
          <w:trHeight w:val="20" w:hRule="exact"/>
        </w:trPr>
        <w:tc>
          <w:tcPr>
            <w:tcW w:w="3401" w:type="pct"/>
            <w:tcBorders>
              <w:top w:val="nil"/>
              <w:left w:val="nil"/>
              <w:bottom w:val="nil"/>
              <w:right w:val="nil"/>
            </w:tcBorders>
            <w:vAlign w:val="bottom"/>
          </w:tcPr>
          <w:p w:rsidRPr="00A27544" w:rsidR="009534E2" w:rsidRDefault="009534E2">
            <w:pPr>
              <w:keepNext/>
              <w:rPr>
                <w:rFonts w:asciiTheme="majorHAnsi" w:hAnsiTheme="majorHAnsi" w:cstheme="majorHAnsi"/>
                <w:sz w:val="2"/>
              </w:rPr>
            </w:pPr>
            <w:bookmarkStart w:name="_f6e98475_54c0_473a_a0dc_7a6e1bcd671f" w:id="1513"/>
            <w:bookmarkStart w:name="_948ebfe9_5f75_411e_bb86_357fe18ed49f" w:colFirst="0" w:colLast="0" w:id="1514"/>
            <w:bookmarkStart w:name="_afb73074_61d9_4a6c_8744_bd471489b85c" w:colFirst="1" w:colLast="1" w:id="1515"/>
            <w:bookmarkStart w:name="_9cc2366e_ab26_4ad3_b673_9a2328af7515" w:colFirst="2" w:colLast="2" w:id="1516"/>
            <w:bookmarkStart w:name="_4536a338_3ecb_4be4_a92a_c13c7c1bebd4" w:colFirst="3" w:colLast="3" w:id="1517"/>
            <w:bookmarkStart w:name="_9991862e_13ae_4ca2_9654_401d917ad092" w:colFirst="4" w:colLast="4" w:id="1518"/>
            <w:bookmarkStart w:name="_9c916014_99b0_4bb4_9584_8cf65c5a205e" w:colFirst="5" w:colLast="5" w:id="1519"/>
            <w:bookmarkStart w:name="_0afb5b87_856c_4779_857e_4601f5022a7f" w:colFirst="6" w:colLast="6" w:id="1520"/>
            <w:bookmarkStart w:name="_42838369_f567_49cc_ba60_394b0f98ba2c" w:id="1521"/>
            <w:bookmarkEnd w:id="1513"/>
          </w:p>
        </w:tc>
        <w:tc>
          <w:tcPr>
            <w:tcW w:w="108"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r>
      <w:tr w:rsidRPr="00A27544" w:rsidR="009534E2">
        <w:tc>
          <w:tcPr>
            <w:tcW w:w="3401" w:type="pct"/>
            <w:tcBorders>
              <w:top w:val="nil"/>
              <w:left w:val="nil"/>
              <w:bottom w:val="nil"/>
              <w:right w:val="nil"/>
              <w:tl2br w:val="nil"/>
              <w:tr2bl w:val="nil"/>
            </w:tcBorders>
            <w:shd w:val="clear" w:color="auto" w:fill="auto"/>
            <w:vAlign w:val="bottom"/>
          </w:tcPr>
          <w:p w:rsidRPr="00A27544" w:rsidR="009534E2" w:rsidRDefault="009534E2">
            <w:pPr>
              <w:keepNext/>
              <w:rPr>
                <w:rFonts w:asciiTheme="majorHAnsi" w:hAnsiTheme="majorHAnsi" w:cstheme="majorHAnsi"/>
                <w:b/>
                <w:color w:val="000000"/>
                <w:sz w:val="16"/>
              </w:rPr>
            </w:pPr>
            <w:bookmarkStart w:name="_16b021d1_8183_4480_aba3_37d4b1bd1701" w:id="1522"/>
            <w:bookmarkEnd w:id="1514"/>
            <w:bookmarkEnd w:id="1515"/>
            <w:bookmarkEnd w:id="1516"/>
            <w:bookmarkEnd w:id="1517"/>
            <w:bookmarkEnd w:id="1518"/>
            <w:bookmarkEnd w:id="1519"/>
            <w:bookmarkEnd w:id="1520"/>
          </w:p>
        </w:tc>
        <w:tc>
          <w:tcPr>
            <w:tcW w:w="108" w:type="pct"/>
            <w:tcBorders>
              <w:top w:val="nil"/>
              <w:left w:val="nil"/>
              <w:bottom w:val="nil"/>
              <w:right w:val="nil"/>
              <w:tl2br w:val="nil"/>
              <w:tr2bl w:val="nil"/>
            </w:tcBorders>
            <w:shd w:val="clear" w:color="auto" w:fill="auto"/>
            <w:noWrap/>
            <w:vAlign w:val="bottom"/>
          </w:tcPr>
          <w:p w:rsidRPr="00A27544" w:rsidR="009534E2" w:rsidRDefault="009534E2">
            <w:pPr>
              <w:keepNext/>
              <w:rPr>
                <w:rFonts w:asciiTheme="majorHAnsi" w:hAnsiTheme="majorHAnsi" w:cstheme="majorHAnsi"/>
                <w:b/>
                <w:color w:val="000000"/>
                <w:sz w:val="16"/>
              </w:rPr>
            </w:pPr>
          </w:p>
        </w:tc>
        <w:tc>
          <w:tcPr>
            <w:tcW w:w="1491" w:type="pct"/>
            <w:gridSpan w:val="5"/>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2022</w:t>
            </w:r>
          </w:p>
        </w:tc>
      </w:tr>
      <w:tr w:rsidRPr="00A27544" w:rsidR="009534E2">
        <w:tc>
          <w:tcPr>
            <w:tcW w:w="3401" w:type="pct"/>
            <w:tcBorders>
              <w:top w:val="nil"/>
              <w:left w:val="nil"/>
              <w:bottom w:val="nil"/>
              <w:right w:val="nil"/>
              <w:tl2br w:val="nil"/>
              <w:tr2bl w:val="nil"/>
            </w:tcBorders>
            <w:shd w:val="clear" w:color="auto" w:fill="auto"/>
            <w:vAlign w:val="bottom"/>
          </w:tcPr>
          <w:p w:rsidRPr="00A27544" w:rsidR="009534E2" w:rsidRDefault="009534E2">
            <w:pPr>
              <w:keepNext/>
              <w:rPr>
                <w:rFonts w:asciiTheme="majorHAnsi" w:hAnsiTheme="majorHAnsi" w:cstheme="majorHAnsi"/>
                <w:b/>
                <w:color w:val="000000"/>
                <w:sz w:val="16"/>
              </w:rPr>
            </w:pPr>
            <w:bookmarkStart w:name="_4d60b890_8f6c_485a_b7ba_1ca80721c788" w:id="1523"/>
            <w:bookmarkEnd w:id="1522"/>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PS</w:t>
            </w:r>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CO</w:t>
            </w:r>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Total</w:t>
            </w:r>
          </w:p>
        </w:tc>
      </w:tr>
      <w:tr w:rsidRPr="00A27544" w:rsidR="009534E2">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b/>
                <w:color w:val="000000"/>
              </w:rPr>
            </w:pPr>
            <w:bookmarkStart w:name="_d1686103_4121_40e2_a20b_eb19f89f1776" w:id="1524"/>
            <w:bookmarkEnd w:id="1523"/>
            <w:r w:rsidRPr="00A27544">
              <w:rPr>
                <w:rFonts w:eastAsia="Times New Roman" w:asciiTheme="majorHAnsi" w:hAnsiTheme="majorHAnsi" w:cstheme="majorHAnsi"/>
                <w:b/>
                <w:color w:val="000000"/>
              </w:rPr>
              <w:t>Segment net revenue</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30,103</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4,034</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34,137</w:t>
            </w:r>
          </w:p>
        </w:tc>
      </w:tr>
      <w:tr w:rsidRPr="00A27544" w:rsidR="009534E2">
        <w:tc>
          <w:tcPr>
            <w:tcW w:w="3401" w:type="pct"/>
            <w:tcBorders>
              <w:top w:val="nil"/>
              <w:left w:val="nil"/>
              <w:bottom w:val="nil"/>
              <w:right w:val="nil"/>
              <w:tl2br w:val="nil"/>
              <w:tr2bl w:val="nil"/>
            </w:tcBorders>
            <w:vAlign w:val="bottom"/>
          </w:tcPr>
          <w:p w:rsidRPr="00A27544" w:rsidR="009534E2" w:rsidRDefault="003369EB">
            <w:pPr>
              <w:keepNext/>
              <w:rPr>
                <w:rFonts w:asciiTheme="majorHAnsi" w:hAnsiTheme="majorHAnsi" w:cstheme="majorHAnsi"/>
                <w:color w:val="000000"/>
              </w:rPr>
            </w:pPr>
            <w:bookmarkStart w:name="_e3c7983f_a0c6_41cb_a0f7_736ecb312311" w:id="1525"/>
            <w:bookmarkEnd w:id="1524"/>
            <w:r w:rsidRPr="00A27544">
              <w:rPr>
                <w:rFonts w:eastAsia="Times New Roman" w:asciiTheme="majorHAnsi" w:hAnsiTheme="majorHAnsi" w:cstheme="majorHAnsi"/>
                <w:color w:val="000000"/>
              </w:rPr>
              <w:t>Segment profit/(loss) before tax</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20,036</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(1,527)</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18,509</w:t>
            </w:r>
          </w:p>
        </w:tc>
      </w:tr>
      <w:tr w:rsidRPr="00A27544" w:rsidR="009534E2">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b/>
                <w:color w:val="000000"/>
              </w:rPr>
            </w:pPr>
            <w:bookmarkStart w:name="_50a96267_d029_4630_9515_2686c7cd8032" w:id="1526"/>
            <w:bookmarkEnd w:id="1525"/>
            <w:r w:rsidRPr="00A27544">
              <w:rPr>
                <w:rFonts w:eastAsia="Times New Roman" w:asciiTheme="majorHAnsi" w:hAnsiTheme="majorHAnsi" w:cstheme="majorHAnsi"/>
                <w:b/>
                <w:color w:val="000000"/>
              </w:rPr>
              <w:t>Segment net profit/(loss)</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15,799</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(1,803)</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13,996</w:t>
            </w:r>
          </w:p>
        </w:tc>
      </w:tr>
      <w:bookmarkEnd w:id="1521"/>
      <w:bookmarkEnd w:id="1526"/>
    </w:tbl>
    <w:p w:rsidRPr="00A27544" w:rsidR="009534E2" w:rsidRDefault="009534E2">
      <w:pPr>
        <w:rPr>
          <w:rFonts w:asciiTheme="majorHAnsi" w:hAnsiTheme="majorHAnsi" w:cstheme="majorHAnsi"/>
        </w:rPr>
      </w:pPr>
    </w:p>
    <w:p w:rsidRPr="00A27544" w:rsidR="009534E2" w:rsidRDefault="003369EB">
      <w:pPr>
        <w:pStyle w:val="BodyText"/>
        <w:keepNext/>
        <w:spacing w:after="0"/>
        <w:rPr>
          <w:rFonts w:eastAsia="Times New Roman" w:asciiTheme="majorHAnsi" w:hAnsiTheme="majorHAnsi" w:cstheme="majorHAnsi"/>
          <w:lang w:eastAsia="ru-RU"/>
        </w:rPr>
      </w:pPr>
      <w:r w:rsidRPr="00A27544">
        <w:rPr>
          <w:rFonts w:eastAsia="Times New Roman" w:asciiTheme="majorHAnsi" w:hAnsiTheme="majorHAnsi" w:cstheme="majorHAnsi"/>
          <w:lang w:eastAsia="ru-RU"/>
        </w:rPr>
        <w:t>The segments’ consolidated statement of comprehensive income for the year ended December 31, 2021, as presented to the CODM are presented below:</w:t>
      </w:r>
    </w:p>
    <w:p w:rsidRPr="00A27544" w:rsidR="009534E2" w:rsidRDefault="009534E2">
      <w:pPr>
        <w:keepNext/>
        <w:rPr>
          <w:rFonts w:eastAsia="Times New Roman"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Pr="00A27544" w:rsidR="009534E2">
        <w:trPr>
          <w:trHeight w:val="20" w:hRule="exact"/>
        </w:trPr>
        <w:tc>
          <w:tcPr>
            <w:tcW w:w="3401" w:type="pct"/>
            <w:tcBorders>
              <w:top w:val="nil"/>
              <w:left w:val="nil"/>
              <w:bottom w:val="nil"/>
              <w:right w:val="nil"/>
            </w:tcBorders>
            <w:vAlign w:val="bottom"/>
          </w:tcPr>
          <w:p w:rsidRPr="00A27544" w:rsidR="009534E2" w:rsidRDefault="009534E2">
            <w:pPr>
              <w:keepNext/>
              <w:rPr>
                <w:rFonts w:asciiTheme="majorHAnsi" w:hAnsiTheme="majorHAnsi" w:cstheme="majorHAnsi"/>
                <w:sz w:val="2"/>
              </w:rPr>
            </w:pPr>
            <w:bookmarkStart w:name="_71eca426_b335_4154_b054_b0a730798f98" w:id="1527"/>
            <w:bookmarkStart w:name="_1e60476d_9508_4124_bd3e_d65e460b7dee" w:colFirst="0" w:colLast="0" w:id="1528"/>
            <w:bookmarkStart w:name="_54d675d2_1e9a_45e9_b0b7_dee904d9e194" w:colFirst="1" w:colLast="1" w:id="1529"/>
            <w:bookmarkStart w:name="_84175026_1f7c_42e1_9d08_f5be39ff258a" w:colFirst="2" w:colLast="2" w:id="1530"/>
            <w:bookmarkStart w:name="_1808b37d_50b2_457a_8ad3_d7d98d6acf9a" w:colFirst="3" w:colLast="3" w:id="1531"/>
            <w:bookmarkStart w:name="_5d2fc4bd_ab27_49ea_9dae_833518694d9d" w:colFirst="4" w:colLast="4" w:id="1532"/>
            <w:bookmarkStart w:name="_2820415a_148f_489b_80ff_bef4882e21a6" w:colFirst="5" w:colLast="5" w:id="1533"/>
            <w:bookmarkStart w:name="_5dcad70c_27c6_4a11_aad3_3327a86fc3af" w:colFirst="6" w:colLast="6" w:id="1534"/>
            <w:bookmarkStart w:name="_dabb9143_be66_4fd1_8bad_67ca662641ea" w:id="1535"/>
            <w:bookmarkEnd w:id="1527"/>
          </w:p>
        </w:tc>
        <w:tc>
          <w:tcPr>
            <w:tcW w:w="108"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r>
      <w:tr w:rsidRPr="00A27544" w:rsidR="009534E2">
        <w:tc>
          <w:tcPr>
            <w:tcW w:w="3401" w:type="pct"/>
            <w:tcBorders>
              <w:top w:val="nil"/>
              <w:left w:val="nil"/>
              <w:bottom w:val="nil"/>
              <w:right w:val="nil"/>
              <w:tl2br w:val="nil"/>
              <w:tr2bl w:val="nil"/>
            </w:tcBorders>
            <w:shd w:val="clear" w:color="auto" w:fill="auto"/>
            <w:vAlign w:val="bottom"/>
          </w:tcPr>
          <w:p w:rsidRPr="00A27544" w:rsidR="009534E2" w:rsidRDefault="009534E2">
            <w:pPr>
              <w:keepNext/>
              <w:rPr>
                <w:rFonts w:asciiTheme="majorHAnsi" w:hAnsiTheme="majorHAnsi" w:cstheme="majorHAnsi"/>
                <w:b/>
                <w:color w:val="000000"/>
                <w:sz w:val="16"/>
              </w:rPr>
            </w:pPr>
            <w:bookmarkStart w:name="_24cf6633_067f_4be8_90b9_0f6f0db1fe08" w:id="1536"/>
            <w:bookmarkEnd w:id="1528"/>
            <w:bookmarkEnd w:id="1529"/>
            <w:bookmarkEnd w:id="1530"/>
            <w:bookmarkEnd w:id="1531"/>
            <w:bookmarkEnd w:id="1532"/>
            <w:bookmarkEnd w:id="1533"/>
            <w:bookmarkEnd w:id="1534"/>
          </w:p>
        </w:tc>
        <w:tc>
          <w:tcPr>
            <w:tcW w:w="108" w:type="pct"/>
            <w:tcBorders>
              <w:top w:val="nil"/>
              <w:left w:val="nil"/>
              <w:bottom w:val="nil"/>
              <w:right w:val="nil"/>
              <w:tl2br w:val="nil"/>
              <w:tr2bl w:val="nil"/>
            </w:tcBorders>
            <w:shd w:val="clear" w:color="auto" w:fill="auto"/>
            <w:noWrap/>
            <w:vAlign w:val="bottom"/>
          </w:tcPr>
          <w:p w:rsidRPr="00A27544" w:rsidR="009534E2" w:rsidRDefault="009534E2">
            <w:pPr>
              <w:keepNext/>
              <w:rPr>
                <w:rFonts w:asciiTheme="majorHAnsi" w:hAnsiTheme="majorHAnsi" w:cstheme="majorHAnsi"/>
                <w:b/>
                <w:color w:val="000000"/>
                <w:sz w:val="16"/>
              </w:rPr>
            </w:pPr>
          </w:p>
        </w:tc>
        <w:tc>
          <w:tcPr>
            <w:tcW w:w="1491" w:type="pct"/>
            <w:gridSpan w:val="5"/>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2021</w:t>
            </w:r>
          </w:p>
        </w:tc>
      </w:tr>
      <w:tr w:rsidRPr="00A27544" w:rsidR="009534E2">
        <w:tc>
          <w:tcPr>
            <w:tcW w:w="3401" w:type="pct"/>
            <w:tcBorders>
              <w:top w:val="nil"/>
              <w:left w:val="nil"/>
              <w:bottom w:val="nil"/>
              <w:right w:val="nil"/>
              <w:tl2br w:val="nil"/>
              <w:tr2bl w:val="nil"/>
            </w:tcBorders>
            <w:shd w:val="clear" w:color="auto" w:fill="auto"/>
            <w:vAlign w:val="bottom"/>
          </w:tcPr>
          <w:p w:rsidRPr="00A27544" w:rsidR="009534E2" w:rsidRDefault="009534E2">
            <w:pPr>
              <w:keepNext/>
              <w:rPr>
                <w:rFonts w:asciiTheme="majorHAnsi" w:hAnsiTheme="majorHAnsi" w:cstheme="majorHAnsi"/>
                <w:b/>
                <w:color w:val="000000"/>
                <w:sz w:val="16"/>
              </w:rPr>
            </w:pPr>
            <w:bookmarkStart w:name="_78c25026_102f_485b_8c1e_ebb1257e4785" w:id="1537"/>
            <w:bookmarkEnd w:id="1536"/>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PS</w:t>
            </w:r>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CO</w:t>
            </w:r>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Total</w:t>
            </w:r>
          </w:p>
        </w:tc>
      </w:tr>
      <w:tr w:rsidRPr="00A27544" w:rsidR="009534E2">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b/>
                <w:color w:val="000000"/>
              </w:rPr>
            </w:pPr>
            <w:bookmarkStart w:name="_b439158d_54d5_4596_9fbf_af7894e77372" w:id="1538"/>
            <w:bookmarkEnd w:id="1537"/>
            <w:r w:rsidRPr="00A27544">
              <w:rPr>
                <w:rFonts w:eastAsia="Times New Roman" w:asciiTheme="majorHAnsi" w:hAnsiTheme="majorHAnsi" w:cstheme="majorHAnsi"/>
                <w:b/>
                <w:color w:val="000000"/>
              </w:rPr>
              <w:t>Segment net revenue</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21,100</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2,013</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23,113</w:t>
            </w:r>
          </w:p>
        </w:tc>
      </w:tr>
      <w:tr w:rsidRPr="00A27544" w:rsidR="009534E2">
        <w:tc>
          <w:tcPr>
            <w:tcW w:w="3401" w:type="pct"/>
            <w:tcBorders>
              <w:top w:val="nil"/>
              <w:left w:val="nil"/>
              <w:bottom w:val="nil"/>
              <w:right w:val="nil"/>
              <w:tl2br w:val="nil"/>
              <w:tr2bl w:val="nil"/>
            </w:tcBorders>
            <w:vAlign w:val="bottom"/>
          </w:tcPr>
          <w:p w:rsidRPr="00A27544" w:rsidR="009534E2" w:rsidRDefault="003369EB">
            <w:pPr>
              <w:keepNext/>
              <w:rPr>
                <w:rFonts w:asciiTheme="majorHAnsi" w:hAnsiTheme="majorHAnsi" w:cstheme="majorHAnsi"/>
                <w:color w:val="000000"/>
              </w:rPr>
            </w:pPr>
            <w:bookmarkStart w:name="_25ca5703_ba4d_4844_92d2_28425f53b205" w:id="1539"/>
            <w:bookmarkEnd w:id="1538"/>
            <w:r w:rsidRPr="00A27544">
              <w:rPr>
                <w:rFonts w:eastAsia="Times New Roman" w:asciiTheme="majorHAnsi" w:hAnsiTheme="majorHAnsi" w:cstheme="majorHAnsi"/>
                <w:color w:val="000000"/>
              </w:rPr>
              <w:t>Segment profit/(loss) before tax</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13,832</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(1,120)</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12,712</w:t>
            </w:r>
          </w:p>
        </w:tc>
      </w:tr>
      <w:tr w:rsidRPr="00A27544" w:rsidR="009534E2">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b/>
                <w:color w:val="000000"/>
              </w:rPr>
            </w:pPr>
            <w:bookmarkStart w:name="_3dc6cb45_51d3_48d6_939b_ad5882d0a938" w:id="1540"/>
            <w:bookmarkEnd w:id="1539"/>
            <w:r w:rsidRPr="00A27544">
              <w:rPr>
                <w:rFonts w:eastAsia="Times New Roman" w:asciiTheme="majorHAnsi" w:hAnsiTheme="majorHAnsi" w:cstheme="majorHAnsi"/>
                <w:b/>
                <w:color w:val="000000"/>
              </w:rPr>
              <w:t>Segment net profit/(loss)</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10,971</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(1,377)</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9,594</w:t>
            </w:r>
          </w:p>
        </w:tc>
      </w:tr>
      <w:bookmarkEnd w:id="1535"/>
      <w:bookmarkEnd w:id="1540"/>
    </w:tbl>
    <w:p w:rsidRPr="00A27544" w:rsidR="009534E2" w:rsidRDefault="009534E2">
      <w:pPr>
        <w:rPr>
          <w:rFonts w:asciiTheme="majorHAnsi" w:hAnsiTheme="majorHAnsi" w:cstheme="majorHAnsi"/>
        </w:rPr>
      </w:pPr>
    </w:p>
    <w:p w:rsidRPr="00A27544" w:rsidR="009534E2" w:rsidRDefault="003369EB">
      <w:pPr>
        <w:pStyle w:val="BodyText"/>
        <w:keepNext/>
        <w:spacing w:after="0"/>
        <w:rPr>
          <w:rFonts w:eastAsia="Times New Roman" w:asciiTheme="majorHAnsi" w:hAnsiTheme="majorHAnsi" w:cstheme="majorHAnsi"/>
          <w:lang w:eastAsia="ru-RU"/>
        </w:rPr>
      </w:pPr>
      <w:r w:rsidRPr="00A27544">
        <w:rPr>
          <w:rFonts w:eastAsia="Times New Roman" w:asciiTheme="majorHAnsi" w:hAnsiTheme="majorHAnsi" w:cstheme="majorHAnsi"/>
          <w:lang w:eastAsia="ru-RU"/>
        </w:rPr>
        <w:t>The segments’ consolidated statement of comprehensive income for the year ended December 31, 2020, as presented to the CODM are presented below:</w:t>
      </w:r>
    </w:p>
    <w:p w:rsidRPr="00A27544" w:rsidR="009534E2" w:rsidRDefault="009534E2">
      <w:pPr>
        <w:pStyle w:val="BodyText"/>
        <w:keepNext/>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Pr="00A27544" w:rsidR="009534E2">
        <w:trPr>
          <w:trHeight w:val="20" w:hRule="exact"/>
          <w:jc w:val="center"/>
        </w:trPr>
        <w:tc>
          <w:tcPr>
            <w:tcW w:w="3401" w:type="pct"/>
            <w:tcBorders>
              <w:top w:val="nil"/>
              <w:left w:val="nil"/>
              <w:bottom w:val="nil"/>
              <w:right w:val="nil"/>
            </w:tcBorders>
            <w:vAlign w:val="bottom"/>
          </w:tcPr>
          <w:p w:rsidRPr="00A27544" w:rsidR="009534E2" w:rsidRDefault="009534E2">
            <w:pPr>
              <w:keepNext/>
              <w:spacing w:after="1"/>
              <w:rPr>
                <w:rFonts w:asciiTheme="majorHAnsi" w:hAnsiTheme="majorHAnsi" w:cstheme="majorHAnsi"/>
                <w:sz w:val="2"/>
              </w:rPr>
            </w:pPr>
            <w:bookmarkStart w:name="_24659013_f74b_499f_90f7_fad0bc11b871" w:id="1541"/>
            <w:bookmarkStart w:name="_c8f4ac8e_b1d8_427c_81b6_8f0183b0a73f" w:colFirst="0" w:colLast="0" w:id="1542"/>
            <w:bookmarkStart w:name="_647ead93_a10d_40c3_ad87_f3660e4877d9" w:colFirst="1" w:colLast="1" w:id="1543"/>
            <w:bookmarkStart w:name="_e8100754_f6c0_4e5a_ad5f_cc331ad9f5ed" w:colFirst="2" w:colLast="2" w:id="1544"/>
            <w:bookmarkStart w:name="_bd139714_98f1_4211_b087_89dea541b1ca" w:colFirst="3" w:colLast="3" w:id="1545"/>
            <w:bookmarkStart w:name="_5c7bf0b9_097c_44bb_bff8_1d0d24cb6d86" w:colFirst="4" w:colLast="4" w:id="1546"/>
            <w:bookmarkStart w:name="_2b5f4d09_13e1_4d69_bffe_733a4818d08f" w:colFirst="5" w:colLast="5" w:id="1547"/>
            <w:bookmarkStart w:name="_6665320f_edfd_4dbd_9a46_ebc989a5449f" w:colFirst="6" w:colLast="6" w:id="1548"/>
            <w:bookmarkStart w:name="_b6ac4a93_74e1_4a4a_bf0e_7a62b44dc329" w:id="1549"/>
            <w:bookmarkEnd w:id="1541"/>
          </w:p>
        </w:tc>
        <w:tc>
          <w:tcPr>
            <w:tcW w:w="108"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108"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108"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r>
      <w:tr w:rsidRPr="00A27544" w:rsidR="009534E2">
        <w:trPr>
          <w:jc w:val="center"/>
        </w:trPr>
        <w:tc>
          <w:tcPr>
            <w:tcW w:w="3401" w:type="pct"/>
            <w:tcBorders>
              <w:top w:val="nil"/>
              <w:left w:val="nil"/>
              <w:bottom w:val="nil"/>
              <w:right w:val="nil"/>
              <w:tl2br w:val="nil"/>
              <w:tr2bl w:val="nil"/>
            </w:tcBorders>
            <w:shd w:val="clear" w:color="auto" w:fill="auto"/>
            <w:vAlign w:val="bottom"/>
          </w:tcPr>
          <w:p w:rsidRPr="00A27544" w:rsidR="009534E2" w:rsidRDefault="009534E2">
            <w:pPr>
              <w:keepNext/>
              <w:spacing w:after="1"/>
              <w:rPr>
                <w:rFonts w:asciiTheme="majorHAnsi" w:hAnsiTheme="majorHAnsi" w:cstheme="majorHAnsi"/>
                <w:b/>
                <w:color w:val="000000"/>
                <w:sz w:val="16"/>
              </w:rPr>
            </w:pPr>
            <w:bookmarkStart w:name="_27029451_a5a4_409c_84b1_64719b642bab" w:id="1550"/>
            <w:bookmarkEnd w:id="1542"/>
            <w:bookmarkEnd w:id="1543"/>
            <w:bookmarkEnd w:id="1544"/>
            <w:bookmarkEnd w:id="1545"/>
            <w:bookmarkEnd w:id="1546"/>
            <w:bookmarkEnd w:id="1547"/>
            <w:bookmarkEnd w:id="1548"/>
          </w:p>
        </w:tc>
        <w:tc>
          <w:tcPr>
            <w:tcW w:w="108" w:type="pct"/>
            <w:tcBorders>
              <w:top w:val="nil"/>
              <w:left w:val="nil"/>
              <w:bottom w:val="nil"/>
              <w:right w:val="nil"/>
              <w:tl2br w:val="nil"/>
              <w:tr2bl w:val="nil"/>
            </w:tcBorders>
            <w:shd w:val="clear" w:color="auto" w:fill="auto"/>
            <w:noWrap/>
            <w:vAlign w:val="bottom"/>
          </w:tcPr>
          <w:p w:rsidRPr="00A27544" w:rsidR="009534E2" w:rsidRDefault="009534E2">
            <w:pPr>
              <w:keepNext/>
              <w:spacing w:after="1"/>
              <w:rPr>
                <w:rFonts w:asciiTheme="majorHAnsi" w:hAnsiTheme="majorHAnsi" w:cstheme="majorHAnsi"/>
                <w:b/>
                <w:color w:val="000000"/>
                <w:sz w:val="16"/>
              </w:rPr>
            </w:pPr>
          </w:p>
        </w:tc>
        <w:tc>
          <w:tcPr>
            <w:tcW w:w="1491" w:type="pct"/>
            <w:gridSpan w:val="5"/>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2020</w:t>
            </w:r>
          </w:p>
        </w:tc>
      </w:tr>
      <w:tr w:rsidRPr="00A27544" w:rsidR="009534E2">
        <w:trPr>
          <w:jc w:val="center"/>
        </w:trPr>
        <w:tc>
          <w:tcPr>
            <w:tcW w:w="3401" w:type="pct"/>
            <w:tcBorders>
              <w:top w:val="nil"/>
              <w:left w:val="nil"/>
              <w:bottom w:val="nil"/>
              <w:right w:val="nil"/>
              <w:tl2br w:val="nil"/>
              <w:tr2bl w:val="nil"/>
            </w:tcBorders>
            <w:shd w:val="clear" w:color="auto" w:fill="auto"/>
            <w:vAlign w:val="bottom"/>
          </w:tcPr>
          <w:p w:rsidRPr="00A27544" w:rsidR="009534E2" w:rsidRDefault="009534E2">
            <w:pPr>
              <w:keepNext/>
              <w:spacing w:after="1"/>
              <w:rPr>
                <w:rFonts w:asciiTheme="majorHAnsi" w:hAnsiTheme="majorHAnsi" w:cstheme="majorHAnsi"/>
                <w:b/>
                <w:color w:val="000000"/>
                <w:sz w:val="16"/>
              </w:rPr>
            </w:pPr>
            <w:bookmarkStart w:name="_8f1853f8_926b_471b_b0d2_5e52e0b9282b" w:id="1551"/>
            <w:bookmarkEnd w:id="1550"/>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spacing w:after="1"/>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PS </w:t>
            </w:r>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spacing w:after="1"/>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CO</w:t>
            </w:r>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spacing w:after="1"/>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Total</w:t>
            </w:r>
          </w:p>
        </w:tc>
      </w:tr>
      <w:tr w:rsidRPr="00A27544" w:rsidR="009534E2">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spacing w:after="1"/>
              <w:rPr>
                <w:rFonts w:asciiTheme="majorHAnsi" w:hAnsiTheme="majorHAnsi" w:cstheme="majorHAnsi"/>
                <w:b/>
                <w:color w:val="000000"/>
              </w:rPr>
            </w:pPr>
            <w:bookmarkStart w:name="_d2796f46_27cc_4de8_b419_471c96278988" w:id="1552"/>
            <w:bookmarkEnd w:id="1551"/>
            <w:r w:rsidRPr="00A27544">
              <w:rPr>
                <w:rFonts w:eastAsia="Times New Roman" w:asciiTheme="majorHAnsi" w:hAnsiTheme="majorHAnsi" w:cstheme="majorHAnsi"/>
                <w:b/>
                <w:color w:val="000000"/>
              </w:rPr>
              <w:t>Segment net revenue</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22,637</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3,341</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25,978</w:t>
            </w:r>
          </w:p>
        </w:tc>
      </w:tr>
      <w:tr w:rsidRPr="00A27544" w:rsidR="009534E2">
        <w:trPr>
          <w:jc w:val="center"/>
        </w:trPr>
        <w:tc>
          <w:tcPr>
            <w:tcW w:w="3401" w:type="pct"/>
            <w:tcBorders>
              <w:top w:val="nil"/>
              <w:left w:val="nil"/>
              <w:bottom w:val="nil"/>
              <w:right w:val="nil"/>
              <w:tl2br w:val="nil"/>
              <w:tr2bl w:val="nil"/>
            </w:tcBorders>
            <w:vAlign w:val="bottom"/>
          </w:tcPr>
          <w:p w:rsidRPr="00A27544" w:rsidR="009534E2" w:rsidRDefault="003369EB">
            <w:pPr>
              <w:keepNext/>
              <w:spacing w:after="1"/>
              <w:rPr>
                <w:rFonts w:asciiTheme="majorHAnsi" w:hAnsiTheme="majorHAnsi" w:cstheme="majorHAnsi"/>
                <w:color w:val="000000"/>
              </w:rPr>
            </w:pPr>
            <w:bookmarkStart w:name="_34b7ce05_8a91_46dd_a262_54371c7e48ac" w:id="1553"/>
            <w:bookmarkEnd w:id="1552"/>
            <w:r w:rsidRPr="00A27544">
              <w:rPr>
                <w:rFonts w:eastAsia="Times New Roman" w:asciiTheme="majorHAnsi" w:hAnsiTheme="majorHAnsi" w:cstheme="majorHAnsi"/>
                <w:color w:val="000000"/>
              </w:rPr>
              <w:t>Segment profit/(loss) before tax</w:t>
            </w:r>
          </w:p>
        </w:tc>
        <w:tc>
          <w:tcPr>
            <w:tcW w:w="108" w:type="pct"/>
            <w:tcBorders>
              <w:top w:val="nil"/>
              <w:left w:val="nil"/>
              <w:bottom w:val="nil"/>
              <w:right w:val="nil"/>
              <w:tl2br w:val="nil"/>
              <w:tr2bl w:val="nil"/>
            </w:tcBorders>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15,629</w:t>
            </w:r>
          </w:p>
        </w:tc>
        <w:tc>
          <w:tcPr>
            <w:tcW w:w="108" w:type="pct"/>
            <w:tcBorders>
              <w:top w:val="nil"/>
              <w:left w:val="nil"/>
              <w:bottom w:val="nil"/>
              <w:right w:val="nil"/>
              <w:tl2br w:val="nil"/>
              <w:tr2bl w:val="nil"/>
            </w:tcBorders>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spacing w:after="1"/>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(2,434)</w:t>
            </w:r>
          </w:p>
        </w:tc>
        <w:tc>
          <w:tcPr>
            <w:tcW w:w="108" w:type="pct"/>
            <w:tcBorders>
              <w:top w:val="nil"/>
              <w:left w:val="nil"/>
              <w:bottom w:val="nil"/>
              <w:right w:val="nil"/>
              <w:tl2br w:val="nil"/>
              <w:tr2bl w:val="nil"/>
            </w:tcBorders>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13,195</w:t>
            </w:r>
          </w:p>
        </w:tc>
      </w:tr>
      <w:tr w:rsidRPr="00A27544" w:rsidR="009534E2">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spacing w:after="1"/>
              <w:rPr>
                <w:rFonts w:asciiTheme="majorHAnsi" w:hAnsiTheme="majorHAnsi" w:cstheme="majorHAnsi"/>
                <w:b/>
                <w:color w:val="000000"/>
              </w:rPr>
            </w:pPr>
            <w:bookmarkStart w:name="_84437ca4_24e9_473a_9587_a76caa6205ab" w:id="1554"/>
            <w:bookmarkEnd w:id="1553"/>
            <w:r w:rsidRPr="00A27544">
              <w:rPr>
                <w:rFonts w:eastAsia="Times New Roman" w:asciiTheme="majorHAnsi" w:hAnsiTheme="majorHAnsi" w:cstheme="majorHAnsi"/>
                <w:b/>
                <w:color w:val="000000"/>
              </w:rPr>
              <w:t>Segment net profit/(loss)</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12,608</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spacing w:after="1"/>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(2,304)</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10,304</w:t>
            </w:r>
          </w:p>
        </w:tc>
      </w:tr>
      <w:bookmarkEnd w:id="1510"/>
      <w:bookmarkEnd w:id="1512"/>
      <w:bookmarkEnd w:id="1549"/>
      <w:bookmarkEnd w:id="1554"/>
    </w:tbl>
    <w:p w:rsidR="009534E2" w:rsidRDefault="009534E2">
      <w:pPr>
        <w:pStyle w:val="BodyText"/>
        <w:spacing w:after="0"/>
        <w:rPr>
          <w:rFonts w:asciiTheme="majorHAnsi" w:hAnsiTheme="majorHAnsi" w:cstheme="majorHAnsi"/>
          <w:lang w:eastAsia="ru-RU"/>
        </w:rPr>
      </w:pPr>
    </w:p>
    <w:bookmarkEnd w:id="1511"/>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Segment net revenue, as presented to the CODM, for the years ended December 31, 2020, 2021 and 2022 is calculated by subtracting cost of revenue from revenue as presented in the table below:</w:t>
      </w:r>
    </w:p>
    <w:p w:rsidR="009534E2" w:rsidRDefault="009534E2">
      <w:pPr>
        <w:pStyle w:val="BodyText"/>
        <w:keepNext/>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Pr="00A27544" w:rsidR="009534E2" w:rsidTr="00A27544">
        <w:trPr>
          <w:trHeight w:val="20" w:hRule="exact"/>
          <w:jc w:val="center"/>
        </w:trPr>
        <w:tc>
          <w:tcPr>
            <w:tcW w:w="3401" w:type="pct"/>
            <w:tcBorders>
              <w:top w:val="nil"/>
              <w:left w:val="nil"/>
              <w:bottom w:val="nil"/>
              <w:right w:val="nil"/>
            </w:tcBorders>
            <w:vAlign w:val="bottom"/>
          </w:tcPr>
          <w:p w:rsidRPr="00A27544" w:rsidR="009534E2" w:rsidRDefault="009534E2">
            <w:pPr>
              <w:keepNext/>
              <w:rPr>
                <w:rFonts w:asciiTheme="majorHAnsi" w:hAnsiTheme="majorHAnsi" w:cstheme="majorHAnsi"/>
                <w:sz w:val="2"/>
              </w:rPr>
            </w:pPr>
            <w:bookmarkStart w:name="_6d13a9e7_53f9_4917_a9fb_4e8206e743df" w:id="1555"/>
            <w:bookmarkStart w:name="_eb9ec652_3bef_4ae1_af07_b1b509138f7d" w:colFirst="0" w:colLast="0" w:id="1556"/>
            <w:bookmarkStart w:name="_9af7c365_715f_4f92_badf_442ec0bc5359" w:colFirst="1" w:colLast="1" w:id="1557"/>
            <w:bookmarkStart w:name="_1d25569d_50e4_4499_b1e6_96e77706c7ff" w:colFirst="2" w:colLast="2" w:id="1558"/>
            <w:bookmarkStart w:name="_ce9dd1e0_c2db_4fd1_9264_22ab8e7d3a0e" w:colFirst="3" w:colLast="3" w:id="1559"/>
            <w:bookmarkStart w:name="_4bfb4e90_6b4c_4ab8_818a_c3256e1742ea" w:colFirst="4" w:colLast="4" w:id="1560"/>
            <w:bookmarkStart w:name="_ec6fc544_572b_425d_8879_e0e8ebca6af4" w:colFirst="5" w:colLast="5" w:id="1561"/>
            <w:bookmarkStart w:name="_e6edf308_2eb7_4444_913d_dd254618d791" w:colFirst="6" w:colLast="6" w:id="1562"/>
            <w:bookmarkStart w:name="_d1391cbd_a722_4929_80ae_214afd35abe6" w:id="1563"/>
            <w:bookmarkEnd w:id="1555"/>
          </w:p>
        </w:tc>
        <w:tc>
          <w:tcPr>
            <w:tcW w:w="108"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r>
      <w:tr w:rsidRPr="00A27544" w:rsidR="009534E2" w:rsidTr="00A27544">
        <w:trPr>
          <w:jc w:val="center"/>
        </w:trPr>
        <w:tc>
          <w:tcPr>
            <w:tcW w:w="3401" w:type="pct"/>
            <w:tcBorders>
              <w:top w:val="nil"/>
              <w:left w:val="nil"/>
              <w:bottom w:val="nil"/>
              <w:right w:val="nil"/>
              <w:tl2br w:val="nil"/>
              <w:tr2bl w:val="nil"/>
            </w:tcBorders>
            <w:shd w:val="clear" w:color="auto" w:fill="auto"/>
            <w:vAlign w:val="bottom"/>
          </w:tcPr>
          <w:p w:rsidRPr="00A27544" w:rsidR="009534E2" w:rsidRDefault="009534E2">
            <w:pPr>
              <w:keepNext/>
              <w:rPr>
                <w:rFonts w:asciiTheme="majorHAnsi" w:hAnsiTheme="majorHAnsi" w:cstheme="majorHAnsi"/>
                <w:color w:val="000000"/>
                <w:sz w:val="16"/>
              </w:rPr>
            </w:pPr>
            <w:bookmarkStart w:name="_1c8b474d_5fe6_426c_b675_b4b9b545bec4" w:id="1564"/>
            <w:bookmarkEnd w:id="1556"/>
            <w:bookmarkEnd w:id="1557"/>
            <w:bookmarkEnd w:id="1558"/>
            <w:bookmarkEnd w:id="1559"/>
            <w:bookmarkEnd w:id="1560"/>
            <w:bookmarkEnd w:id="1561"/>
            <w:bookmarkEnd w:id="1562"/>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2020</w:t>
            </w:r>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2021</w:t>
            </w:r>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2022</w:t>
            </w:r>
          </w:p>
        </w:tc>
      </w:tr>
      <w:tr w:rsidRPr="00A27544" w:rsidR="009534E2" w:rsidTr="00A27544">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b/>
                <w:color w:val="000000"/>
              </w:rPr>
            </w:pPr>
            <w:bookmarkStart w:name="_248e7e45_82f8_42a2_a5f4_aa66db98db8d" w:id="1565"/>
            <w:bookmarkEnd w:id="1564"/>
            <w:r w:rsidRPr="00A27544">
              <w:rPr>
                <w:rFonts w:eastAsia="Times New Roman" w:asciiTheme="majorHAnsi" w:hAnsiTheme="majorHAnsi" w:cstheme="majorHAnsi"/>
                <w:b/>
                <w:color w:val="000000"/>
              </w:rPr>
              <w:t>Revenue from continuing operations under IFRS</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40,622</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41,135</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51,502</w:t>
            </w:r>
          </w:p>
        </w:tc>
      </w:tr>
      <w:tr w:rsidRPr="00A27544" w:rsidR="009534E2" w:rsidTr="00A27544">
        <w:trPr>
          <w:jc w:val="center"/>
        </w:trPr>
        <w:tc>
          <w:tcPr>
            <w:tcW w:w="3401" w:type="pct"/>
            <w:tcBorders>
              <w:top w:val="nil"/>
              <w:left w:val="nil"/>
              <w:bottom w:val="nil"/>
              <w:right w:val="nil"/>
              <w:tl2br w:val="nil"/>
              <w:tr2bl w:val="nil"/>
            </w:tcBorders>
            <w:vAlign w:val="bottom"/>
          </w:tcPr>
          <w:p w:rsidRPr="00A27544" w:rsidR="009534E2" w:rsidRDefault="003369EB">
            <w:pPr>
              <w:keepNext/>
              <w:rPr>
                <w:rFonts w:asciiTheme="majorHAnsi" w:hAnsiTheme="majorHAnsi" w:cstheme="majorHAnsi"/>
                <w:b/>
                <w:color w:val="000000"/>
              </w:rPr>
            </w:pPr>
            <w:bookmarkStart w:name="_7035be4b_5046_4ceb_81c7_b0776c562c9f" w:id="1566"/>
            <w:bookmarkEnd w:id="1565"/>
            <w:r w:rsidRPr="00A27544">
              <w:rPr>
                <w:rFonts w:eastAsia="Times New Roman" w:asciiTheme="majorHAnsi" w:hAnsiTheme="majorHAnsi" w:cstheme="majorHAnsi"/>
                <w:b/>
                <w:color w:val="000000"/>
              </w:rPr>
              <w:t>Revenue from discontinued operations under IFRS</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2,614</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w:t>
            </w:r>
          </w:p>
        </w:tc>
      </w:tr>
      <w:tr w:rsidRPr="00A27544" w:rsidR="009534E2" w:rsidTr="00A27544">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color w:val="000000"/>
              </w:rPr>
            </w:pPr>
            <w:bookmarkStart w:name="_bbd67132_fa26_4da7_b549_023c993c8851" w:id="1567"/>
            <w:bookmarkEnd w:id="1566"/>
            <w:r w:rsidRPr="00A27544">
              <w:rPr>
                <w:rFonts w:eastAsia="Times New Roman" w:asciiTheme="majorHAnsi" w:hAnsiTheme="majorHAnsi" w:cstheme="majorHAnsi"/>
                <w:color w:val="000000"/>
              </w:rPr>
              <w:t>Cost of revenue from continuing operations</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(16,494)</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(18,022)</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(17,365)</w:t>
            </w:r>
          </w:p>
        </w:tc>
      </w:tr>
      <w:tr w:rsidRPr="00A27544" w:rsidR="009534E2" w:rsidTr="00A27544">
        <w:trPr>
          <w:jc w:val="center"/>
        </w:trPr>
        <w:tc>
          <w:tcPr>
            <w:tcW w:w="3401" w:type="pct"/>
            <w:tcBorders>
              <w:top w:val="nil"/>
              <w:left w:val="nil"/>
              <w:bottom w:val="nil"/>
              <w:right w:val="nil"/>
              <w:tl2br w:val="nil"/>
              <w:tr2bl w:val="nil"/>
            </w:tcBorders>
            <w:vAlign w:val="bottom"/>
          </w:tcPr>
          <w:p w:rsidRPr="00A27544" w:rsidR="009534E2" w:rsidRDefault="003369EB">
            <w:pPr>
              <w:keepNext/>
              <w:rPr>
                <w:rFonts w:asciiTheme="majorHAnsi" w:hAnsiTheme="majorHAnsi" w:cstheme="majorHAnsi"/>
                <w:color w:val="000000"/>
              </w:rPr>
            </w:pPr>
            <w:bookmarkStart w:name="_fbf8499b_8bb6_40c6_b6c1_668dacee9d0a" w:id="1568"/>
            <w:bookmarkEnd w:id="1567"/>
            <w:r w:rsidRPr="00A27544">
              <w:rPr>
                <w:rFonts w:eastAsia="Times New Roman" w:asciiTheme="majorHAnsi" w:hAnsiTheme="majorHAnsi" w:cstheme="majorHAnsi"/>
                <w:color w:val="000000"/>
              </w:rPr>
              <w:t xml:space="preserve">Cost of revenue from discontinuing operations </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(764)</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r>
      <w:tr w:rsidRPr="00A27544" w:rsidR="009534E2" w:rsidTr="00A27544">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b/>
                <w:color w:val="000000"/>
              </w:rPr>
            </w:pPr>
            <w:bookmarkStart w:name="_9beeba28_0b3d_4cbf_bf28_ce71bf26e3f8" w:id="1569"/>
            <w:bookmarkStart w:name="_ea0b81c9_9f01_4d45_a08c_ba03be95968e" w:colFirst="2" w:colLast="2" w:id="1570"/>
            <w:bookmarkStart w:name="_e1edbdd3_148e_4b32_b30e_2fb046fe0b1e" w:colFirst="4" w:colLast="4" w:id="1571"/>
            <w:bookmarkEnd w:id="1568"/>
            <w:r w:rsidRPr="00A27544">
              <w:rPr>
                <w:rFonts w:eastAsia="Times New Roman" w:asciiTheme="majorHAnsi" w:hAnsiTheme="majorHAnsi" w:cstheme="majorHAnsi"/>
                <w:b/>
                <w:color w:val="000000"/>
              </w:rPr>
              <w:t>Total segment net revenue, as presented to CODM</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25,978</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23,113</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34,137</w:t>
            </w:r>
          </w:p>
        </w:tc>
      </w:tr>
      <w:bookmarkEnd w:id="1563"/>
      <w:bookmarkEnd w:id="1569"/>
      <w:bookmarkEnd w:id="1570"/>
      <w:bookmarkEnd w:id="1571"/>
    </w:tbl>
    <w:p w:rsidR="009534E2" w:rsidRDefault="009534E2">
      <w:pPr>
        <w:rPr>
          <w:rFonts w:asciiTheme="majorHAnsi" w:hAnsiTheme="majorHAnsi" w:cstheme="majorHAnsi"/>
        </w:rPr>
      </w:pPr>
    </w:p>
    <w:p w:rsidR="009534E2" w:rsidRDefault="003369EB">
      <w:pPr>
        <w:pStyle w:val="BodyText"/>
        <w:keepNext/>
        <w:keepLines/>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A reconciliation of segment profit before tax as presented to the CODM to IFRS consolidated profit before tax of the Group, for the years ended December 31, 2020, 2021 and 2022 is presented below:</w:t>
      </w:r>
    </w:p>
    <w:p w:rsidR="009534E2" w:rsidRDefault="009534E2">
      <w:pPr>
        <w:pStyle w:val="BodyText"/>
        <w:keepNext/>
        <w:keepLines/>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Pr="00A27544" w:rsidR="009534E2" w:rsidTr="00A27544">
        <w:trPr>
          <w:trHeight w:val="20" w:hRule="exact"/>
          <w:jc w:val="center"/>
        </w:trPr>
        <w:tc>
          <w:tcPr>
            <w:tcW w:w="3401" w:type="pct"/>
            <w:tcBorders>
              <w:top w:val="nil"/>
              <w:left w:val="nil"/>
              <w:bottom w:val="nil"/>
              <w:right w:val="nil"/>
            </w:tcBorders>
            <w:vAlign w:val="bottom"/>
          </w:tcPr>
          <w:p w:rsidRPr="00A27544" w:rsidR="009534E2" w:rsidRDefault="009534E2">
            <w:pPr>
              <w:keepNext/>
              <w:keepLines/>
              <w:rPr>
                <w:rFonts w:asciiTheme="majorHAnsi" w:hAnsiTheme="majorHAnsi" w:cstheme="majorHAnsi"/>
                <w:sz w:val="2"/>
              </w:rPr>
            </w:pPr>
            <w:bookmarkStart w:name="_cf7b451d_50e6_4dfb_9435_650d36dd922a" w:id="1572"/>
            <w:bookmarkStart w:name="_c3423927_83f6_40bf_92b0_33dee2be6b7a" w:colFirst="0" w:colLast="0" w:id="1573"/>
            <w:bookmarkStart w:name="_42b557c3_8a7f_4257_975d_585e21527c1d" w:colFirst="1" w:colLast="1" w:id="1574"/>
            <w:bookmarkStart w:name="_34e12a2e_c109_4e36_b39d_a6a8467895ec" w:colFirst="2" w:colLast="2" w:id="1575"/>
            <w:bookmarkStart w:name="_0156202e_5331_4d8a_bff6_704d2eed0673" w:colFirst="3" w:colLast="3" w:id="1576"/>
            <w:bookmarkStart w:name="_3cea1ba1_e8f7_43ab_9934_84ae6f0930ab" w:colFirst="4" w:colLast="4" w:id="1577"/>
            <w:bookmarkStart w:name="_cfe41545_f495_48d1_9fba_4d79fa160542" w:colFirst="5" w:colLast="5" w:id="1578"/>
            <w:bookmarkStart w:name="_71876da9_5ead_45b3_b2f8_786584a1bbbb" w:colFirst="6" w:colLast="6" w:id="1579"/>
            <w:bookmarkStart w:name="_77b5cc4c_c76e_4d88_a6a0_036c2a851480" w:id="1580"/>
            <w:bookmarkEnd w:id="1572"/>
          </w:p>
        </w:tc>
        <w:tc>
          <w:tcPr>
            <w:tcW w:w="108" w:type="pct"/>
            <w:tcBorders>
              <w:top w:val="nil"/>
              <w:left w:val="nil"/>
              <w:bottom w:val="nil"/>
              <w:right w:val="nil"/>
            </w:tcBorders>
            <w:noWrap/>
            <w:vAlign w:val="bottom"/>
          </w:tcPr>
          <w:p w:rsidRPr="00A27544" w:rsidR="009534E2" w:rsidRDefault="009534E2">
            <w:pPr>
              <w:keepNext/>
              <w:keepLines/>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keepLines/>
              <w:rPr>
                <w:rFonts w:asciiTheme="majorHAnsi" w:hAnsiTheme="majorHAnsi" w:cstheme="majorHAnsi"/>
                <w:sz w:val="2"/>
              </w:rPr>
            </w:pPr>
          </w:p>
        </w:tc>
        <w:tc>
          <w:tcPr>
            <w:tcW w:w="108" w:type="pct"/>
            <w:tcBorders>
              <w:top w:val="nil"/>
              <w:left w:val="nil"/>
              <w:bottom w:val="nil"/>
              <w:right w:val="nil"/>
            </w:tcBorders>
            <w:noWrap/>
            <w:vAlign w:val="bottom"/>
          </w:tcPr>
          <w:p w:rsidRPr="00A27544" w:rsidR="009534E2" w:rsidRDefault="009534E2">
            <w:pPr>
              <w:keepNext/>
              <w:keepLines/>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keepLines/>
              <w:rPr>
                <w:rFonts w:asciiTheme="majorHAnsi" w:hAnsiTheme="majorHAnsi" w:cstheme="majorHAnsi"/>
                <w:sz w:val="2"/>
              </w:rPr>
            </w:pPr>
          </w:p>
        </w:tc>
        <w:tc>
          <w:tcPr>
            <w:tcW w:w="108" w:type="pct"/>
            <w:tcBorders>
              <w:top w:val="nil"/>
              <w:left w:val="nil"/>
              <w:bottom w:val="nil"/>
              <w:right w:val="nil"/>
            </w:tcBorders>
            <w:noWrap/>
            <w:vAlign w:val="bottom"/>
          </w:tcPr>
          <w:p w:rsidRPr="00A27544" w:rsidR="009534E2" w:rsidRDefault="009534E2">
            <w:pPr>
              <w:keepNext/>
              <w:keepLines/>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keepLines/>
              <w:rPr>
                <w:rFonts w:asciiTheme="majorHAnsi" w:hAnsiTheme="majorHAnsi" w:cstheme="majorHAnsi"/>
                <w:sz w:val="2"/>
              </w:rPr>
            </w:pPr>
          </w:p>
        </w:tc>
      </w:tr>
      <w:tr w:rsidRPr="00A27544" w:rsidR="009534E2" w:rsidTr="00A27544">
        <w:trPr>
          <w:jc w:val="center"/>
        </w:trPr>
        <w:tc>
          <w:tcPr>
            <w:tcW w:w="3401" w:type="pct"/>
            <w:tcBorders>
              <w:top w:val="nil"/>
              <w:left w:val="nil"/>
              <w:bottom w:val="nil"/>
              <w:right w:val="nil"/>
              <w:tl2br w:val="nil"/>
              <w:tr2bl w:val="nil"/>
            </w:tcBorders>
            <w:shd w:val="clear" w:color="auto" w:fill="auto"/>
            <w:vAlign w:val="bottom"/>
          </w:tcPr>
          <w:p w:rsidRPr="00A27544" w:rsidR="009534E2" w:rsidRDefault="009534E2">
            <w:pPr>
              <w:keepNext/>
              <w:keepLines/>
              <w:rPr>
                <w:rFonts w:asciiTheme="majorHAnsi" w:hAnsiTheme="majorHAnsi" w:cstheme="majorHAnsi"/>
                <w:color w:val="000000"/>
                <w:sz w:val="16"/>
              </w:rPr>
            </w:pPr>
            <w:bookmarkStart w:name="_603c1134_6f39_4688_a003_1ea0ce24f025" w:id="1581"/>
            <w:bookmarkEnd w:id="1573"/>
            <w:bookmarkEnd w:id="1574"/>
            <w:bookmarkEnd w:id="1575"/>
            <w:bookmarkEnd w:id="1576"/>
            <w:bookmarkEnd w:id="1577"/>
            <w:bookmarkEnd w:id="1578"/>
            <w:bookmarkEnd w:id="1579"/>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keepLines/>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keepLines/>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2020</w:t>
            </w:r>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keepLines/>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keepLines/>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2021</w:t>
            </w:r>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keepLines/>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keepLines/>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2022</w:t>
            </w:r>
          </w:p>
        </w:tc>
      </w:tr>
      <w:tr w:rsidRPr="00A27544" w:rsidR="009534E2" w:rsidTr="00A27544">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keepLines/>
              <w:rPr>
                <w:rFonts w:asciiTheme="majorHAnsi" w:hAnsiTheme="majorHAnsi" w:cstheme="majorHAnsi"/>
                <w:b/>
                <w:color w:val="000000"/>
              </w:rPr>
            </w:pPr>
            <w:bookmarkStart w:name="_dcae68ba_75d6_4ebf_8a3d_2261746048bb" w:id="1582"/>
            <w:bookmarkEnd w:id="1581"/>
            <w:r w:rsidRPr="00A27544">
              <w:rPr>
                <w:rFonts w:eastAsia="Times New Roman" w:asciiTheme="majorHAnsi" w:hAnsiTheme="majorHAnsi" w:cstheme="majorHAnsi"/>
                <w:b/>
                <w:color w:val="000000"/>
              </w:rPr>
              <w:t xml:space="preserve">Consolidated profit before tax from continuing operations under IFRS </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keepLines/>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keepLines/>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14,365</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keepLines/>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keepLines/>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20,616</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keepLines/>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keepLines/>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18,184</w:t>
            </w:r>
          </w:p>
        </w:tc>
      </w:tr>
      <w:tr w:rsidRPr="00A27544" w:rsidR="009534E2" w:rsidTr="00A27544">
        <w:trPr>
          <w:jc w:val="center"/>
        </w:trPr>
        <w:tc>
          <w:tcPr>
            <w:tcW w:w="3401" w:type="pct"/>
            <w:tcBorders>
              <w:top w:val="nil"/>
              <w:left w:val="nil"/>
              <w:bottom w:val="nil"/>
              <w:right w:val="nil"/>
              <w:tl2br w:val="nil"/>
              <w:tr2bl w:val="nil"/>
            </w:tcBorders>
            <w:vAlign w:val="bottom"/>
          </w:tcPr>
          <w:p w:rsidRPr="00A27544" w:rsidR="009534E2" w:rsidRDefault="003369EB">
            <w:pPr>
              <w:keepNext/>
              <w:keepLines/>
              <w:rPr>
                <w:rFonts w:asciiTheme="majorHAnsi" w:hAnsiTheme="majorHAnsi" w:cstheme="majorHAnsi"/>
                <w:b/>
                <w:color w:val="000000"/>
              </w:rPr>
            </w:pPr>
            <w:bookmarkStart w:name="_6527547f_3b36_44d9_8773_0aa112e11fb1" w:id="1583"/>
            <w:bookmarkEnd w:id="1582"/>
            <w:r w:rsidRPr="00A27544">
              <w:rPr>
                <w:rFonts w:eastAsia="Times New Roman" w:asciiTheme="majorHAnsi" w:hAnsiTheme="majorHAnsi" w:cstheme="majorHAnsi"/>
                <w:b/>
                <w:color w:val="000000"/>
              </w:rPr>
              <w:t xml:space="preserve">Consolidated loss before tax from discontinued operations under IFRS </w:t>
            </w:r>
          </w:p>
        </w:tc>
        <w:tc>
          <w:tcPr>
            <w:tcW w:w="108" w:type="pct"/>
            <w:tcBorders>
              <w:top w:val="nil"/>
              <w:left w:val="nil"/>
              <w:bottom w:val="nil"/>
              <w:right w:val="nil"/>
              <w:tl2br w:val="nil"/>
              <w:tr2bl w:val="nil"/>
            </w:tcBorders>
            <w:noWrap/>
            <w:vAlign w:val="bottom"/>
          </w:tcPr>
          <w:p w:rsidRPr="00A27544" w:rsidR="009534E2" w:rsidRDefault="009534E2">
            <w:pPr>
              <w:keepNext/>
              <w:keepLines/>
              <w:rPr>
                <w:rFonts w:asciiTheme="majorHAnsi" w:hAnsiTheme="majorHAnsi" w:cstheme="majorHAnsi"/>
                <w:b/>
                <w:color w:val="000000"/>
              </w:rPr>
            </w:pP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keepLines/>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(2,509)</w:t>
            </w:r>
          </w:p>
        </w:tc>
        <w:tc>
          <w:tcPr>
            <w:tcW w:w="108" w:type="pct"/>
            <w:tcBorders>
              <w:top w:val="nil"/>
              <w:left w:val="nil"/>
              <w:bottom w:val="nil"/>
              <w:right w:val="nil"/>
              <w:tl2br w:val="nil"/>
              <w:tr2bl w:val="nil"/>
            </w:tcBorders>
            <w:noWrap/>
            <w:vAlign w:val="bottom"/>
          </w:tcPr>
          <w:p w:rsidRPr="00A27544" w:rsidR="009534E2" w:rsidRDefault="009534E2">
            <w:pPr>
              <w:keepNext/>
              <w:keepLines/>
              <w:rPr>
                <w:rFonts w:asciiTheme="majorHAnsi" w:hAnsiTheme="majorHAnsi" w:cstheme="majorHAnsi"/>
                <w:b/>
                <w:color w:val="000000"/>
              </w:rPr>
            </w:pP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keepLines/>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w:t>
            </w:r>
          </w:p>
        </w:tc>
        <w:tc>
          <w:tcPr>
            <w:tcW w:w="108" w:type="pct"/>
            <w:tcBorders>
              <w:top w:val="nil"/>
              <w:left w:val="nil"/>
              <w:bottom w:val="nil"/>
              <w:right w:val="nil"/>
              <w:tl2br w:val="nil"/>
              <w:tr2bl w:val="nil"/>
            </w:tcBorders>
            <w:noWrap/>
            <w:vAlign w:val="bottom"/>
          </w:tcPr>
          <w:p w:rsidRPr="00A27544" w:rsidR="009534E2" w:rsidRDefault="009534E2">
            <w:pPr>
              <w:keepNext/>
              <w:keepLines/>
              <w:rPr>
                <w:rFonts w:asciiTheme="majorHAnsi" w:hAnsiTheme="majorHAnsi" w:cstheme="majorHAnsi"/>
                <w:b/>
                <w:color w:val="000000"/>
              </w:rPr>
            </w:pP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keepLines/>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w:t>
            </w:r>
          </w:p>
        </w:tc>
      </w:tr>
      <w:tr w:rsidRPr="00A27544" w:rsidR="009534E2" w:rsidTr="00A27544">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color w:val="000000"/>
              </w:rPr>
            </w:pPr>
            <w:bookmarkStart w:name="_91396784_1dd8_4671_af0f_0188ea9b5f3b" w:id="1584"/>
            <w:bookmarkStart w:name="_39222a88_a792_4d5e_9189_b506cb462e27" w:colFirst="2" w:colLast="2" w:id="1585"/>
            <w:bookmarkStart w:name="_63a4652c_5319_4e72_8452_c260af3d3e7a" w:colFirst="4" w:colLast="4" w:id="1586"/>
            <w:bookmarkEnd w:id="1583"/>
            <w:r w:rsidRPr="00A27544">
              <w:rPr>
                <w:rFonts w:eastAsia="Times New Roman" w:asciiTheme="majorHAnsi" w:hAnsiTheme="majorHAnsi" w:cstheme="majorHAnsi"/>
                <w:color w:val="000000"/>
              </w:rPr>
              <w:t>Gain on disposal of an associate</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(8,177)</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r>
      <w:tr w:rsidRPr="00A27544" w:rsidR="009534E2" w:rsidTr="00A27544">
        <w:trPr>
          <w:jc w:val="center"/>
        </w:trPr>
        <w:tc>
          <w:tcPr>
            <w:tcW w:w="3401" w:type="pct"/>
            <w:tcBorders>
              <w:top w:val="nil"/>
              <w:left w:val="nil"/>
              <w:bottom w:val="nil"/>
              <w:right w:val="nil"/>
              <w:tl2br w:val="nil"/>
              <w:tr2bl w:val="nil"/>
            </w:tcBorders>
            <w:vAlign w:val="bottom"/>
          </w:tcPr>
          <w:p w:rsidRPr="00A27544" w:rsidR="009534E2" w:rsidRDefault="003369EB">
            <w:pPr>
              <w:keepNext/>
              <w:rPr>
                <w:rFonts w:asciiTheme="majorHAnsi" w:hAnsiTheme="majorHAnsi" w:cstheme="majorHAnsi"/>
                <w:color w:val="000000"/>
              </w:rPr>
            </w:pPr>
            <w:bookmarkStart w:name="_2a39ff4c_ec82_469e_9162_a5cd14d1bbc3" w:id="1587"/>
            <w:bookmarkStart w:name="_37a5a709_8320_4a11_bd68_69cdfc14b956" w:colFirst="2" w:colLast="2" w:id="1588"/>
            <w:bookmarkStart w:name="_9ac983b7_b29f_4ec2_87ff_a8b831e2e1b8" w:colFirst="4" w:colLast="4" w:id="1589"/>
            <w:bookmarkEnd w:id="1584"/>
            <w:bookmarkEnd w:id="1585"/>
            <w:bookmarkEnd w:id="1586"/>
            <w:r w:rsidRPr="00A27544">
              <w:rPr>
                <w:rFonts w:eastAsia="Times New Roman" w:asciiTheme="majorHAnsi" w:hAnsiTheme="majorHAnsi" w:cstheme="majorHAnsi"/>
                <w:color w:val="000000"/>
              </w:rPr>
              <w:t>Fair value adjustments recorded on business combinations and their amortization</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337</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241</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219</w:t>
            </w:r>
          </w:p>
        </w:tc>
      </w:tr>
      <w:tr w:rsidRPr="00A27544" w:rsidR="009534E2" w:rsidTr="00A27544">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color w:val="000000"/>
              </w:rPr>
            </w:pPr>
            <w:bookmarkStart w:name="_039ab158_dddd_4111_be9f_10371bc7cf0c" w:id="1590"/>
            <w:bookmarkStart w:name="_9e17da26_ba3d_4e7d_bc1d_5fdd99565521" w:colFirst="2" w:colLast="2" w:id="1591"/>
            <w:bookmarkStart w:name="_07520c7d_3072_4647_a593_a631228f7e4f" w:colFirst="4" w:colLast="4" w:id="1592"/>
            <w:bookmarkEnd w:id="1587"/>
            <w:bookmarkEnd w:id="1588"/>
            <w:bookmarkEnd w:id="1589"/>
            <w:r w:rsidRPr="00A27544">
              <w:rPr>
                <w:rFonts w:eastAsia="Times New Roman" w:asciiTheme="majorHAnsi" w:hAnsiTheme="majorHAnsi" w:cstheme="majorHAnsi"/>
                <w:color w:val="000000"/>
              </w:rPr>
              <w:t>Impairment of non-current assets</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134</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24</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47</w:t>
            </w:r>
          </w:p>
        </w:tc>
      </w:tr>
      <w:tr w:rsidRPr="00A27544" w:rsidR="009534E2" w:rsidTr="00A27544">
        <w:trPr>
          <w:jc w:val="center"/>
        </w:trPr>
        <w:tc>
          <w:tcPr>
            <w:tcW w:w="3401" w:type="pct"/>
            <w:tcBorders>
              <w:top w:val="nil"/>
              <w:left w:val="nil"/>
              <w:bottom w:val="nil"/>
              <w:right w:val="nil"/>
              <w:tl2br w:val="nil"/>
              <w:tr2bl w:val="nil"/>
            </w:tcBorders>
            <w:vAlign w:val="bottom"/>
          </w:tcPr>
          <w:p w:rsidRPr="00A27544" w:rsidR="009534E2" w:rsidRDefault="003369EB">
            <w:pPr>
              <w:keepNext/>
              <w:rPr>
                <w:rFonts w:asciiTheme="majorHAnsi" w:hAnsiTheme="majorHAnsi" w:cstheme="majorHAnsi"/>
                <w:color w:val="000000"/>
              </w:rPr>
            </w:pPr>
            <w:bookmarkStart w:name="_980e6849_c135_4e3c_a737_95656e21bc5e" w:id="1593"/>
            <w:bookmarkStart w:name="_a921c952_f41a_4003_8f63_8f59a72c391a" w:colFirst="2" w:colLast="2" w:id="1594"/>
            <w:bookmarkStart w:name="_8f60b78f_1762_4309_a050_01cd84bc5c37" w:colFirst="4" w:colLast="4" w:id="1595"/>
            <w:bookmarkEnd w:id="1590"/>
            <w:bookmarkEnd w:id="1591"/>
            <w:bookmarkEnd w:id="1592"/>
            <w:r w:rsidRPr="00A27544">
              <w:rPr>
                <w:rFonts w:eastAsia="Times New Roman" w:asciiTheme="majorHAnsi" w:hAnsiTheme="majorHAnsi" w:cstheme="majorHAnsi"/>
                <w:color w:val="000000"/>
              </w:rPr>
              <w:t>Share-based payments</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43</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8</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59</w:t>
            </w:r>
          </w:p>
        </w:tc>
      </w:tr>
      <w:tr w:rsidRPr="00A27544" w:rsidR="009534E2" w:rsidTr="00A27544">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color w:val="000000"/>
              </w:rPr>
            </w:pPr>
            <w:bookmarkStart w:name="_6104e8b8_66e8_45e6_9079_0cebff526729" w:id="1596"/>
            <w:bookmarkStart w:name="_ec2b9a6c_44f9_4ec2_9184_3bb19c23bba3" w:colFirst="2" w:colLast="2" w:id="1597"/>
            <w:bookmarkStart w:name="_6ec7697d_e65c_42e0_80ab_9682e8de9517" w:colFirst="4" w:colLast="4" w:id="1598"/>
            <w:bookmarkEnd w:id="1593"/>
            <w:bookmarkEnd w:id="1594"/>
            <w:bookmarkEnd w:id="1595"/>
            <w:r w:rsidRPr="00A27544">
              <w:rPr>
                <w:rFonts w:eastAsia="Times New Roman" w:asciiTheme="majorHAnsi" w:hAnsiTheme="majorHAnsi" w:cstheme="majorHAnsi"/>
                <w:color w:val="000000"/>
              </w:rPr>
              <w:t xml:space="preserve">Offering expenses </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71</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r>
      <w:tr w:rsidRPr="00A27544" w:rsidR="009534E2" w:rsidTr="00A27544">
        <w:trPr>
          <w:jc w:val="center"/>
        </w:trPr>
        <w:tc>
          <w:tcPr>
            <w:tcW w:w="3401" w:type="pct"/>
            <w:tcBorders>
              <w:top w:val="nil"/>
              <w:left w:val="nil"/>
              <w:bottom w:val="nil"/>
              <w:right w:val="nil"/>
              <w:tl2br w:val="nil"/>
              <w:tr2bl w:val="nil"/>
            </w:tcBorders>
            <w:vAlign w:val="bottom"/>
          </w:tcPr>
          <w:p w:rsidRPr="00A27544" w:rsidR="009534E2" w:rsidRDefault="003369EB">
            <w:pPr>
              <w:keepNext/>
              <w:rPr>
                <w:rFonts w:asciiTheme="majorHAnsi" w:hAnsiTheme="majorHAnsi" w:cstheme="majorHAnsi"/>
                <w:color w:val="000000"/>
              </w:rPr>
            </w:pPr>
            <w:bookmarkStart w:name="_c1e4cf7f_fdbd_406e_9dcd_6f6f7199c4bf" w:id="1599"/>
            <w:bookmarkStart w:name="_ed688d3b_72a0_4091_9341_56eca04c157b" w:colFirst="2" w:colLast="2" w:id="1600"/>
            <w:bookmarkStart w:name="_2d6428ae_f8eb_4027_b794_2a7f249d9a72" w:colFirst="4" w:colLast="4" w:id="1601"/>
            <w:bookmarkEnd w:id="1596"/>
            <w:bookmarkEnd w:id="1597"/>
            <w:bookmarkEnd w:id="1598"/>
            <w:r w:rsidRPr="00A27544">
              <w:rPr>
                <w:rFonts w:eastAsia="Times New Roman" w:asciiTheme="majorHAnsi" w:hAnsiTheme="majorHAnsi" w:cstheme="majorHAnsi"/>
                <w:color w:val="000000"/>
              </w:rPr>
              <w:t>Loss on forward contract to sell Sovest loans’ portfolio</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712</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r>
      <w:tr w:rsidRPr="00A27544" w:rsidR="009534E2" w:rsidTr="00A27544">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color w:val="000000"/>
              </w:rPr>
            </w:pPr>
            <w:bookmarkStart w:name="_67514d09_d39c_46c6_9c40_8f240abe0925" w:id="1602"/>
            <w:bookmarkStart w:name="_8987bc8c_6ede_4896_9bfc_3e548a04cb97" w:colFirst="2" w:colLast="2" w:id="1603"/>
            <w:bookmarkStart w:name="_ece572b2_7612_4c04_b6bf_51221aa8fe58" w:colFirst="4" w:colLast="4" w:id="1604"/>
            <w:bookmarkEnd w:id="1599"/>
            <w:bookmarkEnd w:id="1600"/>
            <w:bookmarkEnd w:id="1601"/>
            <w:r w:rsidRPr="00A27544">
              <w:rPr>
                <w:rFonts w:eastAsia="Times New Roman" w:asciiTheme="majorHAnsi" w:hAnsiTheme="majorHAnsi" w:cstheme="majorHAnsi"/>
                <w:color w:val="000000"/>
              </w:rPr>
              <w:t>Loss on disposal of subsidiary</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42</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r>
      <w:tr w:rsidRPr="00A27544" w:rsidR="009534E2" w:rsidTr="00A27544">
        <w:trPr>
          <w:jc w:val="center"/>
        </w:trPr>
        <w:tc>
          <w:tcPr>
            <w:tcW w:w="3401" w:type="pct"/>
            <w:tcBorders>
              <w:top w:val="nil"/>
              <w:left w:val="nil"/>
              <w:bottom w:val="nil"/>
              <w:right w:val="nil"/>
              <w:tl2br w:val="nil"/>
              <w:tr2bl w:val="nil"/>
            </w:tcBorders>
            <w:vAlign w:val="bottom"/>
          </w:tcPr>
          <w:p w:rsidRPr="00A27544" w:rsidR="009534E2" w:rsidRDefault="003369EB">
            <w:pPr>
              <w:keepNext/>
              <w:rPr>
                <w:rFonts w:asciiTheme="majorHAnsi" w:hAnsiTheme="majorHAnsi" w:cstheme="majorHAnsi"/>
                <w:b/>
                <w:color w:val="000000"/>
              </w:rPr>
            </w:pPr>
            <w:bookmarkStart w:name="_04a7a76d_5428_4859_8a7c_d1e43b2e4f74" w:id="1605"/>
            <w:bookmarkStart w:name="_e5b9a1cb_d1f6_45aa_a9c9_bfe96ec43bf0" w:colFirst="2" w:colLast="2" w:id="1606"/>
            <w:bookmarkStart w:name="_c3d08ce4_269b_44c9_a1eb_69c57dc04ff5" w:colFirst="4" w:colLast="4" w:id="1607"/>
            <w:bookmarkEnd w:id="1602"/>
            <w:bookmarkEnd w:id="1603"/>
            <w:bookmarkEnd w:id="1604"/>
            <w:r w:rsidRPr="00A27544">
              <w:rPr>
                <w:rFonts w:eastAsia="Times New Roman" w:asciiTheme="majorHAnsi" w:hAnsiTheme="majorHAnsi" w:cstheme="majorHAnsi"/>
                <w:b/>
                <w:color w:val="000000"/>
              </w:rPr>
              <w:t>Total segment profit before tax, as presented to CODM</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doub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13,195</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doub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12,712</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doub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18,509</w:t>
            </w:r>
          </w:p>
        </w:tc>
      </w:tr>
      <w:bookmarkEnd w:id="1580"/>
      <w:bookmarkEnd w:id="1605"/>
      <w:bookmarkEnd w:id="1606"/>
      <w:bookmarkEnd w:id="1607"/>
    </w:tbl>
    <w:p w:rsidR="009534E2" w:rsidRDefault="009534E2">
      <w:pPr>
        <w:rPr>
          <w:rFonts w:asciiTheme="majorHAnsi" w:hAnsiTheme="majorHAnsi" w:cstheme="majorHAnsi"/>
        </w:rPr>
      </w:pPr>
    </w:p>
    <w:p w:rsidR="00A27544" w:rsidP="00A27544" w:rsidRDefault="00A27544">
      <w:pPr>
        <w:pStyle w:val="Heading1"/>
        <w:pageBreakBefore/>
        <w:ind w:left="360" w:hanging="360"/>
        <w:rPr>
          <w:lang w:val="ru-RU" w:eastAsia="ru-RU"/>
        </w:rPr>
      </w:pPr>
      <w:r>
        <w:rPr>
          <w:lang w:eastAsia="ru-RU"/>
        </w:rPr>
        <w:t>7.</w:t>
      </w:r>
      <w:r>
        <w:rPr>
          <w:lang w:eastAsia="ru-RU"/>
        </w:rPr>
        <w:tab/>
      </w:r>
      <w:r>
        <w:rPr>
          <w:lang w:val="ru-RU" w:eastAsia="ru-RU"/>
        </w:rPr>
        <w:t>Operating segments (continued)</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A reconciliation of segment net profit as presented to the CODM to IFRS consolidated net profit of the Group, for the years ended December 31, 2020, 2021 and 2022 is presented below:</w:t>
      </w:r>
    </w:p>
    <w:p w:rsidR="009534E2" w:rsidRDefault="009534E2">
      <w:pPr>
        <w:pStyle w:val="BodyText"/>
        <w:keepNext/>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Pr="00A27544" w:rsidR="009534E2" w:rsidTr="00A27544">
        <w:trPr>
          <w:trHeight w:val="20" w:hRule="exact"/>
          <w:jc w:val="center"/>
        </w:trPr>
        <w:tc>
          <w:tcPr>
            <w:tcW w:w="3401" w:type="pct"/>
            <w:tcBorders>
              <w:top w:val="nil"/>
              <w:left w:val="nil"/>
              <w:bottom w:val="nil"/>
              <w:right w:val="nil"/>
            </w:tcBorders>
            <w:vAlign w:val="bottom"/>
          </w:tcPr>
          <w:p w:rsidRPr="00A27544" w:rsidR="009534E2" w:rsidRDefault="009534E2">
            <w:pPr>
              <w:keepNext/>
              <w:rPr>
                <w:rFonts w:asciiTheme="majorHAnsi" w:hAnsiTheme="majorHAnsi" w:cstheme="majorHAnsi"/>
                <w:sz w:val="2"/>
              </w:rPr>
            </w:pPr>
            <w:bookmarkStart w:name="_25b9fb33_dd15_4a7a_b915_9e2d1313df64" w:id="1608"/>
            <w:bookmarkStart w:name="_13e57061_051a_432a_a794_063295cbfca8" w:colFirst="0" w:colLast="0" w:id="1609"/>
            <w:bookmarkStart w:name="_32308a17_9b16_428a_9526_56022abebb66" w:colFirst="1" w:colLast="1" w:id="1610"/>
            <w:bookmarkStart w:name="_eaca7cb2_5bd9_441f_abcf_ea1706c4a961" w:colFirst="2" w:colLast="2" w:id="1611"/>
            <w:bookmarkStart w:name="_7a8f3588_409c_47ea_8c41_55f72e74803c" w:colFirst="3" w:colLast="3" w:id="1612"/>
            <w:bookmarkStart w:name="_6c7435bf_77e4_48e1_8740_5b6b47d0c566" w:colFirst="4" w:colLast="4" w:id="1613"/>
            <w:bookmarkStart w:name="_66021e37_d3d0_4b71_978c_2a40080a7ecd" w:colFirst="5" w:colLast="5" w:id="1614"/>
            <w:bookmarkStart w:name="_6ad5c7b2_3d6f_48e7_a5f3_e936cd11f463" w:colFirst="6" w:colLast="6" w:id="1615"/>
            <w:bookmarkStart w:name="_27cd39ab_6338_4c5f_83ab_eaec4a478cbc" w:id="1616"/>
            <w:bookmarkEnd w:id="1608"/>
          </w:p>
        </w:tc>
        <w:tc>
          <w:tcPr>
            <w:tcW w:w="108"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r>
      <w:tr w:rsidRPr="00A27544" w:rsidR="009534E2" w:rsidTr="00A27544">
        <w:trPr>
          <w:jc w:val="center"/>
        </w:trPr>
        <w:tc>
          <w:tcPr>
            <w:tcW w:w="3401" w:type="pct"/>
            <w:tcBorders>
              <w:top w:val="nil"/>
              <w:left w:val="nil"/>
              <w:bottom w:val="nil"/>
              <w:right w:val="nil"/>
              <w:tl2br w:val="nil"/>
              <w:tr2bl w:val="nil"/>
            </w:tcBorders>
            <w:shd w:val="clear" w:color="auto" w:fill="auto"/>
            <w:vAlign w:val="bottom"/>
          </w:tcPr>
          <w:p w:rsidRPr="00A27544" w:rsidR="009534E2" w:rsidRDefault="009534E2">
            <w:pPr>
              <w:keepNext/>
              <w:rPr>
                <w:rFonts w:asciiTheme="majorHAnsi" w:hAnsiTheme="majorHAnsi" w:cstheme="majorHAnsi"/>
                <w:color w:val="000000"/>
                <w:sz w:val="16"/>
              </w:rPr>
            </w:pPr>
            <w:bookmarkStart w:name="_7157d25b_98f8_4e28_8c92_7ea69ffb889b" w:id="1617"/>
            <w:bookmarkEnd w:id="1609"/>
            <w:bookmarkEnd w:id="1610"/>
            <w:bookmarkEnd w:id="1611"/>
            <w:bookmarkEnd w:id="1612"/>
            <w:bookmarkEnd w:id="1613"/>
            <w:bookmarkEnd w:id="1614"/>
            <w:bookmarkEnd w:id="1615"/>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2020</w:t>
            </w:r>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2021</w:t>
            </w:r>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2022</w:t>
            </w:r>
          </w:p>
        </w:tc>
      </w:tr>
      <w:tr w:rsidRPr="00A27544" w:rsidR="009534E2" w:rsidTr="00A27544">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b/>
                <w:color w:val="000000"/>
              </w:rPr>
            </w:pPr>
            <w:bookmarkStart w:name="_42e5a8fc_cc5e_4352_951e_af28f4aecf52" w:id="1618"/>
            <w:bookmarkEnd w:id="1617"/>
            <w:r w:rsidRPr="00A27544">
              <w:rPr>
                <w:rFonts w:eastAsia="Times New Roman" w:asciiTheme="majorHAnsi" w:hAnsiTheme="majorHAnsi" w:cstheme="majorHAnsi"/>
                <w:b/>
                <w:color w:val="000000"/>
              </w:rPr>
              <w:t xml:space="preserve">Consolidated net profit from continuing operations under IFRS </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11,246</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17,536</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13,755</w:t>
            </w:r>
          </w:p>
        </w:tc>
      </w:tr>
      <w:tr w:rsidRPr="00A27544" w:rsidR="009534E2" w:rsidTr="00A27544">
        <w:trPr>
          <w:jc w:val="center"/>
        </w:trPr>
        <w:tc>
          <w:tcPr>
            <w:tcW w:w="3401" w:type="pct"/>
            <w:tcBorders>
              <w:top w:val="nil"/>
              <w:left w:val="nil"/>
              <w:bottom w:val="nil"/>
              <w:right w:val="nil"/>
              <w:tl2br w:val="nil"/>
              <w:tr2bl w:val="nil"/>
            </w:tcBorders>
            <w:vAlign w:val="bottom"/>
          </w:tcPr>
          <w:p w:rsidRPr="00A27544" w:rsidR="009534E2" w:rsidRDefault="003369EB">
            <w:pPr>
              <w:keepNext/>
              <w:rPr>
                <w:rFonts w:asciiTheme="majorHAnsi" w:hAnsiTheme="majorHAnsi" w:cstheme="majorHAnsi"/>
                <w:b/>
                <w:color w:val="000000"/>
              </w:rPr>
            </w:pPr>
            <w:bookmarkStart w:name="_09b24779_2dff_46a9_aa07_37982f0181d5" w:id="1619"/>
            <w:bookmarkEnd w:id="1618"/>
            <w:r w:rsidRPr="00A27544">
              <w:rPr>
                <w:rFonts w:eastAsia="Times New Roman" w:asciiTheme="majorHAnsi" w:hAnsiTheme="majorHAnsi" w:cstheme="majorHAnsi"/>
                <w:b/>
                <w:color w:val="000000"/>
              </w:rPr>
              <w:t xml:space="preserve">Consolidated net loss from discontinued operations under IFRS </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(2,308)</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w:t>
            </w:r>
          </w:p>
        </w:tc>
      </w:tr>
      <w:tr w:rsidRPr="00A27544" w:rsidR="009534E2" w:rsidTr="00A27544">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color w:val="000000"/>
              </w:rPr>
            </w:pPr>
            <w:bookmarkStart w:name="_f8f82ec7_cb58_4662_bba9_a6152e35ae80" w:id="1620"/>
            <w:bookmarkStart w:name="_1fb4faed_7590_4e74_a690_106175d89e8b" w:colFirst="2" w:colLast="2" w:id="1621"/>
            <w:bookmarkStart w:name="_d52202a9_aee9_470b_a071_75307850e0c7" w:colFirst="4" w:colLast="4" w:id="1622"/>
            <w:bookmarkEnd w:id="1619"/>
            <w:r w:rsidRPr="00A27544">
              <w:rPr>
                <w:rFonts w:eastAsia="Times New Roman" w:asciiTheme="majorHAnsi" w:hAnsiTheme="majorHAnsi" w:cstheme="majorHAnsi"/>
                <w:color w:val="000000"/>
              </w:rPr>
              <w:t>Gain on disposal of an associate</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(8,177)</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r>
      <w:tr w:rsidRPr="00A27544" w:rsidR="009534E2" w:rsidTr="00A27544">
        <w:trPr>
          <w:jc w:val="center"/>
        </w:trPr>
        <w:tc>
          <w:tcPr>
            <w:tcW w:w="3401" w:type="pct"/>
            <w:tcBorders>
              <w:top w:val="nil"/>
              <w:left w:val="nil"/>
              <w:bottom w:val="nil"/>
              <w:right w:val="nil"/>
              <w:tl2br w:val="nil"/>
              <w:tr2bl w:val="nil"/>
            </w:tcBorders>
            <w:vAlign w:val="bottom"/>
          </w:tcPr>
          <w:p w:rsidRPr="00A27544" w:rsidR="009534E2" w:rsidRDefault="003369EB">
            <w:pPr>
              <w:keepNext/>
              <w:rPr>
                <w:rFonts w:asciiTheme="majorHAnsi" w:hAnsiTheme="majorHAnsi" w:cstheme="majorHAnsi"/>
                <w:color w:val="000000"/>
              </w:rPr>
            </w:pPr>
            <w:bookmarkStart w:name="_3bc06f53_30b1_4f49_991f_f0fb5a575c5e" w:id="1623"/>
            <w:bookmarkStart w:name="_2884dce6_a706_4a9b_bd0a_465376500c2d" w:colFirst="2" w:colLast="2" w:id="1624"/>
            <w:bookmarkStart w:name="_0ce5fdba_af6c_4c6a_b572_5bfc5486830b" w:colFirst="4" w:colLast="4" w:id="1625"/>
            <w:bookmarkEnd w:id="1620"/>
            <w:bookmarkEnd w:id="1621"/>
            <w:bookmarkEnd w:id="1622"/>
            <w:r w:rsidRPr="00A27544">
              <w:rPr>
                <w:rFonts w:eastAsia="Times New Roman" w:asciiTheme="majorHAnsi" w:hAnsiTheme="majorHAnsi" w:cstheme="majorHAnsi"/>
                <w:color w:val="000000"/>
              </w:rPr>
              <w:t>Fair value adjustments recorded on business combinations and their amortization</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337</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241</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219</w:t>
            </w:r>
          </w:p>
        </w:tc>
      </w:tr>
      <w:tr w:rsidRPr="00A27544" w:rsidR="009534E2" w:rsidTr="00A27544">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color w:val="000000"/>
              </w:rPr>
            </w:pPr>
            <w:bookmarkStart w:name="_3476c4b3_0f67_4acf_980a_06f54e0b1e3c" w:id="1626"/>
            <w:bookmarkStart w:name="_52571774_3561_4e83_8a91_e016fa868622" w:colFirst="2" w:colLast="2" w:id="1627"/>
            <w:bookmarkStart w:name="_d1dcafd1_bd6d_4344_ac03_51ae09680689" w:colFirst="4" w:colLast="4" w:id="1628"/>
            <w:bookmarkEnd w:id="1623"/>
            <w:bookmarkEnd w:id="1624"/>
            <w:bookmarkEnd w:id="1625"/>
            <w:r w:rsidRPr="00A27544">
              <w:rPr>
                <w:rFonts w:eastAsia="Times New Roman" w:asciiTheme="majorHAnsi" w:hAnsiTheme="majorHAnsi" w:cstheme="majorHAnsi"/>
                <w:color w:val="000000"/>
              </w:rPr>
              <w:t>Impairment of non-current assets</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134</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24</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47</w:t>
            </w:r>
          </w:p>
        </w:tc>
      </w:tr>
      <w:tr w:rsidRPr="00A27544" w:rsidR="009534E2" w:rsidTr="00A27544">
        <w:trPr>
          <w:jc w:val="center"/>
        </w:trPr>
        <w:tc>
          <w:tcPr>
            <w:tcW w:w="3401" w:type="pct"/>
            <w:tcBorders>
              <w:top w:val="nil"/>
              <w:left w:val="nil"/>
              <w:bottom w:val="nil"/>
              <w:right w:val="nil"/>
              <w:tl2br w:val="nil"/>
              <w:tr2bl w:val="nil"/>
            </w:tcBorders>
            <w:vAlign w:val="bottom"/>
          </w:tcPr>
          <w:p w:rsidRPr="00A27544" w:rsidR="009534E2" w:rsidRDefault="003369EB">
            <w:pPr>
              <w:keepNext/>
              <w:rPr>
                <w:rFonts w:asciiTheme="majorHAnsi" w:hAnsiTheme="majorHAnsi" w:cstheme="majorHAnsi"/>
                <w:color w:val="000000"/>
              </w:rPr>
            </w:pPr>
            <w:bookmarkStart w:name="_4ad733c8_a4ba_4384_a140_5886dbf547af" w:id="1629"/>
            <w:bookmarkStart w:name="_f01f0058_6d7f_4fdf_8a19_6ad185f0fa6f" w:colFirst="2" w:colLast="2" w:id="1630"/>
            <w:bookmarkStart w:name="_f5ef42de_e8a0_483b_9f45_f47f0f379374" w:colFirst="4" w:colLast="4" w:id="1631"/>
            <w:bookmarkEnd w:id="1626"/>
            <w:bookmarkEnd w:id="1627"/>
            <w:bookmarkEnd w:id="1628"/>
            <w:r w:rsidRPr="00A27544">
              <w:rPr>
                <w:rFonts w:eastAsia="Times New Roman" w:asciiTheme="majorHAnsi" w:hAnsiTheme="majorHAnsi" w:cstheme="majorHAnsi"/>
                <w:color w:val="000000"/>
              </w:rPr>
              <w:t>Share-based payments</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43</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8</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59</w:t>
            </w:r>
          </w:p>
        </w:tc>
      </w:tr>
      <w:tr w:rsidRPr="00A27544" w:rsidR="009534E2" w:rsidTr="00A27544">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color w:val="000000"/>
              </w:rPr>
            </w:pPr>
            <w:bookmarkStart w:name="_086f441e_c3ed_45cc_a429_1f6691a1183d" w:id="1632"/>
            <w:bookmarkStart w:name="_6a784bab_7575_4ba5_a612_1862c2c73ca3" w:colFirst="2" w:colLast="2" w:id="1633"/>
            <w:bookmarkStart w:name="_b1feaff2_b6e0_4e13_a152_13d3488dd692" w:colFirst="4" w:colLast="4" w:id="1634"/>
            <w:bookmarkEnd w:id="1629"/>
            <w:bookmarkEnd w:id="1630"/>
            <w:bookmarkEnd w:id="1631"/>
            <w:r w:rsidRPr="00A27544">
              <w:rPr>
                <w:rFonts w:eastAsia="Times New Roman" w:asciiTheme="majorHAnsi" w:hAnsiTheme="majorHAnsi" w:cstheme="majorHAnsi"/>
                <w:color w:val="000000"/>
              </w:rPr>
              <w:t>Offering expenses</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71</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r>
      <w:tr w:rsidRPr="00A27544" w:rsidR="009534E2" w:rsidTr="00A27544">
        <w:trPr>
          <w:jc w:val="center"/>
        </w:trPr>
        <w:tc>
          <w:tcPr>
            <w:tcW w:w="3401" w:type="pct"/>
            <w:tcBorders>
              <w:top w:val="nil"/>
              <w:left w:val="nil"/>
              <w:bottom w:val="nil"/>
              <w:right w:val="nil"/>
              <w:tl2br w:val="nil"/>
              <w:tr2bl w:val="nil"/>
            </w:tcBorders>
            <w:vAlign w:val="bottom"/>
          </w:tcPr>
          <w:p w:rsidRPr="00A27544" w:rsidR="009534E2" w:rsidRDefault="003369EB">
            <w:pPr>
              <w:keepNext/>
              <w:rPr>
                <w:rFonts w:asciiTheme="majorHAnsi" w:hAnsiTheme="majorHAnsi" w:cstheme="majorHAnsi"/>
                <w:color w:val="000000"/>
              </w:rPr>
            </w:pPr>
            <w:bookmarkStart w:name="_e162b18a_8999_4851_9597_b2c35c2db084" w:id="1635"/>
            <w:bookmarkStart w:name="_29fe9dce_0dd1_4dde_9116_5739fe0ec4c0" w:colFirst="2" w:colLast="2" w:id="1636"/>
            <w:bookmarkStart w:name="_4c698e71_5be4_4db4_a91c_64c7a5da8e23" w:colFirst="4" w:colLast="4" w:id="1637"/>
            <w:bookmarkEnd w:id="1632"/>
            <w:bookmarkEnd w:id="1633"/>
            <w:bookmarkEnd w:id="1634"/>
            <w:r w:rsidRPr="00A27544">
              <w:rPr>
                <w:rFonts w:eastAsia="Times New Roman" w:asciiTheme="majorHAnsi" w:hAnsiTheme="majorHAnsi" w:cstheme="majorHAnsi"/>
                <w:color w:val="000000"/>
              </w:rPr>
              <w:t>Loss on forward contract to sell Sovest loans’ portfolio</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712</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r>
      <w:tr w:rsidRPr="00A27544" w:rsidR="009534E2" w:rsidTr="00A27544">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color w:val="000000"/>
              </w:rPr>
            </w:pPr>
            <w:bookmarkStart w:name="_cea24169_bae0_4a33_9a95_a1a40d289cd1" w:id="1638"/>
            <w:bookmarkStart w:name="_5a0754d1_5868_4037_9d46_eb8dea51e2aa" w:colFirst="2" w:colLast="2" w:id="1639"/>
            <w:bookmarkStart w:name="_1ca7f57a_3319_4020_a7ea_1adbf2bce550" w:colFirst="4" w:colLast="4" w:id="1640"/>
            <w:bookmarkEnd w:id="1635"/>
            <w:bookmarkEnd w:id="1636"/>
            <w:bookmarkEnd w:id="1637"/>
            <w:r w:rsidRPr="00A27544">
              <w:rPr>
                <w:rFonts w:eastAsia="Times New Roman" w:asciiTheme="majorHAnsi" w:hAnsiTheme="majorHAnsi" w:cstheme="majorHAnsi"/>
                <w:color w:val="000000"/>
              </w:rPr>
              <w:t>Loss on disposal of subsidiary</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42</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r>
      <w:tr w:rsidRPr="00A27544" w:rsidR="009534E2" w:rsidTr="00A27544">
        <w:trPr>
          <w:jc w:val="center"/>
        </w:trPr>
        <w:tc>
          <w:tcPr>
            <w:tcW w:w="3401" w:type="pct"/>
            <w:tcBorders>
              <w:top w:val="nil"/>
              <w:left w:val="nil"/>
              <w:bottom w:val="nil"/>
              <w:right w:val="nil"/>
              <w:tl2br w:val="nil"/>
              <w:tr2bl w:val="nil"/>
            </w:tcBorders>
            <w:vAlign w:val="bottom"/>
          </w:tcPr>
          <w:p w:rsidRPr="00A27544" w:rsidR="009534E2" w:rsidRDefault="003369EB">
            <w:pPr>
              <w:keepNext/>
              <w:rPr>
                <w:rFonts w:asciiTheme="majorHAnsi" w:hAnsiTheme="majorHAnsi" w:cstheme="majorHAnsi"/>
                <w:color w:val="000000"/>
              </w:rPr>
            </w:pPr>
            <w:bookmarkStart w:name="_076e71fd_ece1_425c_b686_a3bb5250baf6" w:id="1641"/>
            <w:bookmarkStart w:name="_f28f93cc_eabb_4c05_9d05_0fa991e5aed2" w:colFirst="2" w:colLast="2" w:id="1642"/>
            <w:bookmarkStart w:name="_c0f47ec4_3ef6_4ce5_ae30_a4414b7904db" w:colFirst="4" w:colLast="4" w:id="1643"/>
            <w:bookmarkEnd w:id="1638"/>
            <w:bookmarkEnd w:id="1639"/>
            <w:bookmarkEnd w:id="1640"/>
            <w:r w:rsidRPr="00A27544">
              <w:rPr>
                <w:rFonts w:eastAsia="Times New Roman" w:asciiTheme="majorHAnsi" w:hAnsiTheme="majorHAnsi" w:cstheme="majorHAnsi"/>
                <w:color w:val="000000"/>
              </w:rPr>
              <w:t>Effect from taxation of the above items</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27</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(38)</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(84)</w:t>
            </w:r>
          </w:p>
        </w:tc>
      </w:tr>
      <w:tr w:rsidRPr="00A27544" w:rsidR="009534E2" w:rsidTr="00A27544">
        <w:trPr>
          <w:jc w:val="center"/>
        </w:trPr>
        <w:tc>
          <w:tcPr>
            <w:tcW w:w="3401"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bookmarkStart w:name="_84b620ce_6b30_4ec0_97c2_7133ea9fce2d" w:id="1644"/>
            <w:bookmarkStart w:name="_993392c0_2b02_47ae_b145_dba6e4b7c0e9" w:colFirst="2" w:colLast="2" w:id="1645"/>
            <w:bookmarkStart w:name="_121413dd_7178_4a90_a025_6d09ee999033" w:colFirst="4" w:colLast="4" w:id="1646"/>
            <w:bookmarkEnd w:id="1641"/>
            <w:bookmarkEnd w:id="1642"/>
            <w:bookmarkEnd w:id="1643"/>
            <w:r w:rsidRPr="00A27544">
              <w:rPr>
                <w:rFonts w:eastAsia="Times New Roman" w:asciiTheme="majorHAnsi" w:hAnsiTheme="majorHAnsi" w:cstheme="majorHAnsi"/>
                <w:b/>
                <w:color w:val="000000"/>
              </w:rPr>
              <w:t xml:space="preserve">Total segment net profit, as presented to CODM </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color w:val="000000"/>
              </w:rPr>
            </w:pP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10,304</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9,594</w:t>
            </w:r>
          </w:p>
        </w:tc>
        <w:tc>
          <w:tcPr>
            <w:tcW w:w="108" w:type="pct"/>
            <w:tcBorders>
              <w:top w:val="nil"/>
              <w:left w:val="nil"/>
              <w:bottom w:val="nil"/>
              <w:right w:val="nil"/>
              <w:tl2br w:val="nil"/>
              <w:tr2bl w:val="nil"/>
            </w:tcBorders>
            <w:shd w:val="clear" w:color="auto" w:fill="CCEEFF"/>
            <w:noWrap/>
            <w:vAlign w:val="bottom"/>
          </w:tcPr>
          <w:p w:rsidRPr="00A27544" w:rsidR="009534E2" w:rsidRDefault="009534E2">
            <w:pPr>
              <w:keepNext/>
              <w:rPr>
                <w:rFonts w:asciiTheme="majorHAnsi" w:hAnsiTheme="majorHAnsi" w:cstheme="majorHAnsi"/>
                <w:b/>
                <w:color w:val="000000"/>
              </w:rPr>
            </w:pP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13,996</w:t>
            </w:r>
          </w:p>
        </w:tc>
      </w:tr>
      <w:bookmarkEnd w:id="1616"/>
      <w:bookmarkEnd w:id="1644"/>
      <w:bookmarkEnd w:id="1645"/>
      <w:bookmarkEnd w:id="1646"/>
    </w:tbl>
    <w:p w:rsidR="009534E2" w:rsidRDefault="009534E2">
      <w:pPr>
        <w:rPr>
          <w:rFonts w:asciiTheme="majorHAnsi" w:hAnsiTheme="majorHAnsi" w:cstheme="majorHAnsi"/>
        </w:rPr>
      </w:pPr>
    </w:p>
    <w:p w:rsidR="009534E2" w:rsidRDefault="003369EB">
      <w:pPr>
        <w:pStyle w:val="Heading4"/>
      </w:pPr>
      <w:r>
        <w:t>Geographic information</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Revenues from external customers are presented below:</w:t>
      </w:r>
    </w:p>
    <w:p w:rsidR="009534E2" w:rsidRDefault="009534E2">
      <w:pPr>
        <w:pStyle w:val="BodyText"/>
        <w:keepNext/>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Pr="00A27544" w:rsidR="009534E2" w:rsidTr="00A27544">
        <w:trPr>
          <w:trHeight w:val="20" w:hRule="exact"/>
          <w:jc w:val="center"/>
        </w:trPr>
        <w:tc>
          <w:tcPr>
            <w:tcW w:w="3401" w:type="pct"/>
            <w:tcBorders>
              <w:top w:val="nil"/>
              <w:left w:val="nil"/>
              <w:bottom w:val="nil"/>
              <w:right w:val="nil"/>
            </w:tcBorders>
            <w:vAlign w:val="bottom"/>
          </w:tcPr>
          <w:p w:rsidRPr="00A27544" w:rsidR="009534E2" w:rsidRDefault="009534E2">
            <w:pPr>
              <w:keepNext/>
              <w:rPr>
                <w:rFonts w:asciiTheme="majorHAnsi" w:hAnsiTheme="majorHAnsi" w:cstheme="majorHAnsi"/>
                <w:sz w:val="2"/>
              </w:rPr>
            </w:pPr>
            <w:bookmarkStart w:name="_9c192af4_dac6_41ec_858d_21e8c36a0174" w:id="1647"/>
            <w:bookmarkStart w:name="_b2e3e1f3_4020_4702_bfba_22984552954e" w:colFirst="0" w:colLast="0" w:id="1648"/>
            <w:bookmarkStart w:name="_4f6bc268_34e4_4fcb_abc7_fdd8c9a28db7" w:colFirst="1" w:colLast="1" w:id="1649"/>
            <w:bookmarkStart w:name="_36ffa771_0d1a_4eb5_a900_c77b451f0585" w:colFirst="2" w:colLast="2" w:id="1650"/>
            <w:bookmarkStart w:name="_7da81fe8_d6df_4c39_afde_04a124130d92" w:colFirst="3" w:colLast="3" w:id="1651"/>
            <w:bookmarkStart w:name="_ec4c62b5_49f4_4d97_88a5_20eb77cf5466" w:colFirst="4" w:colLast="4" w:id="1652"/>
            <w:bookmarkStart w:name="_019edbfb_9510_4708_9d94_c1139c41b273" w:colFirst="5" w:colLast="5" w:id="1653"/>
            <w:bookmarkStart w:name="_57834ac3_6b48_4a79_aa09_1e420d7261aa" w:colFirst="6" w:colLast="6" w:id="1654"/>
            <w:bookmarkStart w:name="_e38ef1c1_e541_4ff5_87ff_b2c3f10d9370" w:id="1655"/>
            <w:bookmarkEnd w:id="1647"/>
          </w:p>
        </w:tc>
        <w:tc>
          <w:tcPr>
            <w:tcW w:w="108"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r>
      <w:tr w:rsidRPr="00A27544" w:rsidR="009534E2" w:rsidTr="00A27544">
        <w:trPr>
          <w:jc w:val="center"/>
        </w:trPr>
        <w:tc>
          <w:tcPr>
            <w:tcW w:w="3401" w:type="pct"/>
            <w:tcBorders>
              <w:top w:val="nil"/>
              <w:left w:val="nil"/>
              <w:bottom w:val="nil"/>
              <w:right w:val="nil"/>
              <w:tl2br w:val="nil"/>
              <w:tr2bl w:val="nil"/>
            </w:tcBorders>
            <w:shd w:val="clear" w:color="auto" w:fill="auto"/>
            <w:vAlign w:val="bottom"/>
          </w:tcPr>
          <w:p w:rsidRPr="00A27544" w:rsidR="009534E2" w:rsidRDefault="009534E2">
            <w:pPr>
              <w:keepNext/>
              <w:rPr>
                <w:rFonts w:asciiTheme="majorHAnsi" w:hAnsiTheme="majorHAnsi" w:cstheme="majorHAnsi"/>
                <w:b/>
                <w:color w:val="000000"/>
                <w:sz w:val="16"/>
              </w:rPr>
            </w:pPr>
            <w:bookmarkStart w:name="_7aa775d3_6df3_432b_bb9e_19f68d91b78e" w:id="1656"/>
            <w:bookmarkEnd w:id="1648"/>
            <w:bookmarkEnd w:id="1649"/>
            <w:bookmarkEnd w:id="1650"/>
            <w:bookmarkEnd w:id="1651"/>
            <w:bookmarkEnd w:id="1652"/>
            <w:bookmarkEnd w:id="1653"/>
            <w:bookmarkEnd w:id="1654"/>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2020</w:t>
            </w:r>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2021</w:t>
            </w:r>
          </w:p>
        </w:tc>
        <w:tc>
          <w:tcPr>
            <w:tcW w:w="108"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2022</w:t>
            </w:r>
          </w:p>
        </w:tc>
      </w:tr>
      <w:tr w:rsidRPr="00A27544" w:rsidR="009534E2" w:rsidTr="00A27544">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color w:val="000000"/>
              </w:rPr>
            </w:pPr>
            <w:bookmarkStart w:name="_c8e20672_23e8_4925_914d_a07fb39ff229" w:id="1657"/>
            <w:bookmarkEnd w:id="1656"/>
            <w:r w:rsidRPr="00A27544">
              <w:rPr>
                <w:rFonts w:eastAsia="Times New Roman" w:asciiTheme="majorHAnsi" w:hAnsiTheme="majorHAnsi" w:cstheme="majorHAnsi"/>
                <w:color w:val="000000"/>
              </w:rPr>
              <w:t>Russia</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33,283</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36,988</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45,826</w:t>
            </w:r>
          </w:p>
        </w:tc>
      </w:tr>
      <w:tr w:rsidRPr="00A27544" w:rsidR="009534E2" w:rsidTr="00A27544">
        <w:trPr>
          <w:jc w:val="center"/>
        </w:trPr>
        <w:tc>
          <w:tcPr>
            <w:tcW w:w="3401" w:type="pct"/>
            <w:tcBorders>
              <w:top w:val="nil"/>
              <w:left w:val="nil"/>
              <w:bottom w:val="nil"/>
              <w:right w:val="nil"/>
              <w:tl2br w:val="nil"/>
              <w:tr2bl w:val="nil"/>
            </w:tcBorders>
            <w:vAlign w:val="bottom"/>
          </w:tcPr>
          <w:p w:rsidRPr="00A27544" w:rsidR="009534E2" w:rsidRDefault="003369EB">
            <w:pPr>
              <w:keepNext/>
              <w:rPr>
                <w:rFonts w:asciiTheme="majorHAnsi" w:hAnsiTheme="majorHAnsi" w:cstheme="majorHAnsi"/>
                <w:color w:val="000000"/>
              </w:rPr>
            </w:pPr>
            <w:bookmarkStart w:name="_cc0545f3_cb39_4950_8cc6_a242585518c6" w:id="1658"/>
            <w:bookmarkEnd w:id="1657"/>
            <w:r w:rsidRPr="00A27544">
              <w:rPr>
                <w:rFonts w:eastAsia="Times New Roman" w:asciiTheme="majorHAnsi" w:hAnsiTheme="majorHAnsi" w:cstheme="majorHAnsi"/>
                <w:color w:val="000000"/>
              </w:rPr>
              <w:t>Other CIS</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1,746</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2,313</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3,179</w:t>
            </w:r>
          </w:p>
        </w:tc>
      </w:tr>
      <w:tr w:rsidRPr="00A27544" w:rsidR="009534E2" w:rsidTr="00A27544">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color w:val="000000"/>
              </w:rPr>
            </w:pPr>
            <w:bookmarkStart w:name="_85c1353b_321c_4a01_9635_4069947a09da" w:id="1659"/>
            <w:bookmarkEnd w:id="1658"/>
            <w:r w:rsidRPr="00A27544">
              <w:rPr>
                <w:rFonts w:eastAsia="Times New Roman" w:asciiTheme="majorHAnsi" w:hAnsiTheme="majorHAnsi" w:cstheme="majorHAnsi"/>
                <w:color w:val="000000"/>
              </w:rPr>
              <w:t>EU</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2,748</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508</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1,002</w:t>
            </w:r>
          </w:p>
        </w:tc>
      </w:tr>
      <w:tr w:rsidRPr="00A27544" w:rsidR="009534E2" w:rsidTr="00A27544">
        <w:trPr>
          <w:jc w:val="center"/>
        </w:trPr>
        <w:tc>
          <w:tcPr>
            <w:tcW w:w="3401" w:type="pct"/>
            <w:tcBorders>
              <w:top w:val="nil"/>
              <w:left w:val="nil"/>
              <w:bottom w:val="nil"/>
              <w:right w:val="nil"/>
              <w:tl2br w:val="nil"/>
              <w:tr2bl w:val="nil"/>
            </w:tcBorders>
            <w:vAlign w:val="bottom"/>
          </w:tcPr>
          <w:p w:rsidRPr="00A27544" w:rsidR="009534E2" w:rsidRDefault="003369EB">
            <w:pPr>
              <w:keepNext/>
              <w:rPr>
                <w:rFonts w:asciiTheme="majorHAnsi" w:hAnsiTheme="majorHAnsi" w:cstheme="majorHAnsi"/>
                <w:color w:val="000000"/>
              </w:rPr>
            </w:pPr>
            <w:bookmarkStart w:name="_5d55a243_9011_492c_bb26_179abf19ebc2" w:id="1660"/>
            <w:bookmarkEnd w:id="1659"/>
            <w:r w:rsidRPr="00A27544">
              <w:rPr>
                <w:rFonts w:eastAsia="Times New Roman" w:asciiTheme="majorHAnsi" w:hAnsiTheme="majorHAnsi" w:cstheme="majorHAnsi"/>
                <w:color w:val="000000"/>
              </w:rPr>
              <w:t xml:space="preserve">Other </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5,459</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1,326</w:t>
            </w:r>
          </w:p>
        </w:tc>
        <w:tc>
          <w:tcPr>
            <w:tcW w:w="108"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1,495</w:t>
            </w:r>
          </w:p>
        </w:tc>
      </w:tr>
      <w:tr w:rsidRPr="00A27544" w:rsidR="009534E2" w:rsidTr="00A27544">
        <w:trPr>
          <w:jc w:val="center"/>
        </w:trPr>
        <w:tc>
          <w:tcPr>
            <w:tcW w:w="3401"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b/>
                <w:color w:val="000000"/>
              </w:rPr>
            </w:pPr>
            <w:bookmarkStart w:name="_831b9cdf_c0f3_4afc_846f_aa328fed2420" w:id="1661"/>
            <w:bookmarkEnd w:id="1660"/>
            <w:r w:rsidRPr="00A27544">
              <w:rPr>
                <w:rFonts w:eastAsia="Times New Roman" w:asciiTheme="majorHAnsi" w:hAnsiTheme="majorHAnsi" w:cstheme="majorHAnsi"/>
                <w:b/>
                <w:color w:val="000000"/>
              </w:rPr>
              <w:t>Total revenue from continuing and discontinued operations</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43,236</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41,135</w:t>
            </w:r>
          </w:p>
        </w:tc>
        <w:tc>
          <w:tcPr>
            <w:tcW w:w="108"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51,502</w:t>
            </w:r>
          </w:p>
        </w:tc>
      </w:tr>
      <w:bookmarkEnd w:id="1655"/>
      <w:bookmarkEnd w:id="1661"/>
    </w:tbl>
    <w:p w:rsidR="009534E2" w:rsidRDefault="009534E2">
      <w:pPr>
        <w:rPr>
          <w:rFonts w:asciiTheme="majorHAnsi" w:hAnsiTheme="majorHAnsi" w:cstheme="majorHAnsi"/>
        </w:rPr>
      </w:pP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rPr>
        <w:t>Revenue is recognized according to merchants’ or consumers’ geographic place. The majority of the Group’s non-current assets are located in Russia</w:t>
      </w:r>
      <w:r>
        <w:rPr>
          <w:rFonts w:eastAsia="Times New Roman" w:asciiTheme="majorHAnsi" w:hAnsiTheme="majorHAnsi" w:cstheme="majorHAnsi"/>
          <w:lang w:eastAsia="ru-RU"/>
        </w:rPr>
        <w:t>.</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 xml:space="preserve">The Group does </w:t>
      </w:r>
      <w:bookmarkStart w:name="_44723421_5a44_4587_af99_b2d89a0c75e6" w:id="1662"/>
      <w:r>
        <w:rPr>
          <w:rFonts w:eastAsia="Times New Roman" w:asciiTheme="majorHAnsi" w:hAnsiTheme="majorHAnsi" w:cstheme="majorHAnsi"/>
        </w:rPr>
        <w:t>no</w:t>
      </w:r>
      <w:bookmarkEnd w:id="1662"/>
      <w:r>
        <w:rPr>
          <w:rFonts w:eastAsia="Times New Roman" w:asciiTheme="majorHAnsi" w:hAnsiTheme="majorHAnsi" w:cstheme="majorHAnsi"/>
        </w:rPr>
        <w:t xml:space="preserve">t have any single external customer amounting to 10% or greater of the Group’s revenue for the year ended December 31, 2022 (The Group had only </w:t>
      </w:r>
      <w:bookmarkStart w:name="_fd1c29ec_62aa_4d7e_b73a_eeee81ffe3f9" w:id="1663"/>
      <w:r>
        <w:rPr>
          <w:rFonts w:eastAsia="Times New Roman" w:asciiTheme="majorHAnsi" w:hAnsiTheme="majorHAnsi" w:cstheme="majorHAnsi"/>
        </w:rPr>
        <w:t>one</w:t>
      </w:r>
      <w:bookmarkEnd w:id="1663"/>
      <w:r>
        <w:rPr>
          <w:rFonts w:eastAsia="Times New Roman" w:asciiTheme="majorHAnsi" w:hAnsiTheme="majorHAnsi" w:cstheme="majorHAnsi"/>
        </w:rPr>
        <w:t xml:space="preserve"> external customer where revenue exceeded 10% of the Group’s total </w:t>
      </w:r>
      <w:bookmarkStart w:name="_6a22e68e_6b69_4464_951c_41b4aa5bfa5c" w:id="1664"/>
      <w:r>
        <w:rPr>
          <w:rFonts w:eastAsia="Times New Roman" w:asciiTheme="majorHAnsi" w:hAnsiTheme="majorHAnsi" w:cstheme="majorHAnsi"/>
        </w:rPr>
        <w:t>16.3%</w:t>
      </w:r>
      <w:bookmarkEnd w:id="1664"/>
      <w:r>
        <w:rPr>
          <w:rFonts w:eastAsia="Times New Roman" w:asciiTheme="majorHAnsi" w:hAnsiTheme="majorHAnsi" w:cstheme="majorHAnsi"/>
        </w:rPr>
        <w:t xml:space="preserve"> for the year ended December 31, 2021, </w:t>
      </w:r>
      <w:bookmarkStart w:name="_f0cb1692_ac68_40bd_87e7_4befeb94fa14" w:id="1665"/>
      <w:r>
        <w:rPr>
          <w:rFonts w:eastAsia="Times New Roman" w:asciiTheme="majorHAnsi" w:hAnsiTheme="majorHAnsi" w:cstheme="majorHAnsi"/>
        </w:rPr>
        <w:t>13%</w:t>
      </w:r>
      <w:bookmarkEnd w:id="1665"/>
      <w:r>
        <w:rPr>
          <w:rFonts w:eastAsia="Times New Roman" w:asciiTheme="majorHAnsi" w:hAnsiTheme="majorHAnsi" w:cstheme="majorHAnsi"/>
        </w:rPr>
        <w:t xml:space="preserve"> for the year ended December 31, 2020. This revenue was generated within the PS segment).</w:t>
      </w:r>
    </w:p>
    <w:p w:rsidR="009534E2" w:rsidRDefault="003369EB">
      <w:pPr>
        <w:pStyle w:val="BodyText"/>
        <w:keepNext/>
        <w:keepLines/>
        <w:rPr>
          <w:rFonts w:eastAsia="Times New Roman" w:asciiTheme="majorHAnsi" w:hAnsiTheme="majorHAnsi" w:cstheme="majorHAnsi"/>
          <w:b/>
          <w:bCs/>
        </w:rPr>
      </w:pPr>
      <w:r>
        <w:rPr>
          <w:rFonts w:eastAsia="Times New Roman" w:asciiTheme="majorHAnsi" w:hAnsiTheme="majorHAnsi" w:cstheme="majorHAnsi"/>
          <w:b/>
          <w:bCs/>
        </w:rPr>
        <w:t>Disaggregated revenue information</w:t>
      </w:r>
    </w:p>
    <w:p w:rsidR="009534E2" w:rsidRDefault="003369EB">
      <w:pPr>
        <w:pStyle w:val="BodyText"/>
        <w:keepNext/>
        <w:keepLines/>
        <w:spacing w:after="0"/>
        <w:rPr>
          <w:rFonts w:eastAsia="Times New Roman" w:asciiTheme="majorHAnsi" w:hAnsiTheme="majorHAnsi" w:cstheme="majorHAnsi"/>
        </w:rPr>
      </w:pPr>
      <w:r>
        <w:rPr>
          <w:rFonts w:eastAsia="Times New Roman" w:asciiTheme="majorHAnsi" w:hAnsiTheme="majorHAnsi" w:cstheme="majorHAnsi"/>
        </w:rPr>
        <w:t>Disagregation of revenues from contracts with customers, including those from discontinued operations are presented below:</w:t>
      </w:r>
    </w:p>
    <w:p w:rsidR="009534E2" w:rsidRDefault="009534E2">
      <w:pPr>
        <w:pStyle w:val="BodyText"/>
        <w:keepNext/>
        <w:keepLines/>
        <w:spacing w:after="0"/>
        <w:rPr>
          <w:rFonts w:eastAsia="Times New Roman" w:asciiTheme="majorHAnsi" w:hAnsiTheme="majorHAnsi" w:cstheme="majorHAns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634"/>
        <w:gridCol w:w="242"/>
        <w:gridCol w:w="814"/>
        <w:gridCol w:w="242"/>
        <w:gridCol w:w="814"/>
        <w:gridCol w:w="242"/>
        <w:gridCol w:w="812"/>
      </w:tblGrid>
      <w:tr w:rsidRPr="00A27544" w:rsidR="009534E2">
        <w:trPr>
          <w:trHeight w:val="20" w:hRule="exact"/>
        </w:trPr>
        <w:tc>
          <w:tcPr>
            <w:tcW w:w="3534" w:type="pct"/>
            <w:tcBorders>
              <w:top w:val="nil"/>
              <w:left w:val="nil"/>
              <w:bottom w:val="nil"/>
              <w:right w:val="nil"/>
            </w:tcBorders>
            <w:vAlign w:val="bottom"/>
          </w:tcPr>
          <w:p w:rsidRPr="00A27544" w:rsidR="009534E2" w:rsidRDefault="009534E2">
            <w:pPr>
              <w:keepNext/>
              <w:spacing w:after="1"/>
              <w:rPr>
                <w:rFonts w:asciiTheme="majorHAnsi" w:hAnsiTheme="majorHAnsi" w:cstheme="majorHAnsi"/>
                <w:sz w:val="2"/>
              </w:rPr>
            </w:pPr>
            <w:bookmarkStart w:name="_97057447_e957_401d_b2d2_686cb0186b63" w:colFirst="0" w:colLast="0" w:id="1666"/>
            <w:bookmarkStart w:name="_35a9ebdf_0600_41e6_a046_7e78ac5059c8" w:colFirst="1" w:colLast="1" w:id="1667"/>
            <w:bookmarkStart w:name="_e2a1db42_2c77_4832_92d6_397e2919d67d" w:colFirst="2" w:colLast="2" w:id="1668"/>
            <w:bookmarkStart w:name="_eb32226f_27fd_407e_a1ef_e63cb6c51d00" w:colFirst="3" w:colLast="3" w:id="1669"/>
            <w:bookmarkStart w:name="_e073defa_8a60_4ded_a057_7b60b08829b4" w:colFirst="4" w:colLast="4" w:id="1670"/>
            <w:bookmarkStart w:name="_a99528c3_ad60_4301_bdcd_63a67318dff5" w:colFirst="5" w:colLast="5" w:id="1671"/>
            <w:bookmarkStart w:name="_9d2d9c2e_037e_4a8b_9863_4670f7d32b76" w:colFirst="6" w:colLast="6" w:id="1672"/>
            <w:bookmarkStart w:name="_0fa463a8_e522_40d6_8670_bdc78c3f35ba" w:id="1673"/>
            <w:bookmarkStart w:name="_5019ea45_c3f4_463f_8586_7551482d1c72" w:id="1674"/>
          </w:p>
        </w:tc>
        <w:tc>
          <w:tcPr>
            <w:tcW w:w="112"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377"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112"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377"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112"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376"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r>
      <w:tr w:rsidRPr="00A27544" w:rsidR="009534E2">
        <w:tc>
          <w:tcPr>
            <w:tcW w:w="3534" w:type="pct"/>
            <w:tcBorders>
              <w:top w:val="nil"/>
              <w:left w:val="nil"/>
              <w:bottom w:val="nil"/>
              <w:right w:val="nil"/>
              <w:tl2br w:val="nil"/>
              <w:tr2bl w:val="nil"/>
            </w:tcBorders>
            <w:shd w:val="clear" w:color="auto" w:fill="auto"/>
            <w:vAlign w:val="bottom"/>
          </w:tcPr>
          <w:p w:rsidRPr="00A27544" w:rsidR="009534E2" w:rsidRDefault="009534E2">
            <w:pPr>
              <w:spacing w:after="1"/>
              <w:rPr>
                <w:rFonts w:asciiTheme="majorHAnsi" w:hAnsiTheme="majorHAnsi" w:cstheme="majorHAnsi"/>
                <w:b/>
                <w:color w:val="000000"/>
                <w:sz w:val="16"/>
              </w:rPr>
            </w:pPr>
            <w:bookmarkStart w:name="_c00c0957_7588_4015_a5e4_4a9d7e2df531" w:id="1675"/>
            <w:bookmarkStart w:name="_9c642c39_156b_4c75_8ffe_d9089d7d035b" w:colFirst="0" w:colLast="6" w:id="1676"/>
            <w:bookmarkStart w:name="_eb0b1f69_d5ee_473f_b5a0_2860cec476c6" w:colFirst="0" w:colLast="6" w:id="1677"/>
            <w:bookmarkStart w:name="_c1ef6596_a828_406a_9a45_90d972e54ca5" w:colFirst="0" w:colLast="6" w:id="1678"/>
            <w:bookmarkEnd w:id="1666"/>
            <w:bookmarkEnd w:id="1667"/>
            <w:bookmarkEnd w:id="1668"/>
            <w:bookmarkEnd w:id="1669"/>
            <w:bookmarkEnd w:id="1670"/>
            <w:bookmarkEnd w:id="1671"/>
            <w:bookmarkEnd w:id="1672"/>
          </w:p>
        </w:tc>
        <w:tc>
          <w:tcPr>
            <w:tcW w:w="112" w:type="pct"/>
            <w:tcBorders>
              <w:top w:val="nil"/>
              <w:left w:val="nil"/>
              <w:bottom w:val="nil"/>
              <w:right w:val="nil"/>
              <w:tl2br w:val="nil"/>
              <w:tr2bl w:val="nil"/>
            </w:tcBorders>
            <w:shd w:val="clear" w:color="auto" w:fill="auto"/>
            <w:noWrap/>
            <w:vAlign w:val="bottom"/>
          </w:tcPr>
          <w:p w:rsidRPr="00A27544" w:rsidR="009534E2" w:rsidRDefault="009534E2">
            <w:pPr>
              <w:spacing w:after="1"/>
              <w:jc w:val="center"/>
              <w:rPr>
                <w:rFonts w:asciiTheme="majorHAnsi" w:hAnsiTheme="majorHAnsi" w:cstheme="majorHAnsi"/>
                <w:b/>
                <w:color w:val="000000"/>
                <w:sz w:val="16"/>
              </w:rPr>
            </w:pPr>
          </w:p>
        </w:tc>
        <w:tc>
          <w:tcPr>
            <w:tcW w:w="1354" w:type="pct"/>
            <w:gridSpan w:val="5"/>
            <w:tcBorders>
              <w:top w:val="nil"/>
              <w:left w:val="nil"/>
              <w:bottom w:val="single" w:color="000000" w:sz="4" w:space="0"/>
              <w:right w:val="nil"/>
              <w:tl2br w:val="nil"/>
              <w:tr2bl w:val="nil"/>
            </w:tcBorders>
            <w:shd w:val="clear" w:color="auto" w:fill="auto"/>
            <w:noWrap/>
            <w:vAlign w:val="bottom"/>
          </w:tcPr>
          <w:p w:rsidRPr="00A27544" w:rsidR="009534E2" w:rsidRDefault="003369EB">
            <w:pPr>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2022</w:t>
            </w:r>
          </w:p>
        </w:tc>
      </w:tr>
      <w:tr w:rsidRPr="00A27544" w:rsidR="009534E2">
        <w:tc>
          <w:tcPr>
            <w:tcW w:w="3534" w:type="pct"/>
            <w:tcBorders>
              <w:top w:val="nil"/>
              <w:left w:val="nil"/>
              <w:bottom w:val="nil"/>
              <w:right w:val="nil"/>
              <w:tl2br w:val="nil"/>
              <w:tr2bl w:val="nil"/>
            </w:tcBorders>
            <w:shd w:val="clear" w:color="auto" w:fill="auto"/>
            <w:vAlign w:val="bottom"/>
          </w:tcPr>
          <w:p w:rsidRPr="00A27544" w:rsidR="009534E2" w:rsidRDefault="009534E2">
            <w:pPr>
              <w:spacing w:after="1"/>
              <w:rPr>
                <w:rFonts w:asciiTheme="majorHAnsi" w:hAnsiTheme="majorHAnsi" w:cstheme="majorHAnsi"/>
                <w:b/>
                <w:color w:val="000000"/>
                <w:sz w:val="16"/>
              </w:rPr>
            </w:pPr>
            <w:bookmarkStart w:name="_ff863ecd_8c9b_49a5_89d7_e48297c27f04" w:id="1679"/>
            <w:bookmarkEnd w:id="1675"/>
          </w:p>
        </w:tc>
        <w:tc>
          <w:tcPr>
            <w:tcW w:w="112" w:type="pct"/>
            <w:tcBorders>
              <w:top w:val="nil"/>
              <w:left w:val="nil"/>
              <w:bottom w:val="nil"/>
              <w:right w:val="nil"/>
              <w:tl2br w:val="nil"/>
              <w:tr2bl w:val="nil"/>
            </w:tcBorders>
            <w:shd w:val="clear" w:color="auto" w:fill="auto"/>
            <w:noWrap/>
            <w:vAlign w:val="bottom"/>
          </w:tcPr>
          <w:p w:rsidRPr="00A27544" w:rsidR="009534E2" w:rsidRDefault="003369EB">
            <w:pPr>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377"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PS</w:t>
            </w:r>
          </w:p>
        </w:tc>
        <w:tc>
          <w:tcPr>
            <w:tcW w:w="112" w:type="pct"/>
            <w:tcBorders>
              <w:top w:val="nil"/>
              <w:left w:val="nil"/>
              <w:bottom w:val="nil"/>
              <w:right w:val="nil"/>
              <w:tl2br w:val="nil"/>
              <w:tr2bl w:val="nil"/>
            </w:tcBorders>
            <w:shd w:val="clear" w:color="auto" w:fill="auto"/>
            <w:noWrap/>
            <w:vAlign w:val="bottom"/>
          </w:tcPr>
          <w:p w:rsidRPr="00A27544" w:rsidR="009534E2" w:rsidRDefault="003369EB">
            <w:pPr>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377"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CO</w:t>
            </w:r>
          </w:p>
        </w:tc>
        <w:tc>
          <w:tcPr>
            <w:tcW w:w="112" w:type="pct"/>
            <w:tcBorders>
              <w:top w:val="nil"/>
              <w:left w:val="nil"/>
              <w:bottom w:val="nil"/>
              <w:right w:val="nil"/>
              <w:tl2br w:val="nil"/>
              <w:tr2bl w:val="nil"/>
            </w:tcBorders>
            <w:shd w:val="clear" w:color="auto" w:fill="auto"/>
            <w:noWrap/>
            <w:vAlign w:val="bottom"/>
          </w:tcPr>
          <w:p w:rsidRPr="00A27544" w:rsidR="009534E2" w:rsidRDefault="003369EB">
            <w:pPr>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376"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Total</w:t>
            </w:r>
          </w:p>
        </w:tc>
      </w:tr>
      <w:tr w:rsidRPr="00A27544" w:rsidR="009534E2">
        <w:tc>
          <w:tcPr>
            <w:tcW w:w="3534" w:type="pct"/>
            <w:tcBorders>
              <w:top w:val="nil"/>
              <w:left w:val="nil"/>
              <w:bottom w:val="nil"/>
              <w:right w:val="nil"/>
              <w:tl2br w:val="nil"/>
              <w:tr2bl w:val="nil"/>
            </w:tcBorders>
            <w:shd w:val="clear" w:color="auto" w:fill="CCEEFF"/>
            <w:vAlign w:val="bottom"/>
          </w:tcPr>
          <w:p w:rsidRPr="00A27544" w:rsidR="009534E2" w:rsidRDefault="003369EB">
            <w:pPr>
              <w:spacing w:after="1"/>
              <w:rPr>
                <w:rFonts w:asciiTheme="majorHAnsi" w:hAnsiTheme="majorHAnsi" w:cstheme="majorHAnsi"/>
                <w:color w:val="000000"/>
              </w:rPr>
            </w:pPr>
            <w:bookmarkStart w:name="_8885ab8d_0758_4cea_a8af_f303c41b8626" w:id="1680"/>
            <w:bookmarkEnd w:id="1679"/>
            <w:r w:rsidRPr="00A27544">
              <w:rPr>
                <w:rFonts w:eastAsia="Times New Roman" w:asciiTheme="majorHAnsi" w:hAnsiTheme="majorHAnsi" w:cstheme="majorHAnsi"/>
                <w:color w:val="000000"/>
              </w:rPr>
              <w:t>Payment processing fees</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37,689</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6" w:type="pct"/>
            <w:tcBorders>
              <w:top w:val="nil"/>
              <w:left w:val="nil"/>
              <w:bottom w:val="nil"/>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37,689</w:t>
            </w:r>
          </w:p>
        </w:tc>
      </w:tr>
      <w:tr w:rsidRPr="00A27544" w:rsidR="009534E2">
        <w:tc>
          <w:tcPr>
            <w:tcW w:w="3534" w:type="pct"/>
            <w:tcBorders>
              <w:top w:val="nil"/>
              <w:left w:val="nil"/>
              <w:bottom w:val="nil"/>
              <w:right w:val="nil"/>
              <w:tl2br w:val="nil"/>
              <w:tr2bl w:val="nil"/>
            </w:tcBorders>
            <w:vAlign w:val="bottom"/>
          </w:tcPr>
          <w:p w:rsidRPr="00A27544" w:rsidR="009534E2" w:rsidRDefault="003369EB">
            <w:pPr>
              <w:spacing w:after="1"/>
              <w:rPr>
                <w:rFonts w:asciiTheme="majorHAnsi" w:hAnsiTheme="majorHAnsi" w:cstheme="majorHAnsi"/>
                <w:color w:val="000000"/>
              </w:rPr>
            </w:pPr>
            <w:bookmarkStart w:name="_fd913704_97ba_4c58_908a_b80f332610d6" w:id="1681"/>
            <w:bookmarkEnd w:id="1680"/>
            <w:r w:rsidRPr="00A27544">
              <w:rPr>
                <w:rFonts w:eastAsia="Times New Roman" w:asciiTheme="majorHAnsi" w:hAnsiTheme="majorHAnsi" w:cstheme="majorHAnsi"/>
                <w:color w:val="000000"/>
              </w:rPr>
              <w:t>Cash and settlement service fees</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1,299</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79</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6" w:type="pct"/>
            <w:tcBorders>
              <w:top w:val="nil"/>
              <w:left w:val="nil"/>
              <w:bottom w:val="nil"/>
              <w:right w:val="nil"/>
              <w:tl2br w:val="nil"/>
              <w:tr2bl w:val="nil"/>
            </w:tcBorders>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1,378</w:t>
            </w:r>
          </w:p>
        </w:tc>
      </w:tr>
      <w:tr w:rsidRPr="00A27544" w:rsidR="009534E2">
        <w:tc>
          <w:tcPr>
            <w:tcW w:w="3534" w:type="pct"/>
            <w:tcBorders>
              <w:top w:val="nil"/>
              <w:left w:val="nil"/>
              <w:bottom w:val="nil"/>
              <w:right w:val="nil"/>
              <w:tl2br w:val="nil"/>
              <w:tr2bl w:val="nil"/>
            </w:tcBorders>
            <w:shd w:val="clear" w:color="auto" w:fill="CCEEFF"/>
            <w:vAlign w:val="bottom"/>
          </w:tcPr>
          <w:p w:rsidRPr="00A27544" w:rsidR="009534E2" w:rsidRDefault="003369EB">
            <w:pPr>
              <w:spacing w:after="1"/>
              <w:rPr>
                <w:rFonts w:asciiTheme="majorHAnsi" w:hAnsiTheme="majorHAnsi" w:cstheme="majorHAnsi"/>
                <w:color w:val="000000"/>
              </w:rPr>
            </w:pPr>
            <w:bookmarkStart w:name="_e3f80c6b_90a2_4f5f_b08f_14d8c054d531" w:id="1682"/>
            <w:bookmarkEnd w:id="1681"/>
            <w:r w:rsidRPr="00A27544">
              <w:rPr>
                <w:rFonts w:eastAsia="Times New Roman" w:asciiTheme="majorHAnsi" w:hAnsiTheme="majorHAnsi" w:cstheme="majorHAnsi"/>
                <w:color w:val="000000"/>
              </w:rPr>
              <w:t>Platform and marketing services related fees</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119</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1,936</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6" w:type="pct"/>
            <w:tcBorders>
              <w:top w:val="nil"/>
              <w:left w:val="nil"/>
              <w:bottom w:val="nil"/>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2,055</w:t>
            </w:r>
          </w:p>
        </w:tc>
      </w:tr>
      <w:tr w:rsidRPr="00A27544" w:rsidR="009534E2">
        <w:tc>
          <w:tcPr>
            <w:tcW w:w="3534" w:type="pct"/>
            <w:tcBorders>
              <w:top w:val="nil"/>
              <w:left w:val="nil"/>
              <w:bottom w:val="nil"/>
              <w:right w:val="nil"/>
              <w:tl2br w:val="nil"/>
              <w:tr2bl w:val="nil"/>
            </w:tcBorders>
            <w:vAlign w:val="bottom"/>
          </w:tcPr>
          <w:p w:rsidRPr="00A27544" w:rsidR="009534E2" w:rsidRDefault="003369EB">
            <w:pPr>
              <w:spacing w:after="1"/>
              <w:rPr>
                <w:rFonts w:asciiTheme="majorHAnsi" w:hAnsiTheme="majorHAnsi" w:cstheme="majorHAnsi"/>
                <w:color w:val="000000"/>
              </w:rPr>
            </w:pPr>
            <w:bookmarkStart w:name="_4f18b5f3_99c3_4b65_9e64_5ce7998e6b39" w:id="1683"/>
            <w:bookmarkEnd w:id="1682"/>
            <w:r w:rsidRPr="00A27544">
              <w:rPr>
                <w:rFonts w:eastAsia="Times New Roman" w:asciiTheme="majorHAnsi" w:hAnsiTheme="majorHAnsi" w:cstheme="majorHAnsi"/>
                <w:color w:val="000000"/>
              </w:rPr>
              <w:t>Fees for guarantees issued</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17</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1,506</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6" w:type="pct"/>
            <w:tcBorders>
              <w:top w:val="nil"/>
              <w:left w:val="nil"/>
              <w:bottom w:val="nil"/>
              <w:right w:val="nil"/>
              <w:tl2br w:val="nil"/>
              <w:tr2bl w:val="nil"/>
            </w:tcBorders>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1,523</w:t>
            </w:r>
          </w:p>
        </w:tc>
      </w:tr>
      <w:tr w:rsidRPr="00A27544" w:rsidR="009534E2">
        <w:tc>
          <w:tcPr>
            <w:tcW w:w="3534" w:type="pct"/>
            <w:tcBorders>
              <w:top w:val="nil"/>
              <w:left w:val="nil"/>
              <w:bottom w:val="nil"/>
              <w:right w:val="nil"/>
              <w:tl2br w:val="nil"/>
              <w:tr2bl w:val="nil"/>
            </w:tcBorders>
            <w:shd w:val="clear" w:color="auto" w:fill="CCEEFF"/>
            <w:vAlign w:val="bottom"/>
          </w:tcPr>
          <w:p w:rsidRPr="00A27544" w:rsidR="009534E2" w:rsidRDefault="003369EB">
            <w:pPr>
              <w:spacing w:after="1"/>
              <w:rPr>
                <w:rFonts w:asciiTheme="majorHAnsi" w:hAnsiTheme="majorHAnsi" w:cstheme="majorHAnsi"/>
                <w:color w:val="000000"/>
              </w:rPr>
            </w:pPr>
            <w:bookmarkStart w:name="_d306a089_41bb_4b36_85f1_e554fa36f103" w:id="1684"/>
            <w:bookmarkEnd w:id="1683"/>
            <w:r w:rsidRPr="00A27544">
              <w:rPr>
                <w:rFonts w:eastAsia="Times New Roman" w:asciiTheme="majorHAnsi" w:hAnsiTheme="majorHAnsi" w:cstheme="majorHAnsi"/>
                <w:color w:val="000000"/>
              </w:rPr>
              <w:t>Other revenue</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374</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33</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6"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407</w:t>
            </w:r>
          </w:p>
        </w:tc>
      </w:tr>
      <w:tr w:rsidRPr="00A27544" w:rsidR="009534E2">
        <w:tc>
          <w:tcPr>
            <w:tcW w:w="3534" w:type="pct"/>
            <w:tcBorders>
              <w:top w:val="nil"/>
              <w:left w:val="nil"/>
              <w:bottom w:val="nil"/>
              <w:right w:val="nil"/>
              <w:tl2br w:val="nil"/>
              <w:tr2bl w:val="nil"/>
            </w:tcBorders>
            <w:vAlign w:val="bottom"/>
          </w:tcPr>
          <w:p w:rsidRPr="00A27544" w:rsidR="009534E2" w:rsidRDefault="003369EB">
            <w:pPr>
              <w:spacing w:after="1"/>
              <w:rPr>
                <w:rFonts w:asciiTheme="majorHAnsi" w:hAnsiTheme="majorHAnsi" w:cstheme="majorHAnsi"/>
                <w:b/>
                <w:color w:val="000000"/>
              </w:rPr>
            </w:pPr>
            <w:bookmarkStart w:name="_9279b5e4_23c5_4a9c_83f3_608122224e12" w:id="1685"/>
            <w:bookmarkEnd w:id="1684"/>
            <w:r w:rsidRPr="00A27544">
              <w:rPr>
                <w:rFonts w:eastAsia="Times New Roman" w:asciiTheme="majorHAnsi" w:hAnsiTheme="majorHAnsi" w:cstheme="majorHAnsi"/>
                <w:b/>
                <w:color w:val="000000"/>
              </w:rPr>
              <w:t>Total revenue from contracts with customers</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377" w:type="pct"/>
            <w:tcBorders>
              <w:top w:val="nil"/>
              <w:left w:val="nil"/>
              <w:bottom w:val="double" w:color="000000" w:sz="4" w:space="0"/>
              <w:right w:val="nil"/>
              <w:tl2br w:val="nil"/>
              <w:tr2bl w:val="nil"/>
            </w:tcBorders>
            <w:noWrap/>
            <w:vAlign w:val="bottom"/>
          </w:tcPr>
          <w:p w:rsidRPr="00A27544" w:rsidR="009534E2" w:rsidRDefault="003369EB">
            <w:pPr>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39,498</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377" w:type="pct"/>
            <w:tcBorders>
              <w:top w:val="nil"/>
              <w:left w:val="nil"/>
              <w:bottom w:val="double" w:color="000000" w:sz="4" w:space="0"/>
              <w:right w:val="nil"/>
              <w:tl2br w:val="nil"/>
              <w:tr2bl w:val="nil"/>
            </w:tcBorders>
            <w:noWrap/>
            <w:vAlign w:val="bottom"/>
          </w:tcPr>
          <w:p w:rsidRPr="00A27544" w:rsidR="009534E2" w:rsidRDefault="003369EB">
            <w:pPr>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3,554</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376" w:type="pct"/>
            <w:tcBorders>
              <w:top w:val="nil"/>
              <w:left w:val="nil"/>
              <w:bottom w:val="double" w:color="000000" w:sz="4" w:space="0"/>
              <w:right w:val="nil"/>
              <w:tl2br w:val="nil"/>
              <w:tr2bl w:val="nil"/>
            </w:tcBorders>
            <w:noWrap/>
            <w:vAlign w:val="bottom"/>
          </w:tcPr>
          <w:p w:rsidRPr="00A27544" w:rsidR="009534E2" w:rsidRDefault="003369EB">
            <w:pPr>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43,052</w:t>
            </w:r>
          </w:p>
        </w:tc>
      </w:tr>
    </w:tbl>
    <w:bookmarkEnd w:id="1673"/>
    <w:bookmarkEnd w:id="1676"/>
    <w:bookmarkEnd w:id="1677"/>
    <w:bookmarkEnd w:id="1678"/>
    <w:bookmarkEnd w:id="1685"/>
    <w:p w:rsidRPr="00A27544" w:rsidR="00A27544" w:rsidP="00A27544" w:rsidRDefault="00A27544">
      <w:pPr>
        <w:pStyle w:val="Heading1"/>
        <w:pageBreakBefore/>
        <w:spacing w:after="120"/>
        <w:ind w:left="360" w:hanging="360"/>
        <w:rPr>
          <w:lang w:val="ru-RU" w:eastAsia="ru-RU"/>
        </w:rPr>
      </w:pPr>
      <w:r w:rsidRPr="00A27544">
        <w:rPr>
          <w:lang w:eastAsia="ru-RU"/>
        </w:rPr>
        <w:t>7.</w:t>
      </w:r>
      <w:r w:rsidRPr="00A27544">
        <w:rPr>
          <w:lang w:eastAsia="ru-RU"/>
        </w:rPr>
        <w:tab/>
      </w:r>
      <w:r w:rsidRPr="00A27544">
        <w:rPr>
          <w:lang w:val="ru-RU" w:eastAsia="ru-RU"/>
        </w:rPr>
        <w:t>Operating segments (continued)</w:t>
      </w:r>
    </w:p>
    <w:p w:rsidRPr="00A27544" w:rsidR="00A27544" w:rsidRDefault="00A27544">
      <w:pPr>
        <w:pStyle w:val="BodyText"/>
        <w:keepNext/>
        <w:keepLines/>
        <w:spacing w:after="0"/>
        <w:ind w:left="360" w:hanging="360"/>
        <w:rPr>
          <w:rFonts w:asciiTheme="majorHAnsi" w:hAnsiTheme="majorHAnsi" w:cstheme="majorHAnsi"/>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634"/>
        <w:gridCol w:w="242"/>
        <w:gridCol w:w="814"/>
        <w:gridCol w:w="242"/>
        <w:gridCol w:w="814"/>
        <w:gridCol w:w="242"/>
        <w:gridCol w:w="812"/>
      </w:tblGrid>
      <w:tr w:rsidRPr="00A27544" w:rsidR="009534E2">
        <w:trPr>
          <w:trHeight w:val="20" w:hRule="exact"/>
          <w:jc w:val="center"/>
        </w:trPr>
        <w:tc>
          <w:tcPr>
            <w:tcW w:w="3534" w:type="pct"/>
            <w:tcBorders>
              <w:top w:val="nil"/>
              <w:left w:val="nil"/>
              <w:bottom w:val="nil"/>
              <w:right w:val="nil"/>
            </w:tcBorders>
            <w:vAlign w:val="bottom"/>
          </w:tcPr>
          <w:p w:rsidRPr="00A27544" w:rsidR="009534E2" w:rsidRDefault="009534E2">
            <w:pPr>
              <w:keepNext/>
              <w:spacing w:after="1"/>
              <w:rPr>
                <w:rFonts w:asciiTheme="majorHAnsi" w:hAnsiTheme="majorHAnsi" w:cstheme="majorHAnsi"/>
                <w:sz w:val="2"/>
              </w:rPr>
            </w:pPr>
            <w:bookmarkStart w:name="_2d6f25ec_062d_496b_8455_47cf8fc4b602" w:colFirst="0" w:colLast="0" w:id="1686"/>
            <w:bookmarkStart w:name="_895c6e98_7bd2_4af9_8bc9_b60a96574b44" w:colFirst="1" w:colLast="1" w:id="1687"/>
            <w:bookmarkStart w:name="_95e73b70_b2cc_439e_a1f5_4ad0c663f601" w:colFirst="2" w:colLast="2" w:id="1688"/>
            <w:bookmarkStart w:name="_21574661_fa5c_4d44_8813_9ccd12d2f24a" w:colFirst="3" w:colLast="3" w:id="1689"/>
            <w:bookmarkStart w:name="_7433d927_0d52_4399_87be_e0ae9162a1f3" w:colFirst="4" w:colLast="4" w:id="1690"/>
            <w:bookmarkStart w:name="_2e0a1e9a_cedc_41fc_ad02_5728de9519d3" w:colFirst="5" w:colLast="5" w:id="1691"/>
            <w:bookmarkStart w:name="_866b5e3c_8bdb_4575_ba7f_a7f625e33a52" w:colFirst="6" w:colLast="6" w:id="1692"/>
            <w:bookmarkStart w:name="_ec590416_c4f5_42c8_a6c0_92d09baa41ac" w:id="1693"/>
          </w:p>
        </w:tc>
        <w:tc>
          <w:tcPr>
            <w:tcW w:w="112"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377"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112"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377"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112"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376"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r>
      <w:tr w:rsidRPr="00A27544" w:rsidR="009534E2">
        <w:trPr>
          <w:jc w:val="center"/>
        </w:trPr>
        <w:tc>
          <w:tcPr>
            <w:tcW w:w="3534" w:type="pct"/>
            <w:tcBorders>
              <w:top w:val="nil"/>
              <w:left w:val="nil"/>
              <w:bottom w:val="nil"/>
              <w:right w:val="nil"/>
              <w:tl2br w:val="nil"/>
              <w:tr2bl w:val="nil"/>
            </w:tcBorders>
            <w:shd w:val="clear" w:color="auto" w:fill="auto"/>
            <w:vAlign w:val="bottom"/>
          </w:tcPr>
          <w:p w:rsidRPr="00A27544" w:rsidR="009534E2" w:rsidRDefault="009534E2">
            <w:pPr>
              <w:keepNext/>
              <w:spacing w:after="1"/>
              <w:rPr>
                <w:rFonts w:asciiTheme="majorHAnsi" w:hAnsiTheme="majorHAnsi" w:cstheme="majorHAnsi"/>
                <w:b/>
                <w:color w:val="000000"/>
                <w:sz w:val="16"/>
              </w:rPr>
            </w:pPr>
            <w:bookmarkStart w:name="_9eaf93a9_3e9d_47e4_b5ee_8a63386d7010" w:id="1694"/>
            <w:bookmarkStart w:name="_9cee21a8_d544_4e1f_a167_932fbb830a97" w:id="1695"/>
            <w:bookmarkEnd w:id="1686"/>
            <w:bookmarkEnd w:id="1687"/>
            <w:bookmarkEnd w:id="1688"/>
            <w:bookmarkEnd w:id="1689"/>
            <w:bookmarkEnd w:id="1690"/>
            <w:bookmarkEnd w:id="1691"/>
            <w:bookmarkEnd w:id="1692"/>
          </w:p>
        </w:tc>
        <w:tc>
          <w:tcPr>
            <w:tcW w:w="112" w:type="pct"/>
            <w:tcBorders>
              <w:top w:val="nil"/>
              <w:left w:val="nil"/>
              <w:bottom w:val="nil"/>
              <w:right w:val="nil"/>
              <w:tl2br w:val="nil"/>
              <w:tr2bl w:val="nil"/>
            </w:tcBorders>
            <w:shd w:val="clear" w:color="auto" w:fill="auto"/>
            <w:noWrap/>
            <w:vAlign w:val="bottom"/>
          </w:tcPr>
          <w:p w:rsidRPr="00A27544" w:rsidR="009534E2" w:rsidRDefault="009534E2">
            <w:pPr>
              <w:keepNext/>
              <w:spacing w:after="1"/>
              <w:jc w:val="center"/>
              <w:rPr>
                <w:rFonts w:asciiTheme="majorHAnsi" w:hAnsiTheme="majorHAnsi" w:cstheme="majorHAnsi"/>
                <w:b/>
                <w:color w:val="000000"/>
                <w:sz w:val="16"/>
              </w:rPr>
            </w:pPr>
          </w:p>
        </w:tc>
        <w:tc>
          <w:tcPr>
            <w:tcW w:w="1354" w:type="pct"/>
            <w:gridSpan w:val="5"/>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2021</w:t>
            </w:r>
          </w:p>
        </w:tc>
      </w:tr>
      <w:tr w:rsidRPr="00A27544" w:rsidR="009534E2">
        <w:trPr>
          <w:jc w:val="center"/>
        </w:trPr>
        <w:tc>
          <w:tcPr>
            <w:tcW w:w="3534" w:type="pct"/>
            <w:tcBorders>
              <w:top w:val="nil"/>
              <w:left w:val="nil"/>
              <w:bottom w:val="nil"/>
              <w:right w:val="nil"/>
              <w:tl2br w:val="nil"/>
              <w:tr2bl w:val="nil"/>
            </w:tcBorders>
            <w:shd w:val="clear" w:color="auto" w:fill="auto"/>
            <w:vAlign w:val="bottom"/>
          </w:tcPr>
          <w:p w:rsidRPr="00A27544" w:rsidR="009534E2" w:rsidRDefault="009534E2">
            <w:pPr>
              <w:keepNext/>
              <w:spacing w:after="1"/>
              <w:rPr>
                <w:rFonts w:asciiTheme="majorHAnsi" w:hAnsiTheme="majorHAnsi" w:cstheme="majorHAnsi"/>
                <w:b/>
                <w:color w:val="000000"/>
                <w:sz w:val="16"/>
              </w:rPr>
            </w:pPr>
            <w:bookmarkStart w:name="_6bf13e9c_10c9_4ee9_95e4_63d41da9312a" w:id="1696"/>
            <w:bookmarkEnd w:id="1694"/>
          </w:p>
        </w:tc>
        <w:tc>
          <w:tcPr>
            <w:tcW w:w="112" w:type="pct"/>
            <w:tcBorders>
              <w:top w:val="nil"/>
              <w:left w:val="nil"/>
              <w:bottom w:val="nil"/>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377"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PS</w:t>
            </w:r>
          </w:p>
        </w:tc>
        <w:tc>
          <w:tcPr>
            <w:tcW w:w="112" w:type="pct"/>
            <w:tcBorders>
              <w:top w:val="nil"/>
              <w:left w:val="nil"/>
              <w:bottom w:val="nil"/>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377"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CO</w:t>
            </w:r>
          </w:p>
        </w:tc>
        <w:tc>
          <w:tcPr>
            <w:tcW w:w="112" w:type="pct"/>
            <w:tcBorders>
              <w:top w:val="nil"/>
              <w:left w:val="nil"/>
              <w:bottom w:val="nil"/>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376"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Total</w:t>
            </w:r>
          </w:p>
        </w:tc>
      </w:tr>
      <w:tr w:rsidRPr="00A27544" w:rsidR="009534E2">
        <w:trPr>
          <w:jc w:val="center"/>
        </w:trPr>
        <w:tc>
          <w:tcPr>
            <w:tcW w:w="3534" w:type="pct"/>
            <w:tcBorders>
              <w:top w:val="nil"/>
              <w:left w:val="nil"/>
              <w:bottom w:val="nil"/>
              <w:right w:val="nil"/>
              <w:tl2br w:val="nil"/>
              <w:tr2bl w:val="nil"/>
            </w:tcBorders>
            <w:shd w:val="clear" w:color="auto" w:fill="CCEEFF"/>
            <w:vAlign w:val="bottom"/>
          </w:tcPr>
          <w:p w:rsidRPr="00A27544" w:rsidR="009534E2" w:rsidRDefault="003369EB">
            <w:pPr>
              <w:keepNext/>
              <w:spacing w:after="1"/>
              <w:rPr>
                <w:rFonts w:asciiTheme="majorHAnsi" w:hAnsiTheme="majorHAnsi" w:cstheme="majorHAnsi"/>
                <w:color w:val="000000"/>
              </w:rPr>
            </w:pPr>
            <w:bookmarkStart w:name="_6628e08b_7f57_453c_bf01_4f51ced648ea" w:id="1697"/>
            <w:bookmarkEnd w:id="1696"/>
            <w:r w:rsidRPr="00A27544">
              <w:rPr>
                <w:rFonts w:eastAsia="Times New Roman" w:asciiTheme="majorHAnsi" w:hAnsiTheme="majorHAnsi" w:cstheme="majorHAnsi"/>
                <w:color w:val="000000"/>
              </w:rPr>
              <w:t>Payment processing fees</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33,397</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6"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33,397</w:t>
            </w:r>
          </w:p>
        </w:tc>
      </w:tr>
      <w:tr w:rsidRPr="00A27544" w:rsidR="009534E2">
        <w:trPr>
          <w:jc w:val="center"/>
        </w:trPr>
        <w:tc>
          <w:tcPr>
            <w:tcW w:w="3534" w:type="pct"/>
            <w:tcBorders>
              <w:top w:val="nil"/>
              <w:left w:val="nil"/>
              <w:bottom w:val="nil"/>
              <w:right w:val="nil"/>
              <w:tl2br w:val="nil"/>
              <w:tr2bl w:val="nil"/>
            </w:tcBorders>
            <w:vAlign w:val="bottom"/>
          </w:tcPr>
          <w:p w:rsidRPr="00A27544" w:rsidR="009534E2" w:rsidRDefault="003369EB">
            <w:pPr>
              <w:keepNext/>
              <w:spacing w:after="1"/>
              <w:rPr>
                <w:rFonts w:asciiTheme="majorHAnsi" w:hAnsiTheme="majorHAnsi" w:cstheme="majorHAnsi"/>
                <w:color w:val="000000"/>
              </w:rPr>
            </w:pPr>
            <w:bookmarkStart w:name="_3ce5a8ee_f446_444c_81e2_d285dc856d4d" w:id="1698"/>
            <w:bookmarkEnd w:id="1697"/>
            <w:r w:rsidRPr="00A27544">
              <w:rPr>
                <w:rFonts w:eastAsia="Times New Roman" w:asciiTheme="majorHAnsi" w:hAnsiTheme="majorHAnsi" w:cstheme="majorHAnsi"/>
                <w:color w:val="000000"/>
              </w:rPr>
              <w:t>Cash and settlement service fees</w:t>
            </w:r>
          </w:p>
        </w:tc>
        <w:tc>
          <w:tcPr>
            <w:tcW w:w="112" w:type="pct"/>
            <w:tcBorders>
              <w:top w:val="nil"/>
              <w:left w:val="nil"/>
              <w:bottom w:val="nil"/>
              <w:right w:val="nil"/>
              <w:tl2br w:val="nil"/>
              <w:tr2bl w:val="nil"/>
            </w:tcBorders>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114</w:t>
            </w:r>
          </w:p>
        </w:tc>
        <w:tc>
          <w:tcPr>
            <w:tcW w:w="112" w:type="pct"/>
            <w:tcBorders>
              <w:top w:val="nil"/>
              <w:left w:val="nil"/>
              <w:bottom w:val="nil"/>
              <w:right w:val="nil"/>
              <w:tl2br w:val="nil"/>
              <w:tr2bl w:val="nil"/>
            </w:tcBorders>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386</w:t>
            </w:r>
          </w:p>
        </w:tc>
        <w:tc>
          <w:tcPr>
            <w:tcW w:w="112" w:type="pct"/>
            <w:tcBorders>
              <w:top w:val="nil"/>
              <w:left w:val="nil"/>
              <w:bottom w:val="nil"/>
              <w:right w:val="nil"/>
              <w:tl2br w:val="nil"/>
              <w:tr2bl w:val="nil"/>
            </w:tcBorders>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6" w:type="pct"/>
            <w:tcBorders>
              <w:top w:val="nil"/>
              <w:left w:val="nil"/>
              <w:bottom w:val="nil"/>
              <w:right w:val="nil"/>
              <w:tl2br w:val="nil"/>
              <w:tr2bl w:val="nil"/>
            </w:tcBorders>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500</w:t>
            </w:r>
          </w:p>
        </w:tc>
      </w:tr>
      <w:tr w:rsidRPr="00A27544" w:rsidR="009534E2">
        <w:trPr>
          <w:jc w:val="center"/>
        </w:trPr>
        <w:tc>
          <w:tcPr>
            <w:tcW w:w="3534" w:type="pct"/>
            <w:tcBorders>
              <w:top w:val="nil"/>
              <w:left w:val="nil"/>
              <w:bottom w:val="nil"/>
              <w:right w:val="nil"/>
              <w:tl2br w:val="nil"/>
              <w:tr2bl w:val="nil"/>
            </w:tcBorders>
            <w:shd w:val="clear" w:color="auto" w:fill="CCEEFF"/>
            <w:vAlign w:val="bottom"/>
          </w:tcPr>
          <w:p w:rsidRPr="00A27544" w:rsidR="009534E2" w:rsidRDefault="003369EB">
            <w:pPr>
              <w:keepNext/>
              <w:spacing w:after="1"/>
              <w:rPr>
                <w:rFonts w:asciiTheme="majorHAnsi" w:hAnsiTheme="majorHAnsi" w:cstheme="majorHAnsi"/>
                <w:color w:val="000000"/>
              </w:rPr>
            </w:pPr>
            <w:bookmarkStart w:name="_bf652255_5a26_4067_86e5_28b8e172be1e" w:id="1699"/>
            <w:bookmarkEnd w:id="1698"/>
            <w:r w:rsidRPr="00A27544">
              <w:rPr>
                <w:rFonts w:eastAsia="Times New Roman" w:asciiTheme="majorHAnsi" w:hAnsiTheme="majorHAnsi" w:cstheme="majorHAnsi"/>
                <w:color w:val="000000"/>
              </w:rPr>
              <w:t>Platform and marketing services related fees</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145</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813</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6"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958</w:t>
            </w:r>
          </w:p>
        </w:tc>
      </w:tr>
      <w:tr w:rsidRPr="00A27544" w:rsidR="009534E2">
        <w:trPr>
          <w:jc w:val="center"/>
        </w:trPr>
        <w:tc>
          <w:tcPr>
            <w:tcW w:w="3534" w:type="pct"/>
            <w:tcBorders>
              <w:top w:val="nil"/>
              <w:left w:val="nil"/>
              <w:bottom w:val="nil"/>
              <w:right w:val="nil"/>
              <w:tl2br w:val="nil"/>
              <w:tr2bl w:val="nil"/>
            </w:tcBorders>
            <w:vAlign w:val="bottom"/>
          </w:tcPr>
          <w:p w:rsidRPr="00A27544" w:rsidR="009534E2" w:rsidRDefault="003369EB">
            <w:pPr>
              <w:keepNext/>
              <w:spacing w:after="1"/>
              <w:rPr>
                <w:rFonts w:asciiTheme="majorHAnsi" w:hAnsiTheme="majorHAnsi" w:cstheme="majorHAnsi"/>
                <w:color w:val="000000"/>
              </w:rPr>
            </w:pPr>
            <w:bookmarkStart w:name="_c4b74b1f_2c75_4024_888b_987bd3f20a3d" w:id="1700"/>
            <w:bookmarkEnd w:id="1699"/>
            <w:r w:rsidRPr="00A27544">
              <w:rPr>
                <w:rFonts w:eastAsia="Times New Roman" w:asciiTheme="majorHAnsi" w:hAnsiTheme="majorHAnsi" w:cstheme="majorHAnsi"/>
                <w:color w:val="000000"/>
              </w:rPr>
              <w:t>Fees for guarantees issued</w:t>
            </w:r>
          </w:p>
        </w:tc>
        <w:tc>
          <w:tcPr>
            <w:tcW w:w="112" w:type="pct"/>
            <w:tcBorders>
              <w:top w:val="nil"/>
              <w:left w:val="nil"/>
              <w:bottom w:val="nil"/>
              <w:right w:val="nil"/>
              <w:tl2br w:val="nil"/>
              <w:tr2bl w:val="nil"/>
            </w:tcBorders>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20</w:t>
            </w:r>
          </w:p>
        </w:tc>
        <w:tc>
          <w:tcPr>
            <w:tcW w:w="112" w:type="pct"/>
            <w:tcBorders>
              <w:top w:val="nil"/>
              <w:left w:val="nil"/>
              <w:bottom w:val="nil"/>
              <w:right w:val="nil"/>
              <w:tl2br w:val="nil"/>
              <w:tr2bl w:val="nil"/>
            </w:tcBorders>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703</w:t>
            </w:r>
          </w:p>
        </w:tc>
        <w:tc>
          <w:tcPr>
            <w:tcW w:w="112" w:type="pct"/>
            <w:tcBorders>
              <w:top w:val="nil"/>
              <w:left w:val="nil"/>
              <w:bottom w:val="nil"/>
              <w:right w:val="nil"/>
              <w:tl2br w:val="nil"/>
              <w:tr2bl w:val="nil"/>
            </w:tcBorders>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6" w:type="pct"/>
            <w:tcBorders>
              <w:top w:val="nil"/>
              <w:left w:val="nil"/>
              <w:bottom w:val="nil"/>
              <w:right w:val="nil"/>
              <w:tl2br w:val="nil"/>
              <w:tr2bl w:val="nil"/>
            </w:tcBorders>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723</w:t>
            </w:r>
          </w:p>
        </w:tc>
      </w:tr>
      <w:tr w:rsidRPr="00A27544" w:rsidR="009534E2">
        <w:trPr>
          <w:jc w:val="center"/>
        </w:trPr>
        <w:tc>
          <w:tcPr>
            <w:tcW w:w="3534" w:type="pct"/>
            <w:tcBorders>
              <w:top w:val="nil"/>
              <w:left w:val="nil"/>
              <w:bottom w:val="nil"/>
              <w:right w:val="nil"/>
              <w:tl2br w:val="nil"/>
              <w:tr2bl w:val="nil"/>
            </w:tcBorders>
            <w:shd w:val="clear" w:color="auto" w:fill="CCEEFF"/>
            <w:vAlign w:val="bottom"/>
          </w:tcPr>
          <w:p w:rsidRPr="00A27544" w:rsidR="009534E2" w:rsidRDefault="003369EB">
            <w:pPr>
              <w:keepNext/>
              <w:spacing w:after="1"/>
              <w:rPr>
                <w:rFonts w:asciiTheme="majorHAnsi" w:hAnsiTheme="majorHAnsi" w:cstheme="majorHAnsi"/>
                <w:color w:val="000000"/>
              </w:rPr>
            </w:pPr>
            <w:bookmarkStart w:name="_45e76fc2_aa71_47fe_9f6a_bd11d6d297f9" w:id="1701"/>
            <w:bookmarkEnd w:id="1700"/>
            <w:r w:rsidRPr="00A27544">
              <w:rPr>
                <w:rFonts w:eastAsia="Times New Roman" w:asciiTheme="majorHAnsi" w:hAnsiTheme="majorHAnsi" w:cstheme="majorHAnsi"/>
                <w:color w:val="000000"/>
              </w:rPr>
              <w:t>Other revenue</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322</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11</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6" w:type="pct"/>
            <w:tcBorders>
              <w:top w:val="nil"/>
              <w:left w:val="nil"/>
              <w:bottom w:val="single" w:color="000000" w:sz="4" w:space="0"/>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333</w:t>
            </w:r>
          </w:p>
        </w:tc>
      </w:tr>
      <w:tr w:rsidRPr="00A27544" w:rsidR="009534E2">
        <w:trPr>
          <w:jc w:val="center"/>
        </w:trPr>
        <w:tc>
          <w:tcPr>
            <w:tcW w:w="3534" w:type="pct"/>
            <w:tcBorders>
              <w:top w:val="nil"/>
              <w:left w:val="nil"/>
              <w:bottom w:val="nil"/>
              <w:right w:val="nil"/>
              <w:tl2br w:val="nil"/>
              <w:tr2bl w:val="nil"/>
            </w:tcBorders>
            <w:vAlign w:val="bottom"/>
          </w:tcPr>
          <w:p w:rsidRPr="00A27544" w:rsidR="009534E2" w:rsidRDefault="003369EB">
            <w:pPr>
              <w:keepNext/>
              <w:spacing w:after="1"/>
              <w:rPr>
                <w:rFonts w:asciiTheme="majorHAnsi" w:hAnsiTheme="majorHAnsi" w:cstheme="majorHAnsi"/>
                <w:b/>
                <w:color w:val="000000"/>
              </w:rPr>
            </w:pPr>
            <w:bookmarkStart w:name="_071e1ded_999f_4761_9e37_d2fffb00edfb" w:id="1702"/>
            <w:bookmarkEnd w:id="1701"/>
            <w:r w:rsidRPr="00A27544">
              <w:rPr>
                <w:rFonts w:eastAsia="Times New Roman" w:asciiTheme="majorHAnsi" w:hAnsiTheme="majorHAnsi" w:cstheme="majorHAnsi"/>
                <w:b/>
                <w:color w:val="000000"/>
              </w:rPr>
              <w:t>Total revenue from contracts with customers</w:t>
            </w:r>
          </w:p>
        </w:tc>
        <w:tc>
          <w:tcPr>
            <w:tcW w:w="112" w:type="pct"/>
            <w:tcBorders>
              <w:top w:val="nil"/>
              <w:left w:val="nil"/>
              <w:bottom w:val="nil"/>
              <w:right w:val="nil"/>
              <w:tl2br w:val="nil"/>
              <w:tr2bl w:val="nil"/>
            </w:tcBorders>
            <w:noWrap/>
            <w:vAlign w:val="bottom"/>
          </w:tcPr>
          <w:p w:rsidRPr="00A27544" w:rsidR="009534E2" w:rsidRDefault="003369EB">
            <w:pPr>
              <w:keepNext/>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377" w:type="pct"/>
            <w:tcBorders>
              <w:top w:val="nil"/>
              <w:left w:val="nil"/>
              <w:bottom w:val="double" w:color="000000" w:sz="4" w:space="0"/>
              <w:right w:val="nil"/>
              <w:tl2br w:val="nil"/>
              <w:tr2bl w:val="nil"/>
            </w:tcBorders>
            <w:noWrap/>
            <w:vAlign w:val="bottom"/>
          </w:tcPr>
          <w:p w:rsidRPr="00A27544" w:rsidR="009534E2" w:rsidRDefault="003369EB">
            <w:pPr>
              <w:keepNext/>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33,998</w:t>
            </w:r>
          </w:p>
        </w:tc>
        <w:tc>
          <w:tcPr>
            <w:tcW w:w="112" w:type="pct"/>
            <w:tcBorders>
              <w:top w:val="nil"/>
              <w:left w:val="nil"/>
              <w:bottom w:val="nil"/>
              <w:right w:val="nil"/>
              <w:tl2br w:val="nil"/>
              <w:tr2bl w:val="nil"/>
            </w:tcBorders>
            <w:noWrap/>
            <w:vAlign w:val="bottom"/>
          </w:tcPr>
          <w:p w:rsidRPr="00A27544" w:rsidR="009534E2" w:rsidRDefault="003369EB">
            <w:pPr>
              <w:keepNext/>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377" w:type="pct"/>
            <w:tcBorders>
              <w:top w:val="nil"/>
              <w:left w:val="nil"/>
              <w:bottom w:val="double" w:color="000000" w:sz="4" w:space="0"/>
              <w:right w:val="nil"/>
              <w:tl2br w:val="nil"/>
              <w:tr2bl w:val="nil"/>
            </w:tcBorders>
            <w:noWrap/>
            <w:vAlign w:val="bottom"/>
          </w:tcPr>
          <w:p w:rsidRPr="00A27544" w:rsidR="009534E2" w:rsidRDefault="003369EB">
            <w:pPr>
              <w:keepNext/>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1,913</w:t>
            </w:r>
          </w:p>
        </w:tc>
        <w:tc>
          <w:tcPr>
            <w:tcW w:w="112" w:type="pct"/>
            <w:tcBorders>
              <w:top w:val="nil"/>
              <w:left w:val="nil"/>
              <w:bottom w:val="nil"/>
              <w:right w:val="nil"/>
              <w:tl2br w:val="nil"/>
              <w:tr2bl w:val="nil"/>
            </w:tcBorders>
            <w:noWrap/>
            <w:vAlign w:val="bottom"/>
          </w:tcPr>
          <w:p w:rsidRPr="00A27544" w:rsidR="009534E2" w:rsidRDefault="003369EB">
            <w:pPr>
              <w:keepNext/>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376" w:type="pct"/>
            <w:tcBorders>
              <w:top w:val="nil"/>
              <w:left w:val="nil"/>
              <w:bottom w:val="double" w:color="000000" w:sz="4" w:space="0"/>
              <w:right w:val="nil"/>
              <w:tl2br w:val="nil"/>
              <w:tr2bl w:val="nil"/>
            </w:tcBorders>
            <w:noWrap/>
            <w:vAlign w:val="bottom"/>
          </w:tcPr>
          <w:p w:rsidRPr="00A27544" w:rsidR="009534E2" w:rsidRDefault="003369EB">
            <w:pPr>
              <w:keepNext/>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35,911</w:t>
            </w:r>
          </w:p>
        </w:tc>
      </w:tr>
      <w:bookmarkEnd w:id="1693"/>
      <w:bookmarkEnd w:id="1702"/>
    </w:tbl>
    <w:p w:rsidRPr="00A27544" w:rsidR="009534E2" w:rsidRDefault="009534E2">
      <w:pPr>
        <w:pStyle w:val="BodyText"/>
        <w:keepNext/>
        <w:keepLines/>
        <w:spacing w:after="0"/>
        <w:rPr>
          <w:rFonts w:eastAsia="Times New Roman" w:asciiTheme="majorHAnsi" w:hAnsiTheme="majorHAnsi" w:cstheme="majorHAns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634"/>
        <w:gridCol w:w="242"/>
        <w:gridCol w:w="814"/>
        <w:gridCol w:w="242"/>
        <w:gridCol w:w="814"/>
        <w:gridCol w:w="242"/>
        <w:gridCol w:w="812"/>
      </w:tblGrid>
      <w:tr w:rsidRPr="00A27544" w:rsidR="009534E2">
        <w:trPr>
          <w:trHeight w:val="20" w:hRule="exact"/>
        </w:trPr>
        <w:tc>
          <w:tcPr>
            <w:tcW w:w="3534" w:type="pct"/>
            <w:tcBorders>
              <w:top w:val="nil"/>
              <w:left w:val="nil"/>
              <w:bottom w:val="nil"/>
              <w:right w:val="nil"/>
            </w:tcBorders>
            <w:vAlign w:val="bottom"/>
          </w:tcPr>
          <w:p w:rsidRPr="00A27544" w:rsidR="009534E2" w:rsidRDefault="009534E2">
            <w:pPr>
              <w:keepNext/>
              <w:spacing w:after="1"/>
              <w:rPr>
                <w:rFonts w:asciiTheme="majorHAnsi" w:hAnsiTheme="majorHAnsi" w:cstheme="majorHAnsi"/>
                <w:sz w:val="2"/>
              </w:rPr>
            </w:pPr>
            <w:bookmarkStart w:name="_60e68d2e_8039_40e6_89d9_b51ec3b06dcd" w:colFirst="0" w:colLast="0" w:id="1703"/>
            <w:bookmarkStart w:name="_c84ea99c_c38f_413e_8c2f_feebf98f2a77" w:colFirst="1" w:colLast="1" w:id="1704"/>
            <w:bookmarkStart w:name="_cfde292c_64f1_44a8_ab1b_a66f5d4157c6" w:colFirst="2" w:colLast="2" w:id="1705"/>
            <w:bookmarkStart w:name="_ce66a0e6_e6b6_409b_9888_0a057b9931b4" w:colFirst="3" w:colLast="3" w:id="1706"/>
            <w:bookmarkStart w:name="_97cdafc7_add6_4d88_8f3f_85794d982380" w:colFirst="4" w:colLast="4" w:id="1707"/>
            <w:bookmarkStart w:name="_db51a530_dcf7_4d91_a4a7_a02c8377c830" w:colFirst="5" w:colLast="5" w:id="1708"/>
            <w:bookmarkStart w:name="_ea3d61a6_f4e0_4341_b6d5_7c8c9d3ff295" w:colFirst="6" w:colLast="6" w:id="1709"/>
            <w:bookmarkStart w:name="_4f63bc05_1ae1_4d3c_984c_1453750808b5" w:id="1710"/>
          </w:p>
        </w:tc>
        <w:tc>
          <w:tcPr>
            <w:tcW w:w="112"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377"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112"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377"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112"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376"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r>
      <w:tr w:rsidRPr="00A27544" w:rsidR="009534E2">
        <w:tc>
          <w:tcPr>
            <w:tcW w:w="3534" w:type="pct"/>
            <w:tcBorders>
              <w:top w:val="nil"/>
              <w:left w:val="nil"/>
              <w:bottom w:val="nil"/>
              <w:right w:val="nil"/>
              <w:tl2br w:val="nil"/>
              <w:tr2bl w:val="nil"/>
            </w:tcBorders>
            <w:shd w:val="clear" w:color="auto" w:fill="auto"/>
            <w:vAlign w:val="bottom"/>
          </w:tcPr>
          <w:p w:rsidRPr="00A27544" w:rsidR="009534E2" w:rsidRDefault="009534E2">
            <w:pPr>
              <w:spacing w:after="1"/>
              <w:rPr>
                <w:rFonts w:asciiTheme="majorHAnsi" w:hAnsiTheme="majorHAnsi" w:cstheme="majorHAnsi"/>
                <w:b/>
                <w:color w:val="000000"/>
                <w:sz w:val="16"/>
              </w:rPr>
            </w:pPr>
            <w:bookmarkStart w:name="_8798aead_e3d8_4b7d_b539_3b4f940da1c0" w:id="1711"/>
            <w:bookmarkEnd w:id="1703"/>
            <w:bookmarkEnd w:id="1704"/>
            <w:bookmarkEnd w:id="1705"/>
            <w:bookmarkEnd w:id="1706"/>
            <w:bookmarkEnd w:id="1707"/>
            <w:bookmarkEnd w:id="1708"/>
            <w:bookmarkEnd w:id="1709"/>
          </w:p>
        </w:tc>
        <w:tc>
          <w:tcPr>
            <w:tcW w:w="112" w:type="pct"/>
            <w:tcBorders>
              <w:top w:val="nil"/>
              <w:left w:val="nil"/>
              <w:bottom w:val="nil"/>
              <w:right w:val="nil"/>
              <w:tl2br w:val="nil"/>
              <w:tr2bl w:val="nil"/>
            </w:tcBorders>
            <w:shd w:val="clear" w:color="auto" w:fill="auto"/>
            <w:noWrap/>
            <w:vAlign w:val="bottom"/>
          </w:tcPr>
          <w:p w:rsidRPr="00A27544" w:rsidR="009534E2" w:rsidRDefault="009534E2">
            <w:pPr>
              <w:spacing w:after="1"/>
              <w:jc w:val="center"/>
              <w:rPr>
                <w:rFonts w:asciiTheme="majorHAnsi" w:hAnsiTheme="majorHAnsi" w:cstheme="majorHAnsi"/>
                <w:b/>
                <w:color w:val="000000"/>
                <w:sz w:val="16"/>
              </w:rPr>
            </w:pPr>
          </w:p>
        </w:tc>
        <w:tc>
          <w:tcPr>
            <w:tcW w:w="1354" w:type="pct"/>
            <w:gridSpan w:val="5"/>
            <w:tcBorders>
              <w:top w:val="nil"/>
              <w:left w:val="nil"/>
              <w:bottom w:val="single" w:color="000000" w:sz="4" w:space="0"/>
              <w:right w:val="nil"/>
              <w:tl2br w:val="nil"/>
              <w:tr2bl w:val="nil"/>
            </w:tcBorders>
            <w:shd w:val="clear" w:color="auto" w:fill="auto"/>
            <w:noWrap/>
            <w:vAlign w:val="bottom"/>
          </w:tcPr>
          <w:p w:rsidRPr="00A27544" w:rsidR="009534E2" w:rsidRDefault="003369EB">
            <w:pPr>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2020</w:t>
            </w:r>
          </w:p>
        </w:tc>
      </w:tr>
      <w:tr w:rsidRPr="00A27544" w:rsidR="009534E2">
        <w:tc>
          <w:tcPr>
            <w:tcW w:w="3534" w:type="pct"/>
            <w:tcBorders>
              <w:top w:val="nil"/>
              <w:left w:val="nil"/>
              <w:bottom w:val="nil"/>
              <w:right w:val="nil"/>
              <w:tl2br w:val="nil"/>
              <w:tr2bl w:val="nil"/>
            </w:tcBorders>
            <w:shd w:val="clear" w:color="auto" w:fill="auto"/>
            <w:vAlign w:val="bottom"/>
          </w:tcPr>
          <w:p w:rsidRPr="00A27544" w:rsidR="009534E2" w:rsidRDefault="009534E2">
            <w:pPr>
              <w:spacing w:after="1"/>
              <w:rPr>
                <w:rFonts w:asciiTheme="majorHAnsi" w:hAnsiTheme="majorHAnsi" w:cstheme="majorHAnsi"/>
                <w:b/>
                <w:color w:val="000000"/>
                <w:sz w:val="16"/>
              </w:rPr>
            </w:pPr>
            <w:bookmarkStart w:name="_305b9ae9_0b0b_4c4b_9d4f_7f54d045eeb0" w:id="1712"/>
            <w:bookmarkEnd w:id="1711"/>
          </w:p>
        </w:tc>
        <w:tc>
          <w:tcPr>
            <w:tcW w:w="112" w:type="pct"/>
            <w:tcBorders>
              <w:top w:val="nil"/>
              <w:left w:val="nil"/>
              <w:bottom w:val="nil"/>
              <w:right w:val="nil"/>
              <w:tl2br w:val="nil"/>
              <w:tr2bl w:val="nil"/>
            </w:tcBorders>
            <w:shd w:val="clear" w:color="auto" w:fill="auto"/>
            <w:noWrap/>
            <w:vAlign w:val="bottom"/>
          </w:tcPr>
          <w:p w:rsidRPr="00A27544" w:rsidR="009534E2" w:rsidRDefault="003369EB">
            <w:pPr>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377"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PS</w:t>
            </w:r>
          </w:p>
        </w:tc>
        <w:tc>
          <w:tcPr>
            <w:tcW w:w="112" w:type="pct"/>
            <w:tcBorders>
              <w:top w:val="nil"/>
              <w:left w:val="nil"/>
              <w:bottom w:val="nil"/>
              <w:right w:val="nil"/>
              <w:tl2br w:val="nil"/>
              <w:tr2bl w:val="nil"/>
            </w:tcBorders>
            <w:shd w:val="clear" w:color="auto" w:fill="auto"/>
            <w:noWrap/>
            <w:vAlign w:val="bottom"/>
          </w:tcPr>
          <w:p w:rsidRPr="00A27544" w:rsidR="009534E2" w:rsidRDefault="003369EB">
            <w:pPr>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377"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CO</w:t>
            </w:r>
          </w:p>
        </w:tc>
        <w:tc>
          <w:tcPr>
            <w:tcW w:w="112" w:type="pct"/>
            <w:tcBorders>
              <w:top w:val="nil"/>
              <w:left w:val="nil"/>
              <w:bottom w:val="nil"/>
              <w:right w:val="nil"/>
              <w:tl2br w:val="nil"/>
              <w:tr2bl w:val="nil"/>
            </w:tcBorders>
            <w:shd w:val="clear" w:color="auto" w:fill="auto"/>
            <w:noWrap/>
            <w:vAlign w:val="bottom"/>
          </w:tcPr>
          <w:p w:rsidRPr="00A27544" w:rsidR="009534E2" w:rsidRDefault="003369EB">
            <w:pPr>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376"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Total</w:t>
            </w:r>
          </w:p>
        </w:tc>
      </w:tr>
      <w:tr w:rsidRPr="00A27544" w:rsidR="009534E2">
        <w:tc>
          <w:tcPr>
            <w:tcW w:w="3534" w:type="pct"/>
            <w:tcBorders>
              <w:top w:val="nil"/>
              <w:left w:val="nil"/>
              <w:bottom w:val="nil"/>
              <w:right w:val="nil"/>
              <w:tl2br w:val="nil"/>
              <w:tr2bl w:val="nil"/>
            </w:tcBorders>
            <w:shd w:val="clear" w:color="auto" w:fill="CCEEFF"/>
            <w:vAlign w:val="bottom"/>
          </w:tcPr>
          <w:p w:rsidRPr="00A27544" w:rsidR="009534E2" w:rsidRDefault="003369EB">
            <w:pPr>
              <w:spacing w:after="1"/>
              <w:rPr>
                <w:rFonts w:asciiTheme="majorHAnsi" w:hAnsiTheme="majorHAnsi" w:cstheme="majorHAnsi"/>
                <w:color w:val="000000"/>
              </w:rPr>
            </w:pPr>
            <w:bookmarkStart w:name="_3d1a2027_ca00_4b61_9244_1e55ea7c8350" w:id="1713"/>
            <w:bookmarkEnd w:id="1712"/>
            <w:r w:rsidRPr="00A27544">
              <w:rPr>
                <w:rFonts w:eastAsia="Times New Roman" w:asciiTheme="majorHAnsi" w:hAnsiTheme="majorHAnsi" w:cstheme="majorHAnsi"/>
                <w:color w:val="000000"/>
              </w:rPr>
              <w:t>Payment processing fees</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34,326</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6" w:type="pct"/>
            <w:tcBorders>
              <w:top w:val="nil"/>
              <w:left w:val="nil"/>
              <w:bottom w:val="nil"/>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34,326</w:t>
            </w:r>
          </w:p>
        </w:tc>
      </w:tr>
      <w:tr w:rsidRPr="00A27544" w:rsidR="009534E2">
        <w:tc>
          <w:tcPr>
            <w:tcW w:w="3534" w:type="pct"/>
            <w:tcBorders>
              <w:top w:val="nil"/>
              <w:left w:val="nil"/>
              <w:bottom w:val="nil"/>
              <w:right w:val="nil"/>
              <w:tl2br w:val="nil"/>
              <w:tr2bl w:val="nil"/>
            </w:tcBorders>
            <w:vAlign w:val="bottom"/>
          </w:tcPr>
          <w:p w:rsidRPr="00A27544" w:rsidR="009534E2" w:rsidRDefault="003369EB">
            <w:pPr>
              <w:spacing w:after="1"/>
              <w:rPr>
                <w:rFonts w:asciiTheme="majorHAnsi" w:hAnsiTheme="majorHAnsi" w:cstheme="majorHAnsi"/>
                <w:color w:val="000000"/>
              </w:rPr>
            </w:pPr>
            <w:bookmarkStart w:name="_13c4f0de_ec81_410e_8a18_378087dd6455" w:id="1714"/>
            <w:bookmarkEnd w:id="1713"/>
            <w:r w:rsidRPr="00A27544">
              <w:rPr>
                <w:rFonts w:eastAsia="Times New Roman" w:asciiTheme="majorHAnsi" w:hAnsiTheme="majorHAnsi" w:cstheme="majorHAnsi"/>
                <w:color w:val="000000"/>
              </w:rPr>
              <w:t>Cash and settlement service fees</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80</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1,246</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6" w:type="pct"/>
            <w:tcBorders>
              <w:top w:val="nil"/>
              <w:left w:val="nil"/>
              <w:bottom w:val="nil"/>
              <w:right w:val="nil"/>
              <w:tl2br w:val="nil"/>
              <w:tr2bl w:val="nil"/>
            </w:tcBorders>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1,326</w:t>
            </w:r>
          </w:p>
        </w:tc>
      </w:tr>
      <w:tr w:rsidRPr="00A27544" w:rsidR="009534E2">
        <w:tc>
          <w:tcPr>
            <w:tcW w:w="3534" w:type="pct"/>
            <w:tcBorders>
              <w:top w:val="nil"/>
              <w:left w:val="nil"/>
              <w:bottom w:val="nil"/>
              <w:right w:val="nil"/>
              <w:tl2br w:val="nil"/>
              <w:tr2bl w:val="nil"/>
            </w:tcBorders>
            <w:shd w:val="clear" w:color="auto" w:fill="CCEEFF"/>
            <w:vAlign w:val="bottom"/>
          </w:tcPr>
          <w:p w:rsidRPr="00A27544" w:rsidR="009534E2" w:rsidRDefault="003369EB">
            <w:pPr>
              <w:spacing w:after="1"/>
              <w:rPr>
                <w:rFonts w:asciiTheme="majorHAnsi" w:hAnsiTheme="majorHAnsi" w:cstheme="majorHAnsi"/>
                <w:color w:val="000000"/>
              </w:rPr>
            </w:pPr>
            <w:bookmarkStart w:name="_cc3a62b8_9493_4c58_b964_5287b3be7194" w:id="1715"/>
            <w:bookmarkEnd w:id="1714"/>
            <w:r w:rsidRPr="00A27544">
              <w:rPr>
                <w:rFonts w:eastAsia="Times New Roman" w:asciiTheme="majorHAnsi" w:hAnsiTheme="majorHAnsi" w:cstheme="majorHAnsi"/>
                <w:color w:val="000000"/>
              </w:rPr>
              <w:t>Installment cards related fees</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827</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6" w:type="pct"/>
            <w:tcBorders>
              <w:top w:val="nil"/>
              <w:left w:val="nil"/>
              <w:bottom w:val="nil"/>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827</w:t>
            </w:r>
          </w:p>
        </w:tc>
      </w:tr>
      <w:tr w:rsidRPr="00A27544" w:rsidR="009534E2">
        <w:tc>
          <w:tcPr>
            <w:tcW w:w="3534" w:type="pct"/>
            <w:tcBorders>
              <w:top w:val="nil"/>
              <w:left w:val="nil"/>
              <w:bottom w:val="nil"/>
              <w:right w:val="nil"/>
              <w:tl2br w:val="nil"/>
              <w:tr2bl w:val="nil"/>
            </w:tcBorders>
            <w:vAlign w:val="bottom"/>
          </w:tcPr>
          <w:p w:rsidRPr="00A27544" w:rsidR="009534E2" w:rsidRDefault="003369EB">
            <w:pPr>
              <w:spacing w:after="1"/>
              <w:rPr>
                <w:rFonts w:asciiTheme="majorHAnsi" w:hAnsiTheme="majorHAnsi" w:cstheme="majorHAnsi"/>
                <w:color w:val="000000"/>
              </w:rPr>
            </w:pPr>
            <w:bookmarkStart w:name="_2401c97f_5984_426b_9554_fe9d4e9d9c34" w:id="1716"/>
            <w:bookmarkEnd w:id="1715"/>
            <w:r w:rsidRPr="00A27544">
              <w:rPr>
                <w:rFonts w:eastAsia="Times New Roman" w:asciiTheme="majorHAnsi" w:hAnsiTheme="majorHAnsi" w:cstheme="majorHAnsi"/>
                <w:color w:val="000000"/>
              </w:rPr>
              <w:t>Platform and marketing services related fees</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133</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676</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6" w:type="pct"/>
            <w:tcBorders>
              <w:top w:val="nil"/>
              <w:left w:val="nil"/>
              <w:bottom w:val="nil"/>
              <w:right w:val="nil"/>
              <w:tl2br w:val="nil"/>
              <w:tr2bl w:val="nil"/>
            </w:tcBorders>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809</w:t>
            </w:r>
          </w:p>
        </w:tc>
      </w:tr>
      <w:tr w:rsidRPr="00A27544" w:rsidR="009534E2">
        <w:tc>
          <w:tcPr>
            <w:tcW w:w="3534" w:type="pct"/>
            <w:tcBorders>
              <w:top w:val="nil"/>
              <w:left w:val="nil"/>
              <w:bottom w:val="nil"/>
              <w:right w:val="nil"/>
              <w:tl2br w:val="nil"/>
              <w:tr2bl w:val="nil"/>
            </w:tcBorders>
            <w:shd w:val="clear" w:color="auto" w:fill="CCEEFF"/>
            <w:vAlign w:val="bottom"/>
          </w:tcPr>
          <w:p w:rsidRPr="00A27544" w:rsidR="009534E2" w:rsidRDefault="003369EB">
            <w:pPr>
              <w:spacing w:after="1"/>
              <w:rPr>
                <w:rFonts w:asciiTheme="majorHAnsi" w:hAnsiTheme="majorHAnsi" w:cstheme="majorHAnsi"/>
                <w:color w:val="000000"/>
              </w:rPr>
            </w:pPr>
            <w:bookmarkStart w:name="_b409f463_a924_4765_893e_929b330bbe56" w:id="1717"/>
            <w:bookmarkEnd w:id="1716"/>
            <w:r w:rsidRPr="00A27544">
              <w:rPr>
                <w:rFonts w:eastAsia="Times New Roman" w:asciiTheme="majorHAnsi" w:hAnsiTheme="majorHAnsi" w:cstheme="majorHAnsi"/>
                <w:color w:val="000000"/>
              </w:rPr>
              <w:t>Fees for guarantees issued</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23</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nil"/>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417</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6" w:type="pct"/>
            <w:tcBorders>
              <w:top w:val="nil"/>
              <w:left w:val="nil"/>
              <w:bottom w:val="nil"/>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440</w:t>
            </w:r>
          </w:p>
        </w:tc>
      </w:tr>
      <w:tr w:rsidRPr="00A27544" w:rsidR="009534E2">
        <w:tc>
          <w:tcPr>
            <w:tcW w:w="3534" w:type="pct"/>
            <w:tcBorders>
              <w:top w:val="nil"/>
              <w:left w:val="nil"/>
              <w:bottom w:val="nil"/>
              <w:right w:val="nil"/>
              <w:tl2br w:val="nil"/>
              <w:tr2bl w:val="nil"/>
            </w:tcBorders>
            <w:vAlign w:val="bottom"/>
          </w:tcPr>
          <w:p w:rsidRPr="00A27544" w:rsidR="009534E2" w:rsidRDefault="003369EB">
            <w:pPr>
              <w:spacing w:after="1"/>
              <w:rPr>
                <w:rFonts w:asciiTheme="majorHAnsi" w:hAnsiTheme="majorHAnsi" w:cstheme="majorHAnsi"/>
                <w:color w:val="000000"/>
              </w:rPr>
            </w:pPr>
            <w:bookmarkStart w:name="_ef56a7d4_b6f3_47e5_a706_d9dd602295c9" w:id="1718"/>
            <w:bookmarkEnd w:id="1717"/>
            <w:r w:rsidRPr="00A27544">
              <w:rPr>
                <w:rFonts w:eastAsia="Times New Roman" w:asciiTheme="majorHAnsi" w:hAnsiTheme="majorHAnsi" w:cstheme="majorHAnsi"/>
                <w:color w:val="000000"/>
              </w:rPr>
              <w:t>Other revenue</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single" w:color="000000" w:sz="4" w:space="0"/>
              <w:right w:val="nil"/>
              <w:tl2br w:val="nil"/>
              <w:tr2bl w:val="nil"/>
            </w:tcBorders>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168</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7" w:type="pct"/>
            <w:tcBorders>
              <w:top w:val="nil"/>
              <w:left w:val="nil"/>
              <w:bottom w:val="single" w:color="000000" w:sz="4" w:space="0"/>
              <w:right w:val="nil"/>
              <w:tl2br w:val="nil"/>
              <w:tr2bl w:val="nil"/>
            </w:tcBorders>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129</w:t>
            </w:r>
          </w:p>
        </w:tc>
        <w:tc>
          <w:tcPr>
            <w:tcW w:w="112" w:type="pct"/>
            <w:tcBorders>
              <w:top w:val="nil"/>
              <w:left w:val="nil"/>
              <w:bottom w:val="nil"/>
              <w:right w:val="nil"/>
              <w:tl2br w:val="nil"/>
              <w:tr2bl w:val="nil"/>
            </w:tcBorders>
            <w:noWrap/>
            <w:vAlign w:val="bottom"/>
          </w:tcPr>
          <w:p w:rsidRPr="00A27544" w:rsidR="009534E2" w:rsidRDefault="003369EB">
            <w:pPr>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376" w:type="pct"/>
            <w:tcBorders>
              <w:top w:val="nil"/>
              <w:left w:val="nil"/>
              <w:bottom w:val="single" w:color="000000" w:sz="4" w:space="0"/>
              <w:right w:val="nil"/>
              <w:tl2br w:val="nil"/>
              <w:tr2bl w:val="nil"/>
            </w:tcBorders>
            <w:noWrap/>
            <w:vAlign w:val="bottom"/>
          </w:tcPr>
          <w:p w:rsidRPr="00A27544" w:rsidR="009534E2" w:rsidRDefault="003369EB">
            <w:pPr>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297</w:t>
            </w:r>
          </w:p>
        </w:tc>
      </w:tr>
      <w:tr w:rsidRPr="00A27544" w:rsidR="009534E2">
        <w:tc>
          <w:tcPr>
            <w:tcW w:w="3534" w:type="pct"/>
            <w:tcBorders>
              <w:top w:val="nil"/>
              <w:left w:val="nil"/>
              <w:bottom w:val="nil"/>
              <w:right w:val="nil"/>
              <w:tl2br w:val="nil"/>
              <w:tr2bl w:val="nil"/>
            </w:tcBorders>
            <w:shd w:val="clear" w:color="auto" w:fill="CCEEFF"/>
            <w:vAlign w:val="bottom"/>
          </w:tcPr>
          <w:p w:rsidRPr="00A27544" w:rsidR="009534E2" w:rsidRDefault="003369EB">
            <w:pPr>
              <w:spacing w:after="1"/>
              <w:rPr>
                <w:rFonts w:asciiTheme="majorHAnsi" w:hAnsiTheme="majorHAnsi" w:cstheme="majorHAnsi"/>
                <w:b/>
                <w:color w:val="000000"/>
              </w:rPr>
            </w:pPr>
            <w:bookmarkStart w:name="_f1d953f8_7e4b_4e35_904c_6b83ad0f97e1" w:id="1719"/>
            <w:bookmarkEnd w:id="1718"/>
            <w:r w:rsidRPr="00A27544">
              <w:rPr>
                <w:rFonts w:eastAsia="Times New Roman" w:asciiTheme="majorHAnsi" w:hAnsiTheme="majorHAnsi" w:cstheme="majorHAnsi"/>
                <w:b/>
                <w:color w:val="000000"/>
              </w:rPr>
              <w:t>Total revenue from contracts with customers</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377"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34,730</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377"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3,295</w:t>
            </w:r>
          </w:p>
        </w:tc>
        <w:tc>
          <w:tcPr>
            <w:tcW w:w="112" w:type="pct"/>
            <w:tcBorders>
              <w:top w:val="nil"/>
              <w:left w:val="nil"/>
              <w:bottom w:val="nil"/>
              <w:right w:val="nil"/>
              <w:tl2br w:val="nil"/>
              <w:tr2bl w:val="nil"/>
            </w:tcBorders>
            <w:shd w:val="clear" w:color="auto" w:fill="CCEEFF"/>
            <w:noWrap/>
            <w:vAlign w:val="bottom"/>
          </w:tcPr>
          <w:p w:rsidRPr="00A27544" w:rsidR="009534E2" w:rsidRDefault="003369EB">
            <w:pPr>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376"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38,025</w:t>
            </w:r>
          </w:p>
        </w:tc>
      </w:tr>
    </w:tbl>
    <w:p w:rsidR="009534E2" w:rsidRDefault="00EC0AE1">
      <w:pPr>
        <w:pStyle w:val="BodyText"/>
        <w:spacing w:after="0"/>
        <w:rPr>
          <w:rFonts w:eastAsia="Times New Roman" w:asciiTheme="majorHAnsi" w:hAnsiTheme="majorHAnsi" w:cstheme="majorHAnsi"/>
          <w:sz w:val="2"/>
        </w:rPr>
      </w:pPr>
    </w:p>
    <w:bookmarkEnd w:displacedByCustomXml="next" w:id="1719"/>
    <w:bookmarkEnd w:displacedByCustomXml="next" w:id="1710"/>
    <w:bookmarkEnd w:displacedByCustomXml="next" w:id="1695"/>
    <w:bookmarkEnd w:displacedByCustomXml="next" w:id="1674"/>
    <w:p w:rsidR="009534E2" w:rsidRDefault="003369EB">
      <w:pPr>
        <w:rPr>
          <w:rFonts w:eastAsia="Times New Roman" w:asciiTheme="majorHAnsi" w:hAnsiTheme="majorHAnsi" w:cstheme="majorHAnsi"/>
        </w:rPr>
      </w:pPr>
      <w:r>
        <w:rPr>
          <w:rFonts w:eastAsia="Times New Roman" w:asciiTheme="majorHAnsi" w:hAnsiTheme="majorHAnsi" w:cstheme="majorHAnsi"/>
        </w:rPr>
        <w:br w:type="page"/>
      </w:r>
    </w:p>
    <w:p w:rsidR="009534E2" w:rsidRDefault="003369EB">
      <w:pPr>
        <w:pStyle w:val="Heading1"/>
        <w:ind w:left="360" w:hanging="360"/>
        <w:rPr>
          <w:lang w:eastAsia="ru-RU"/>
        </w:rPr>
      </w:pPr>
      <w:r>
        <w:rPr>
          <w:rFonts w:eastAsiaTheme="minorHAnsi"/>
          <w:bCs/>
          <w:szCs w:val="20"/>
          <w:lang w:eastAsia="ru-RU"/>
        </w:rPr>
        <w:t>8</w:t>
      </w:r>
      <w:r>
        <w:rPr>
          <w:lang w:eastAsia="ru-RU"/>
        </w:rPr>
        <w:t>.</w:t>
      </w:r>
      <w:r>
        <w:rPr>
          <w:lang w:eastAsia="ru-RU"/>
        </w:rPr>
        <w:tab/>
        <w:t>Earnings per share</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Basic earnings per share amounts are calculated by dividing net profit for the year attributable to ordinary equity holders of the parent by the weighted average number of ordinary shares outstanding during the year.</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Diluted earnings per share amounts are calculated by dividing the net profit attributable to ordinary equity holders of the parent adjusted for the effect of any potential share exercise by the weighted average number of ordinary shares outstanding during the year plus the weighted average number of ordinary shares that would be issued on conversion of all the dilutive potential ordinary shares into ordinary shares.</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The following reflects the income and share data used in basic and diluted earnings per share computations for the years ended December 31:</w:t>
      </w:r>
    </w:p>
    <w:p w:rsidR="009534E2" w:rsidRDefault="009534E2">
      <w:pPr>
        <w:pStyle w:val="BodyText"/>
        <w:keepNext/>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021"/>
        <w:gridCol w:w="223"/>
        <w:gridCol w:w="1041"/>
        <w:gridCol w:w="222"/>
        <w:gridCol w:w="1041"/>
        <w:gridCol w:w="222"/>
        <w:gridCol w:w="1030"/>
      </w:tblGrid>
      <w:tr w:rsidR="009534E2">
        <w:trPr>
          <w:trHeight w:val="20" w:hRule="exact"/>
          <w:jc w:val="center"/>
        </w:trPr>
        <w:tc>
          <w:tcPr>
            <w:tcW w:w="3250"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e7677e20_3975_41b6_a25f_ee33992e4ff2" w:id="1720"/>
            <w:bookmarkStart w:name="_318e8a60_3f66_4607_aef3_23422afd6433" w:colFirst="0" w:colLast="0" w:id="1721"/>
            <w:bookmarkStart w:name="_fed776f5_20dc_483e_8739_7af16a1b5cfc" w:colFirst="1" w:colLast="1" w:id="1722"/>
            <w:bookmarkStart w:name="_61b829ba_72a8_4e30_ab94_1ad29af5b54d" w:colFirst="2" w:colLast="2" w:id="1723"/>
            <w:bookmarkStart w:name="_9ed0f1b1_96fd_4a1e_b6c9_009c95753f01" w:colFirst="3" w:colLast="3" w:id="1724"/>
            <w:bookmarkStart w:name="_7bd46c9c_0b90_4b4e_915e_a0b6677b580f" w:colFirst="4" w:colLast="4" w:id="1725"/>
            <w:bookmarkStart w:name="_b51b6441_5e42_48dc_baf8_2dad47bf53dc" w:colFirst="5" w:colLast="5" w:id="1726"/>
            <w:bookmarkStart w:name="_23425288_67c4_4279_a857_3f0aac70bddc" w:colFirst="6" w:colLast="6" w:id="1727"/>
            <w:bookmarkStart w:name="_9848cbcc_a31f_4728_b104_3c86203c0306" w:id="1728"/>
            <w:bookmarkEnd w:id="1720"/>
          </w:p>
        </w:tc>
        <w:tc>
          <w:tcPr>
            <w:tcW w:w="1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8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8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7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3250"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6c86d1d4_2f35_4340_9879_3eb79683cf21" w:id="1729"/>
            <w:bookmarkEnd w:id="1721"/>
            <w:bookmarkEnd w:id="1722"/>
            <w:bookmarkEnd w:id="1723"/>
            <w:bookmarkEnd w:id="1724"/>
            <w:bookmarkEnd w:id="1725"/>
            <w:bookmarkEnd w:id="1726"/>
            <w:bookmarkEnd w:id="1727"/>
          </w:p>
        </w:tc>
        <w:tc>
          <w:tcPr>
            <w:tcW w:w="103"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82"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03"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82"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03"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77"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250"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ba77e90b_c3a0_4e73_99b1_c7f09a589599" w:id="1730"/>
            <w:bookmarkEnd w:id="1729"/>
            <w:r>
              <w:rPr>
                <w:rFonts w:eastAsia="Times New Roman" w:asciiTheme="majorHAnsi" w:hAnsiTheme="majorHAnsi" w:cstheme="majorHAnsi"/>
                <w:b/>
                <w:color w:val="000000"/>
              </w:rPr>
              <w:t>Net profit attributable to ordinary equity holders of the parent for basic earnings</w:t>
            </w:r>
          </w:p>
        </w:tc>
        <w:tc>
          <w:tcPr>
            <w:tcW w:w="10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8,842</w:t>
            </w:r>
          </w:p>
        </w:tc>
        <w:tc>
          <w:tcPr>
            <w:tcW w:w="10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17,399</w:t>
            </w:r>
          </w:p>
        </w:tc>
        <w:tc>
          <w:tcPr>
            <w:tcW w:w="10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77"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13,119</w:t>
            </w:r>
          </w:p>
        </w:tc>
      </w:tr>
      <w:tr w:rsidR="009534E2">
        <w:trPr>
          <w:jc w:val="center"/>
        </w:trPr>
        <w:tc>
          <w:tcPr>
            <w:tcW w:w="3250" w:type="pct"/>
            <w:tcBorders>
              <w:top w:val="nil"/>
              <w:left w:val="nil"/>
              <w:bottom w:val="nil"/>
              <w:right w:val="nil"/>
              <w:tl2br w:val="nil"/>
              <w:tr2bl w:val="nil"/>
            </w:tcBorders>
            <w:vAlign w:val="bottom"/>
          </w:tcPr>
          <w:p w:rsidR="009534E2" w:rsidRDefault="003369EB">
            <w:pPr>
              <w:keepNext/>
              <w:rPr>
                <w:rFonts w:asciiTheme="majorHAnsi" w:hAnsiTheme="majorHAnsi" w:cstheme="majorHAnsi"/>
                <w:b/>
                <w:color w:val="000000"/>
              </w:rPr>
            </w:pPr>
            <w:bookmarkStart w:name="_cc0fec5f_0f74_499d_97b6_d32ad3a1686c" w:id="1731"/>
            <w:bookmarkEnd w:id="1730"/>
            <w:r>
              <w:rPr>
                <w:rFonts w:eastAsia="Times New Roman" w:asciiTheme="majorHAnsi" w:hAnsiTheme="majorHAnsi" w:cstheme="majorHAnsi"/>
                <w:b/>
                <w:color w:val="000000"/>
              </w:rPr>
              <w:t>Weighted average number of ordinary shares for basic earnings per share</w:t>
            </w: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62,251,274</w:t>
            </w: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62,433,524</w:t>
            </w: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77"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62,619,727</w:t>
            </w:r>
          </w:p>
        </w:tc>
      </w:tr>
      <w:tr w:rsidR="009534E2">
        <w:trPr>
          <w:jc w:val="center"/>
        </w:trPr>
        <w:tc>
          <w:tcPr>
            <w:tcW w:w="3250"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27f47597_82f7_4684_90ab_d9b7944b8d2f" w:id="1732"/>
            <w:bookmarkEnd w:id="1731"/>
            <w:r>
              <w:rPr>
                <w:rFonts w:eastAsia="Times New Roman" w:asciiTheme="majorHAnsi" w:hAnsiTheme="majorHAnsi" w:cstheme="majorHAnsi"/>
                <w:color w:val="000000"/>
              </w:rPr>
              <w:t>Effect of share-based payments</w:t>
            </w:r>
          </w:p>
        </w:tc>
        <w:tc>
          <w:tcPr>
            <w:tcW w:w="10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165,196</w:t>
            </w:r>
          </w:p>
        </w:tc>
        <w:tc>
          <w:tcPr>
            <w:tcW w:w="10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20,482</w:t>
            </w:r>
          </w:p>
        </w:tc>
        <w:tc>
          <w:tcPr>
            <w:tcW w:w="10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3250" w:type="pct"/>
            <w:tcBorders>
              <w:top w:val="nil"/>
              <w:left w:val="nil"/>
              <w:bottom w:val="nil"/>
              <w:right w:val="nil"/>
              <w:tl2br w:val="nil"/>
              <w:tr2bl w:val="nil"/>
            </w:tcBorders>
            <w:vAlign w:val="bottom"/>
          </w:tcPr>
          <w:p w:rsidR="009534E2" w:rsidRDefault="003369EB">
            <w:pPr>
              <w:keepNext/>
              <w:rPr>
                <w:rFonts w:asciiTheme="majorHAnsi" w:hAnsiTheme="majorHAnsi" w:cstheme="majorHAnsi"/>
                <w:b/>
                <w:color w:val="000000"/>
              </w:rPr>
            </w:pPr>
            <w:bookmarkStart w:name="_e3adbf62_aa01_413e_a86d_0624a8ce6c53" w:id="1733"/>
            <w:bookmarkEnd w:id="1732"/>
            <w:r>
              <w:rPr>
                <w:rFonts w:eastAsia="Times New Roman" w:asciiTheme="majorHAnsi" w:hAnsiTheme="majorHAnsi" w:cstheme="majorHAnsi"/>
                <w:b/>
                <w:color w:val="000000"/>
              </w:rPr>
              <w:t>Weighted average number of ordinary shares for diluted earnings per share</w:t>
            </w: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62,416,470</w:t>
            </w: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62,454,006</w:t>
            </w: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77"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62,619,727</w:t>
            </w:r>
          </w:p>
        </w:tc>
      </w:tr>
      <w:tr w:rsidR="009534E2">
        <w:trPr>
          <w:jc w:val="center"/>
        </w:trPr>
        <w:tc>
          <w:tcPr>
            <w:tcW w:w="3250" w:type="pct"/>
            <w:tcBorders>
              <w:top w:val="nil"/>
              <w:left w:val="nil"/>
              <w:bottom w:val="nil"/>
              <w:right w:val="nil"/>
              <w:tl2br w:val="nil"/>
              <w:tr2bl w:val="nil"/>
            </w:tcBorders>
            <w:shd w:val="clear" w:color="auto" w:fill="CCEEFF"/>
            <w:vAlign w:val="bottom"/>
          </w:tcPr>
          <w:p w:rsidR="009534E2" w:rsidRDefault="009534E2">
            <w:pPr>
              <w:keepNext/>
              <w:rPr>
                <w:rFonts w:asciiTheme="majorHAnsi" w:hAnsiTheme="majorHAnsi" w:cstheme="majorHAnsi"/>
                <w:b/>
                <w:color w:val="000000"/>
              </w:rPr>
            </w:pPr>
            <w:bookmarkStart w:name="_2003a847_3d95_4467_a686_5e65c62c45db" w:id="1734"/>
            <w:bookmarkEnd w:id="1733"/>
          </w:p>
        </w:tc>
        <w:tc>
          <w:tcPr>
            <w:tcW w:w="10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c>
          <w:tcPr>
            <w:tcW w:w="10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c>
          <w:tcPr>
            <w:tcW w:w="10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77"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r>
      <w:tr w:rsidR="009534E2">
        <w:trPr>
          <w:jc w:val="center"/>
        </w:trPr>
        <w:tc>
          <w:tcPr>
            <w:tcW w:w="3250" w:type="pct"/>
            <w:tcBorders>
              <w:top w:val="nil"/>
              <w:left w:val="nil"/>
              <w:bottom w:val="nil"/>
              <w:right w:val="nil"/>
              <w:tl2br w:val="nil"/>
              <w:tr2bl w:val="nil"/>
            </w:tcBorders>
            <w:vAlign w:val="bottom"/>
          </w:tcPr>
          <w:p w:rsidR="009534E2" w:rsidRDefault="003369EB">
            <w:pPr>
              <w:keepNext/>
              <w:rPr>
                <w:rFonts w:asciiTheme="majorHAnsi" w:hAnsiTheme="majorHAnsi" w:cstheme="majorHAnsi"/>
                <w:b/>
                <w:color w:val="000000"/>
              </w:rPr>
            </w:pPr>
            <w:bookmarkStart w:name="_6c4213a7_4424_4c69_9008_feb62d2e55fd" w:id="1735"/>
            <w:bookmarkEnd w:id="1734"/>
            <w:r>
              <w:rPr>
                <w:rFonts w:eastAsia="Times New Roman" w:asciiTheme="majorHAnsi" w:hAnsiTheme="majorHAnsi" w:cstheme="majorHAnsi"/>
                <w:b/>
                <w:color w:val="000000"/>
              </w:rPr>
              <w:t>Earnings per share:</w:t>
            </w: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r>
      <w:tr w:rsidR="009534E2">
        <w:trPr>
          <w:jc w:val="center"/>
        </w:trPr>
        <w:tc>
          <w:tcPr>
            <w:tcW w:w="3250"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b14f1786_0528_4523_a546_998c39d93f24" w:id="1736"/>
            <w:bookmarkEnd w:id="1735"/>
            <w:r>
              <w:rPr>
                <w:rFonts w:eastAsia="Times New Roman" w:asciiTheme="majorHAnsi" w:hAnsiTheme="majorHAnsi" w:cstheme="majorHAnsi"/>
                <w:color w:val="000000"/>
              </w:rPr>
              <w:t>Basic, profit attributable to ordinary equity holders of the parent</w:t>
            </w:r>
          </w:p>
        </w:tc>
        <w:tc>
          <w:tcPr>
            <w:tcW w:w="10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142.04</w:t>
            </w:r>
          </w:p>
        </w:tc>
        <w:tc>
          <w:tcPr>
            <w:tcW w:w="10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278.68</w:t>
            </w:r>
          </w:p>
        </w:tc>
        <w:tc>
          <w:tcPr>
            <w:tcW w:w="10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209.50</w:t>
            </w:r>
          </w:p>
        </w:tc>
      </w:tr>
      <w:tr w:rsidR="009534E2">
        <w:trPr>
          <w:jc w:val="center"/>
        </w:trPr>
        <w:tc>
          <w:tcPr>
            <w:tcW w:w="3250"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bookmarkStart w:name="_8b782c65_4330_4387_973d_a2db97ff50e5" w:id="1737"/>
            <w:bookmarkEnd w:id="1736"/>
            <w:r>
              <w:rPr>
                <w:rFonts w:eastAsia="Times New Roman" w:asciiTheme="majorHAnsi" w:hAnsiTheme="majorHAnsi" w:cstheme="majorHAnsi"/>
                <w:color w:val="000000"/>
              </w:rPr>
              <w:t>Diluted, profit attributable to ordinary equity holders of the parent</w:t>
            </w:r>
          </w:p>
        </w:tc>
        <w:tc>
          <w:tcPr>
            <w:tcW w:w="103"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22"/>
              </w:rPr>
            </w:pPr>
          </w:p>
        </w:tc>
        <w:tc>
          <w:tcPr>
            <w:tcW w:w="482"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141.66</w:t>
            </w:r>
          </w:p>
        </w:tc>
        <w:tc>
          <w:tcPr>
            <w:tcW w:w="103"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c>
          <w:tcPr>
            <w:tcW w:w="482"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278.59</w:t>
            </w:r>
          </w:p>
        </w:tc>
        <w:tc>
          <w:tcPr>
            <w:tcW w:w="103"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c>
          <w:tcPr>
            <w:tcW w:w="477"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209.50</w:t>
            </w:r>
          </w:p>
        </w:tc>
      </w:tr>
      <w:bookmarkEnd w:id="1728"/>
      <w:bookmarkEnd w:id="1737"/>
    </w:tbl>
    <w:p w:rsidR="009534E2" w:rsidRDefault="009534E2">
      <w:pPr>
        <w:rPr>
          <w:rFonts w:asciiTheme="majorHAnsi" w:hAnsiTheme="majorHAnsi" w:cstheme="majorHAnsi"/>
        </w:rPr>
      </w:pP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There have been no other transactions involving ordinary shares or potential ordinary shares between the reporting date and the date of completion of these financial statements.</w:t>
      </w: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Heading1"/>
        <w:spacing w:after="0"/>
        <w:ind w:left="360" w:hanging="360"/>
        <w:rPr>
          <w:lang w:val="ru-RU" w:eastAsia="ru-RU"/>
        </w:rPr>
      </w:pPr>
      <w:r>
        <w:rPr>
          <w:lang w:eastAsia="ru-RU"/>
        </w:rPr>
        <w:t>9.</w:t>
      </w:r>
      <w:r>
        <w:rPr>
          <w:lang w:eastAsia="ru-RU"/>
        </w:rPr>
        <w:tab/>
      </w:r>
      <w:r>
        <w:rPr>
          <w:lang w:val="ru-RU" w:eastAsia="ru-RU"/>
        </w:rPr>
        <w:t>Property and equipment</w:t>
      </w:r>
    </w:p>
    <w:p w:rsidR="009534E2" w:rsidRDefault="009534E2">
      <w:pPr>
        <w:pStyle w:val="BodyText"/>
        <w:keepNext/>
        <w:spacing w:after="0"/>
        <w:rPr>
          <w:rFonts w:asciiTheme="majorHAnsi" w:hAnsiTheme="majorHAnsi" w:cstheme="majorHAnsi"/>
          <w:lang w:val="ru-RU" w:eastAsia="ru-RU"/>
        </w:rPr>
      </w:pPr>
      <w:bookmarkStart w:name="_46118ab8_cdee_4c87_8e28_7c98dad0fbe4" w:id="1738"/>
      <w:bookmarkStart w:name="_303dae35_56ab_4940_92eb_7986ddd6d084" w:id="1739"/>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660"/>
        <w:gridCol w:w="150"/>
        <w:gridCol w:w="788"/>
        <w:gridCol w:w="150"/>
        <w:gridCol w:w="996"/>
        <w:gridCol w:w="150"/>
        <w:gridCol w:w="917"/>
        <w:gridCol w:w="150"/>
        <w:gridCol w:w="930"/>
        <w:gridCol w:w="150"/>
        <w:gridCol w:w="721"/>
        <w:gridCol w:w="150"/>
        <w:gridCol w:w="1263"/>
        <w:gridCol w:w="150"/>
        <w:gridCol w:w="475"/>
      </w:tblGrid>
      <w:tr w:rsidR="009534E2">
        <w:trPr>
          <w:trHeight w:val="20" w:hRule="exact"/>
          <w:jc w:val="center"/>
        </w:trPr>
        <w:tc>
          <w:tcPr>
            <w:tcW w:w="1694" w:type="pct"/>
            <w:tcBorders>
              <w:top w:val="nil"/>
              <w:left w:val="nil"/>
              <w:bottom w:val="nil"/>
              <w:right w:val="nil"/>
            </w:tcBorders>
            <w:vAlign w:val="bottom"/>
          </w:tcPr>
          <w:p w:rsidR="009534E2" w:rsidRDefault="009534E2">
            <w:pPr>
              <w:keepNext/>
              <w:spacing w:after="1"/>
              <w:rPr>
                <w:sz w:val="2"/>
              </w:rPr>
            </w:pPr>
            <w:bookmarkStart w:name="_472f11a2_e47c_46c6_b301_251ab7e84c4b" w:id="1740"/>
            <w:bookmarkStart w:name="_efc902cf_8017_4e56_8bde_95d762ab948d" w:colFirst="0" w:colLast="0" w:id="1741"/>
            <w:bookmarkStart w:name="_78a17ae8_c0cd_4c5f_9ecc_16b8e4e0ece0" w:colFirst="1" w:colLast="1" w:id="1742"/>
            <w:bookmarkStart w:name="_7e88e034_14a1_4f44_983d_429df0252cac" w:colFirst="2" w:colLast="2" w:id="1743"/>
            <w:bookmarkStart w:name="_7ce9b4a8_c348_45f3_a675_6c1f31432d76" w:colFirst="3" w:colLast="3" w:id="1744"/>
            <w:bookmarkStart w:name="_c29bd52f_2d72_4ed3_8302_a7dcde684812" w:colFirst="4" w:colLast="4" w:id="1745"/>
            <w:bookmarkStart w:name="_74e2fcad_f465_41c2_ac81_16d8d6d4b736" w:colFirst="5" w:colLast="5" w:id="1746"/>
            <w:bookmarkStart w:name="_bf2a84d6_25b6_47be_b8c2_9c0d5179b136" w:colFirst="6" w:colLast="6" w:id="1747"/>
            <w:bookmarkStart w:name="_3933ece3_76c4_402e_8711_c270ab3db1d3" w:colFirst="7" w:colLast="7" w:id="1748"/>
            <w:bookmarkStart w:name="_c33b8edd_8ec5_4c6c_b1ea_1380e33a5e44" w:colFirst="8" w:colLast="8" w:id="1749"/>
            <w:bookmarkStart w:name="_706c1fbc_a414_4ffd_ad48_8cc95e520c25" w:colFirst="13" w:colLast="13" w:id="1750"/>
            <w:bookmarkStart w:name="_56ae2f8f_2548_47d3_be13_ec6581ed9735" w:colFirst="14" w:colLast="14" w:id="1751"/>
            <w:bookmarkStart w:name="_812dd549_fc99_426c_85a8_dfd3ac99a57d" w:colFirst="9" w:colLast="9" w:id="1752"/>
            <w:bookmarkStart w:name="_27153470_b3c0_438e_a4ed_5bf90536458b" w:colFirst="10" w:colLast="10" w:id="1753"/>
            <w:bookmarkStart w:name="_e282671a_5e5e_45c7_bbc2_c1a83bf98850" w:colFirst="11" w:colLast="11" w:id="1754"/>
            <w:bookmarkStart w:name="_d44b6d48_6d54_48ce_81b0_515805617a53" w:colFirst="12" w:colLast="12" w:id="1755"/>
            <w:bookmarkStart w:name="_2ee77ca0_674c_4ce8_89e4_610672124b7b" w:id="1756"/>
            <w:bookmarkEnd w:id="1740"/>
          </w:p>
        </w:tc>
        <w:tc>
          <w:tcPr>
            <w:tcW w:w="69" w:type="pct"/>
            <w:tcBorders>
              <w:top w:val="nil"/>
              <w:left w:val="nil"/>
              <w:bottom w:val="nil"/>
              <w:right w:val="nil"/>
            </w:tcBorders>
            <w:noWrap/>
            <w:vAlign w:val="bottom"/>
          </w:tcPr>
          <w:p w:rsidR="009534E2" w:rsidRDefault="009534E2">
            <w:pPr>
              <w:keepNext/>
              <w:spacing w:after="1"/>
              <w:rPr>
                <w:sz w:val="2"/>
              </w:rPr>
            </w:pPr>
          </w:p>
        </w:tc>
        <w:tc>
          <w:tcPr>
            <w:tcW w:w="365" w:type="pct"/>
            <w:tcBorders>
              <w:top w:val="nil"/>
              <w:left w:val="nil"/>
              <w:bottom w:val="nil"/>
              <w:right w:val="nil"/>
            </w:tcBorders>
            <w:noWrap/>
            <w:vAlign w:val="bottom"/>
          </w:tcPr>
          <w:p w:rsidR="009534E2" w:rsidRDefault="009534E2">
            <w:pPr>
              <w:keepNext/>
              <w:spacing w:after="1"/>
              <w:rPr>
                <w:sz w:val="2"/>
              </w:rPr>
            </w:pPr>
          </w:p>
        </w:tc>
        <w:tc>
          <w:tcPr>
            <w:tcW w:w="69" w:type="pct"/>
            <w:tcBorders>
              <w:top w:val="nil"/>
              <w:left w:val="nil"/>
              <w:bottom w:val="nil"/>
              <w:right w:val="nil"/>
            </w:tcBorders>
            <w:noWrap/>
            <w:vAlign w:val="bottom"/>
          </w:tcPr>
          <w:p w:rsidR="009534E2" w:rsidRDefault="009534E2">
            <w:pPr>
              <w:keepNext/>
              <w:spacing w:after="1"/>
              <w:rPr>
                <w:sz w:val="2"/>
              </w:rPr>
            </w:pPr>
          </w:p>
        </w:tc>
        <w:tc>
          <w:tcPr>
            <w:tcW w:w="461" w:type="pct"/>
            <w:tcBorders>
              <w:top w:val="nil"/>
              <w:left w:val="nil"/>
              <w:bottom w:val="nil"/>
              <w:right w:val="nil"/>
            </w:tcBorders>
            <w:noWrap/>
            <w:vAlign w:val="bottom"/>
          </w:tcPr>
          <w:p w:rsidR="009534E2" w:rsidRDefault="009534E2">
            <w:pPr>
              <w:keepNext/>
              <w:spacing w:after="1"/>
              <w:rPr>
                <w:sz w:val="2"/>
              </w:rPr>
            </w:pPr>
          </w:p>
        </w:tc>
        <w:tc>
          <w:tcPr>
            <w:tcW w:w="69" w:type="pct"/>
            <w:tcBorders>
              <w:top w:val="nil"/>
              <w:left w:val="nil"/>
              <w:bottom w:val="nil"/>
              <w:right w:val="nil"/>
            </w:tcBorders>
            <w:noWrap/>
            <w:vAlign w:val="bottom"/>
          </w:tcPr>
          <w:p w:rsidR="009534E2" w:rsidRDefault="009534E2">
            <w:pPr>
              <w:keepNext/>
              <w:spacing w:after="1"/>
              <w:rPr>
                <w:sz w:val="2"/>
              </w:rPr>
            </w:pPr>
          </w:p>
        </w:tc>
        <w:tc>
          <w:tcPr>
            <w:tcW w:w="425" w:type="pct"/>
            <w:tcBorders>
              <w:top w:val="nil"/>
              <w:left w:val="nil"/>
              <w:bottom w:val="nil"/>
              <w:right w:val="nil"/>
            </w:tcBorders>
            <w:noWrap/>
            <w:vAlign w:val="bottom"/>
          </w:tcPr>
          <w:p w:rsidR="009534E2" w:rsidRDefault="009534E2">
            <w:pPr>
              <w:keepNext/>
              <w:spacing w:after="1"/>
              <w:rPr>
                <w:sz w:val="2"/>
              </w:rPr>
            </w:pPr>
          </w:p>
        </w:tc>
        <w:tc>
          <w:tcPr>
            <w:tcW w:w="69" w:type="pct"/>
            <w:tcBorders>
              <w:top w:val="nil"/>
              <w:left w:val="nil"/>
              <w:bottom w:val="nil"/>
              <w:right w:val="nil"/>
            </w:tcBorders>
            <w:noWrap/>
            <w:vAlign w:val="bottom"/>
          </w:tcPr>
          <w:p w:rsidR="009534E2" w:rsidRDefault="009534E2">
            <w:pPr>
              <w:keepNext/>
              <w:spacing w:after="1"/>
              <w:rPr>
                <w:sz w:val="2"/>
              </w:rPr>
            </w:pPr>
          </w:p>
        </w:tc>
        <w:tc>
          <w:tcPr>
            <w:tcW w:w="431" w:type="pct"/>
            <w:tcBorders>
              <w:top w:val="nil"/>
              <w:left w:val="nil"/>
              <w:bottom w:val="nil"/>
              <w:right w:val="nil"/>
            </w:tcBorders>
            <w:noWrap/>
            <w:vAlign w:val="bottom"/>
          </w:tcPr>
          <w:p w:rsidR="009534E2" w:rsidRDefault="009534E2">
            <w:pPr>
              <w:keepNext/>
              <w:spacing w:after="1"/>
              <w:rPr>
                <w:sz w:val="2"/>
              </w:rPr>
            </w:pPr>
          </w:p>
        </w:tc>
        <w:tc>
          <w:tcPr>
            <w:tcW w:w="69" w:type="pct"/>
            <w:tcBorders>
              <w:top w:val="nil"/>
              <w:left w:val="nil"/>
              <w:bottom w:val="nil"/>
              <w:right w:val="nil"/>
            </w:tcBorders>
            <w:noWrap/>
            <w:vAlign w:val="bottom"/>
          </w:tcPr>
          <w:p w:rsidR="009534E2" w:rsidRDefault="009534E2">
            <w:pPr>
              <w:keepNext/>
              <w:spacing w:after="1"/>
              <w:rPr>
                <w:sz w:val="2"/>
              </w:rPr>
            </w:pPr>
          </w:p>
        </w:tc>
        <w:tc>
          <w:tcPr>
            <w:tcW w:w="334" w:type="pct"/>
            <w:tcBorders>
              <w:top w:val="nil"/>
              <w:left w:val="nil"/>
              <w:bottom w:val="nil"/>
              <w:right w:val="nil"/>
            </w:tcBorders>
            <w:noWrap/>
            <w:vAlign w:val="bottom"/>
          </w:tcPr>
          <w:p w:rsidR="009534E2" w:rsidRDefault="009534E2">
            <w:pPr>
              <w:keepNext/>
              <w:spacing w:after="1"/>
              <w:rPr>
                <w:sz w:val="2"/>
              </w:rPr>
            </w:pPr>
          </w:p>
        </w:tc>
        <w:tc>
          <w:tcPr>
            <w:tcW w:w="69" w:type="pct"/>
            <w:tcBorders>
              <w:top w:val="nil"/>
              <w:left w:val="nil"/>
              <w:bottom w:val="nil"/>
              <w:right w:val="nil"/>
            </w:tcBorders>
            <w:noWrap/>
            <w:vAlign w:val="bottom"/>
          </w:tcPr>
          <w:p w:rsidR="009534E2" w:rsidRDefault="009534E2">
            <w:pPr>
              <w:keepNext/>
              <w:spacing w:after="1"/>
              <w:rPr>
                <w:sz w:val="2"/>
              </w:rPr>
            </w:pPr>
          </w:p>
        </w:tc>
        <w:tc>
          <w:tcPr>
            <w:tcW w:w="585" w:type="pct"/>
            <w:tcBorders>
              <w:top w:val="nil"/>
              <w:left w:val="nil"/>
              <w:bottom w:val="nil"/>
              <w:right w:val="nil"/>
            </w:tcBorders>
            <w:noWrap/>
            <w:vAlign w:val="bottom"/>
          </w:tcPr>
          <w:p w:rsidR="009534E2" w:rsidRDefault="009534E2">
            <w:pPr>
              <w:keepNext/>
              <w:spacing w:after="1"/>
              <w:rPr>
                <w:sz w:val="2"/>
              </w:rPr>
            </w:pPr>
          </w:p>
        </w:tc>
        <w:tc>
          <w:tcPr>
            <w:tcW w:w="69" w:type="pct"/>
            <w:tcBorders>
              <w:top w:val="nil"/>
              <w:left w:val="nil"/>
              <w:bottom w:val="nil"/>
              <w:right w:val="nil"/>
            </w:tcBorders>
            <w:noWrap/>
            <w:vAlign w:val="bottom"/>
          </w:tcPr>
          <w:p w:rsidR="009534E2" w:rsidRDefault="009534E2">
            <w:pPr>
              <w:keepNext/>
              <w:spacing w:after="1"/>
              <w:rPr>
                <w:sz w:val="2"/>
              </w:rPr>
            </w:pPr>
          </w:p>
        </w:tc>
        <w:tc>
          <w:tcPr>
            <w:tcW w:w="220" w:type="pct"/>
            <w:tcBorders>
              <w:top w:val="nil"/>
              <w:left w:val="nil"/>
              <w:bottom w:val="nil"/>
              <w:right w:val="nil"/>
            </w:tcBorders>
            <w:noWrap/>
            <w:vAlign w:val="bottom"/>
          </w:tcPr>
          <w:p w:rsidR="009534E2" w:rsidRDefault="009534E2">
            <w:pPr>
              <w:keepNext/>
              <w:spacing w:after="1"/>
              <w:rPr>
                <w:sz w:val="2"/>
              </w:rPr>
            </w:pPr>
          </w:p>
        </w:tc>
      </w:tr>
      <w:tr w:rsidR="009534E2">
        <w:trPr>
          <w:jc w:val="center"/>
        </w:trPr>
        <w:tc>
          <w:tcPr>
            <w:tcW w:w="1694"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5"/>
              </w:rPr>
            </w:pPr>
            <w:bookmarkStart w:name="_589f71f2_b2ce_42f6_b55e_e22d98f1d6c7" w:id="1757"/>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tc>
        <w:tc>
          <w:tcPr>
            <w:tcW w:w="6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365"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6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61"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6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25"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6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31"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color w:val="000000"/>
                <w:sz w:val="15"/>
              </w:rPr>
            </w:pP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334"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585"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6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220"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r>
      <w:tr w:rsidR="009534E2">
        <w:trPr>
          <w:jc w:val="center"/>
        </w:trPr>
        <w:tc>
          <w:tcPr>
            <w:tcW w:w="1694"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5"/>
              </w:rPr>
            </w:pPr>
            <w:bookmarkStart w:name="_56e4a79f_bf9a_442b_864d_80f47a2982b3" w:id="1758"/>
            <w:bookmarkEnd w:id="1757"/>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5"/>
              </w:rPr>
            </w:pPr>
          </w:p>
        </w:tc>
        <w:tc>
          <w:tcPr>
            <w:tcW w:w="36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Processing </w:t>
            </w: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5"/>
              </w:rPr>
            </w:pPr>
          </w:p>
        </w:tc>
        <w:tc>
          <w:tcPr>
            <w:tcW w:w="461"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5"/>
              </w:rPr>
            </w:pPr>
          </w:p>
        </w:tc>
        <w:tc>
          <w:tcPr>
            <w:tcW w:w="425"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5"/>
              </w:rPr>
            </w:pPr>
          </w:p>
        </w:tc>
        <w:tc>
          <w:tcPr>
            <w:tcW w:w="431"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334"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58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Construction  in</w:t>
            </w: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5"/>
              </w:rPr>
            </w:pPr>
          </w:p>
        </w:tc>
        <w:tc>
          <w:tcPr>
            <w:tcW w:w="220"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r>
      <w:tr w:rsidR="009534E2">
        <w:trPr>
          <w:jc w:val="center"/>
        </w:trPr>
        <w:tc>
          <w:tcPr>
            <w:tcW w:w="1694"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5"/>
              </w:rPr>
            </w:pPr>
            <w:bookmarkStart w:name="_5139a6c6_d49c_425e_ac31_b0ec5934d665" w:id="1759"/>
            <w:bookmarkEnd w:id="1758"/>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5"/>
              </w:rPr>
            </w:pPr>
          </w:p>
        </w:tc>
        <w:tc>
          <w:tcPr>
            <w:tcW w:w="36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servers and </w:t>
            </w: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5"/>
              </w:rPr>
            </w:pPr>
          </w:p>
        </w:tc>
        <w:tc>
          <w:tcPr>
            <w:tcW w:w="461"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Computers and</w:t>
            </w: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5"/>
              </w:rPr>
            </w:pPr>
          </w:p>
        </w:tc>
        <w:tc>
          <w:tcPr>
            <w:tcW w:w="425"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5"/>
              </w:rPr>
            </w:pPr>
          </w:p>
        </w:tc>
        <w:tc>
          <w:tcPr>
            <w:tcW w:w="431"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Right of use of</w:t>
            </w: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334"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58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 progress (CIP) and</w:t>
            </w: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5"/>
              </w:rPr>
            </w:pPr>
          </w:p>
        </w:tc>
        <w:tc>
          <w:tcPr>
            <w:tcW w:w="220"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r>
      <w:tr w:rsidR="009534E2">
        <w:trPr>
          <w:jc w:val="center"/>
        </w:trPr>
        <w:tc>
          <w:tcPr>
            <w:tcW w:w="1694"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5"/>
              </w:rPr>
            </w:pPr>
            <w:bookmarkStart w:name="_d176a168_c815_48f6_ab0a_f7746b36446c" w:id="1760"/>
            <w:bookmarkEnd w:id="1759"/>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5"/>
              </w:rPr>
            </w:pPr>
          </w:p>
        </w:tc>
        <w:tc>
          <w:tcPr>
            <w:tcW w:w="36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engineering </w:t>
            </w: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5"/>
              </w:rPr>
            </w:pPr>
          </w:p>
        </w:tc>
        <w:tc>
          <w:tcPr>
            <w:tcW w:w="461"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 office </w:t>
            </w: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5"/>
              </w:rPr>
            </w:pPr>
          </w:p>
        </w:tc>
        <w:tc>
          <w:tcPr>
            <w:tcW w:w="42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 xml:space="preserve">Leasehold </w:t>
            </w: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5"/>
              </w:rPr>
            </w:pPr>
          </w:p>
        </w:tc>
        <w:tc>
          <w:tcPr>
            <w:tcW w:w="431"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leased assets</w:t>
            </w: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c>
          <w:tcPr>
            <w:tcW w:w="334"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Other</w:t>
            </w: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color w:val="000000"/>
                <w:sz w:val="15"/>
              </w:rPr>
            </w:pPr>
          </w:p>
        </w:tc>
        <w:tc>
          <w:tcPr>
            <w:tcW w:w="58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Advances for</w:t>
            </w:r>
          </w:p>
        </w:tc>
        <w:tc>
          <w:tcPr>
            <w:tcW w:w="69" w:type="pct"/>
            <w:tcBorders>
              <w:top w:val="nil"/>
              <w:left w:val="nil"/>
              <w:bottom w:val="nil"/>
              <w:right w:val="nil"/>
              <w:tl2br w:val="nil"/>
              <w:tr2bl w:val="nil"/>
            </w:tcBorders>
            <w:shd w:val="clear" w:color="auto" w:fill="auto"/>
            <w:noWrap/>
            <w:vAlign w:val="bottom"/>
          </w:tcPr>
          <w:p w:rsidR="009534E2" w:rsidRDefault="009534E2">
            <w:pPr>
              <w:keepNext/>
              <w:spacing w:after="1"/>
              <w:rPr>
                <w:b/>
                <w:color w:val="000000"/>
                <w:sz w:val="15"/>
              </w:rPr>
            </w:pPr>
          </w:p>
        </w:tc>
        <w:tc>
          <w:tcPr>
            <w:tcW w:w="220"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5"/>
              </w:rPr>
            </w:pPr>
          </w:p>
        </w:tc>
      </w:tr>
      <w:tr w:rsidR="009534E2">
        <w:trPr>
          <w:jc w:val="center"/>
        </w:trPr>
        <w:tc>
          <w:tcPr>
            <w:tcW w:w="1694"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5"/>
              </w:rPr>
            </w:pPr>
            <w:bookmarkStart w:name="_8776436b_71fe_419e_a96a_a713e95c165e" w:id="1761"/>
            <w:bookmarkEnd w:id="1760"/>
          </w:p>
        </w:tc>
        <w:tc>
          <w:tcPr>
            <w:tcW w:w="6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36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equipment</w:t>
            </w:r>
          </w:p>
        </w:tc>
        <w:tc>
          <w:tcPr>
            <w:tcW w:w="6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61"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equipment</w:t>
            </w:r>
          </w:p>
        </w:tc>
        <w:tc>
          <w:tcPr>
            <w:tcW w:w="6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improvements</w:t>
            </w:r>
          </w:p>
        </w:tc>
        <w:tc>
          <w:tcPr>
            <w:tcW w:w="6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31"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(Note 22)</w:t>
            </w:r>
          </w:p>
        </w:tc>
        <w:tc>
          <w:tcPr>
            <w:tcW w:w="6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334"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 equipment</w:t>
            </w:r>
          </w:p>
        </w:tc>
        <w:tc>
          <w:tcPr>
            <w:tcW w:w="6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58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 equipment </w:t>
            </w:r>
          </w:p>
        </w:tc>
        <w:tc>
          <w:tcPr>
            <w:tcW w:w="69" w:type="pct"/>
            <w:tcBorders>
              <w:top w:val="nil"/>
              <w:left w:val="nil"/>
              <w:bottom w:val="nil"/>
              <w:right w:val="nil"/>
              <w:tl2br w:val="nil"/>
              <w:tr2bl w:val="nil"/>
            </w:tcBorders>
            <w:shd w:val="clear" w:color="auto" w:fill="auto"/>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220"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5"/>
              </w:rPr>
            </w:pPr>
            <w:r>
              <w:rPr>
                <w:rFonts w:ascii="Times New Roman" w:hAnsi="Times New Roman" w:eastAsia="Times New Roman" w:cs="Times New Roman"/>
                <w:b/>
                <w:color w:val="000000"/>
                <w:sz w:val="15"/>
              </w:rPr>
              <w:t>Total</w:t>
            </w:r>
          </w:p>
        </w:tc>
      </w:tr>
      <w:tr w:rsidR="009534E2">
        <w:trPr>
          <w:jc w:val="center"/>
        </w:trPr>
        <w:tc>
          <w:tcPr>
            <w:tcW w:w="1694" w:type="pct"/>
            <w:tcBorders>
              <w:top w:val="nil"/>
              <w:left w:val="nil"/>
              <w:bottom w:val="nil"/>
              <w:right w:val="nil"/>
              <w:tl2br w:val="nil"/>
              <w:tr2bl w:val="nil"/>
            </w:tcBorders>
            <w:shd w:val="clear" w:color="auto" w:fill="CCEEFF"/>
            <w:vAlign w:val="bottom"/>
          </w:tcPr>
          <w:p w:rsidR="009534E2" w:rsidRDefault="003369EB">
            <w:pPr>
              <w:keepNext/>
              <w:spacing w:after="1"/>
              <w:rPr>
                <w:b/>
                <w:color w:val="000000"/>
                <w:sz w:val="15"/>
              </w:rPr>
            </w:pPr>
            <w:bookmarkStart w:name="_ed2a6225_d1ea_4c8d_9bd0_fb10ee46143c" w:id="1762"/>
            <w:bookmarkEnd w:id="1761"/>
            <w:r>
              <w:rPr>
                <w:rFonts w:ascii="Times New Roman" w:hAnsi="Times New Roman" w:eastAsia="Times New Roman" w:cs="Times New Roman"/>
                <w:b/>
                <w:color w:val="000000"/>
                <w:sz w:val="15"/>
              </w:rPr>
              <w:t>Cost</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365"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61"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25"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5"/>
              </w:rPr>
            </w:pP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31"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5"/>
              </w:rPr>
            </w:pP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5"/>
              </w:rPr>
            </w:pPr>
          </w:p>
        </w:tc>
        <w:tc>
          <w:tcPr>
            <w:tcW w:w="334"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5"/>
              </w:rPr>
            </w:pPr>
          </w:p>
        </w:tc>
        <w:tc>
          <w:tcPr>
            <w:tcW w:w="585"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22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w:t>
            </w:r>
          </w:p>
        </w:tc>
      </w:tr>
      <w:tr w:rsidR="009534E2">
        <w:trPr>
          <w:jc w:val="center"/>
        </w:trPr>
        <w:tc>
          <w:tcPr>
            <w:tcW w:w="1694" w:type="pct"/>
            <w:tcBorders>
              <w:top w:val="nil"/>
              <w:left w:val="nil"/>
              <w:bottom w:val="nil"/>
              <w:right w:val="nil"/>
              <w:tl2br w:val="nil"/>
              <w:tr2bl w:val="nil"/>
            </w:tcBorders>
            <w:vAlign w:val="bottom"/>
          </w:tcPr>
          <w:p w:rsidR="009534E2" w:rsidRDefault="003369EB">
            <w:pPr>
              <w:keepNext/>
              <w:spacing w:after="1"/>
              <w:rPr>
                <w:b/>
                <w:color w:val="000000"/>
                <w:sz w:val="15"/>
              </w:rPr>
            </w:pPr>
            <w:bookmarkStart w:name="_bf975e12_4a61_4499_9c89_63e2b1165129" w:id="1763"/>
            <w:bookmarkEnd w:id="1762"/>
            <w:r>
              <w:rPr>
                <w:rFonts w:ascii="Times New Roman" w:hAnsi="Times New Roman" w:eastAsia="Times New Roman" w:cs="Times New Roman"/>
                <w:b/>
                <w:color w:val="000000"/>
                <w:sz w:val="15"/>
              </w:rPr>
              <w:t>Balance as of December 31, 2020</w:t>
            </w:r>
          </w:p>
        </w:tc>
        <w:tc>
          <w:tcPr>
            <w:tcW w:w="69" w:type="pct"/>
            <w:tcBorders>
              <w:top w:val="nil"/>
              <w:left w:val="nil"/>
              <w:bottom w:val="nil"/>
              <w:right w:val="nil"/>
              <w:tl2br w:val="nil"/>
              <w:tr2bl w:val="nil"/>
            </w:tcBorders>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365" w:type="pct"/>
            <w:tcBorders>
              <w:top w:val="nil"/>
              <w:left w:val="nil"/>
              <w:bottom w:val="nil"/>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1,402</w:t>
            </w:r>
          </w:p>
        </w:tc>
        <w:tc>
          <w:tcPr>
            <w:tcW w:w="69" w:type="pct"/>
            <w:tcBorders>
              <w:top w:val="nil"/>
              <w:left w:val="nil"/>
              <w:bottom w:val="nil"/>
              <w:right w:val="nil"/>
              <w:tl2br w:val="nil"/>
              <w:tr2bl w:val="nil"/>
            </w:tcBorders>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461" w:type="pct"/>
            <w:tcBorders>
              <w:top w:val="nil"/>
              <w:left w:val="nil"/>
              <w:bottom w:val="nil"/>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322</w:t>
            </w:r>
          </w:p>
        </w:tc>
        <w:tc>
          <w:tcPr>
            <w:tcW w:w="69" w:type="pct"/>
            <w:tcBorders>
              <w:top w:val="nil"/>
              <w:left w:val="nil"/>
              <w:bottom w:val="nil"/>
              <w:right w:val="nil"/>
              <w:tl2br w:val="nil"/>
              <w:tr2bl w:val="nil"/>
            </w:tcBorders>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425" w:type="pct"/>
            <w:tcBorders>
              <w:top w:val="nil"/>
              <w:left w:val="nil"/>
              <w:bottom w:val="nil"/>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453</w:t>
            </w:r>
          </w:p>
        </w:tc>
        <w:tc>
          <w:tcPr>
            <w:tcW w:w="69" w:type="pct"/>
            <w:tcBorders>
              <w:top w:val="nil"/>
              <w:left w:val="nil"/>
              <w:bottom w:val="nil"/>
              <w:right w:val="nil"/>
              <w:tl2br w:val="nil"/>
              <w:tr2bl w:val="nil"/>
            </w:tcBorders>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431" w:type="pct"/>
            <w:tcBorders>
              <w:top w:val="nil"/>
              <w:left w:val="nil"/>
              <w:bottom w:val="nil"/>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1,630</w:t>
            </w:r>
          </w:p>
        </w:tc>
        <w:tc>
          <w:tcPr>
            <w:tcW w:w="69" w:type="pct"/>
            <w:tcBorders>
              <w:top w:val="nil"/>
              <w:left w:val="nil"/>
              <w:bottom w:val="nil"/>
              <w:right w:val="nil"/>
              <w:tl2br w:val="nil"/>
              <w:tr2bl w:val="nil"/>
            </w:tcBorders>
            <w:noWrap/>
            <w:vAlign w:val="bottom"/>
          </w:tcPr>
          <w:p w:rsidR="009534E2" w:rsidRDefault="009534E2">
            <w:pPr>
              <w:keepNext/>
              <w:spacing w:after="1"/>
              <w:jc w:val="right"/>
              <w:rPr>
                <w:color w:val="000000"/>
                <w:sz w:val="15"/>
              </w:rPr>
            </w:pPr>
          </w:p>
        </w:tc>
        <w:tc>
          <w:tcPr>
            <w:tcW w:w="334" w:type="pct"/>
            <w:tcBorders>
              <w:top w:val="nil"/>
              <w:left w:val="nil"/>
              <w:bottom w:val="nil"/>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44</w:t>
            </w:r>
          </w:p>
        </w:tc>
        <w:tc>
          <w:tcPr>
            <w:tcW w:w="69" w:type="pct"/>
            <w:tcBorders>
              <w:top w:val="nil"/>
              <w:left w:val="nil"/>
              <w:bottom w:val="nil"/>
              <w:right w:val="nil"/>
              <w:tl2br w:val="nil"/>
              <w:tr2bl w:val="nil"/>
            </w:tcBorders>
            <w:noWrap/>
            <w:vAlign w:val="bottom"/>
          </w:tcPr>
          <w:p w:rsidR="009534E2" w:rsidRDefault="009534E2">
            <w:pPr>
              <w:keepNext/>
              <w:spacing w:after="1"/>
              <w:jc w:val="right"/>
              <w:rPr>
                <w:color w:val="000000"/>
                <w:sz w:val="15"/>
              </w:rPr>
            </w:pPr>
          </w:p>
        </w:tc>
        <w:tc>
          <w:tcPr>
            <w:tcW w:w="585" w:type="pct"/>
            <w:tcBorders>
              <w:top w:val="nil"/>
              <w:left w:val="nil"/>
              <w:bottom w:val="nil"/>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23</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220" w:type="pct"/>
            <w:tcBorders>
              <w:top w:val="nil"/>
              <w:left w:val="nil"/>
              <w:bottom w:val="nil"/>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3,874</w:t>
            </w:r>
          </w:p>
        </w:tc>
      </w:tr>
      <w:tr w:rsidR="009534E2">
        <w:trPr>
          <w:jc w:val="center"/>
        </w:trPr>
        <w:tc>
          <w:tcPr>
            <w:tcW w:w="1694"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5"/>
              </w:rPr>
            </w:pPr>
            <w:bookmarkStart w:name="_ffd02e88_1503_410c_b480_a38564ff9d92" w:id="1764"/>
            <w:bookmarkEnd w:id="1763"/>
            <w:r>
              <w:rPr>
                <w:rFonts w:ascii="Times New Roman" w:hAnsi="Times New Roman" w:eastAsia="Times New Roman" w:cs="Times New Roman"/>
                <w:color w:val="000000"/>
                <w:sz w:val="15"/>
              </w:rPr>
              <w:t>Transfer between groups</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365"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18</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461"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431"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5"/>
              </w:rPr>
            </w:pPr>
          </w:p>
        </w:tc>
        <w:tc>
          <w:tcPr>
            <w:tcW w:w="334"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5"/>
              </w:rPr>
            </w:pPr>
          </w:p>
        </w:tc>
        <w:tc>
          <w:tcPr>
            <w:tcW w:w="585"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(18)</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220"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w:t>
            </w:r>
          </w:p>
        </w:tc>
      </w:tr>
      <w:tr w:rsidR="009534E2">
        <w:trPr>
          <w:jc w:val="center"/>
        </w:trPr>
        <w:tc>
          <w:tcPr>
            <w:tcW w:w="1694" w:type="pct"/>
            <w:tcBorders>
              <w:top w:val="nil"/>
              <w:left w:val="nil"/>
              <w:bottom w:val="nil"/>
              <w:right w:val="nil"/>
              <w:tl2br w:val="nil"/>
              <w:tr2bl w:val="nil"/>
            </w:tcBorders>
            <w:vAlign w:val="bottom"/>
          </w:tcPr>
          <w:p w:rsidR="009534E2" w:rsidRDefault="003369EB">
            <w:pPr>
              <w:keepNext/>
              <w:spacing w:after="1"/>
              <w:rPr>
                <w:color w:val="000000"/>
                <w:sz w:val="15"/>
              </w:rPr>
            </w:pPr>
            <w:bookmarkStart w:name="_fd58f3b1_8640_44b9_8730_8b6c2b0725d7" w:id="1765"/>
            <w:bookmarkEnd w:id="1764"/>
            <w:r>
              <w:rPr>
                <w:rFonts w:ascii="Times New Roman" w:hAnsi="Times New Roman" w:eastAsia="Times New Roman" w:cs="Times New Roman"/>
                <w:color w:val="000000"/>
                <w:sz w:val="15"/>
              </w:rPr>
              <w:t xml:space="preserve">Additions </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365" w:type="pct"/>
            <w:tcBorders>
              <w:top w:val="nil"/>
              <w:left w:val="nil"/>
              <w:bottom w:val="nil"/>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194</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61" w:type="pct"/>
            <w:tcBorders>
              <w:top w:val="nil"/>
              <w:left w:val="nil"/>
              <w:bottom w:val="nil"/>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67</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25" w:type="pct"/>
            <w:tcBorders>
              <w:top w:val="nil"/>
              <w:left w:val="nil"/>
              <w:bottom w:val="nil"/>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11</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31" w:type="pct"/>
            <w:tcBorders>
              <w:top w:val="nil"/>
              <w:left w:val="nil"/>
              <w:bottom w:val="nil"/>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40</w:t>
            </w:r>
          </w:p>
        </w:tc>
        <w:tc>
          <w:tcPr>
            <w:tcW w:w="69" w:type="pct"/>
            <w:tcBorders>
              <w:top w:val="nil"/>
              <w:left w:val="nil"/>
              <w:bottom w:val="nil"/>
              <w:right w:val="nil"/>
              <w:tl2br w:val="nil"/>
              <w:tr2bl w:val="nil"/>
            </w:tcBorders>
            <w:noWrap/>
            <w:vAlign w:val="bottom"/>
          </w:tcPr>
          <w:p w:rsidR="009534E2" w:rsidRDefault="009534E2">
            <w:pPr>
              <w:keepNext/>
              <w:spacing w:after="1"/>
              <w:jc w:val="right"/>
              <w:rPr>
                <w:b/>
                <w:color w:val="000000"/>
                <w:sz w:val="15"/>
              </w:rPr>
            </w:pPr>
          </w:p>
        </w:tc>
        <w:tc>
          <w:tcPr>
            <w:tcW w:w="334" w:type="pct"/>
            <w:tcBorders>
              <w:top w:val="nil"/>
              <w:left w:val="nil"/>
              <w:bottom w:val="nil"/>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4</w:t>
            </w:r>
          </w:p>
        </w:tc>
        <w:tc>
          <w:tcPr>
            <w:tcW w:w="69" w:type="pct"/>
            <w:tcBorders>
              <w:top w:val="nil"/>
              <w:left w:val="nil"/>
              <w:bottom w:val="nil"/>
              <w:right w:val="nil"/>
              <w:tl2br w:val="nil"/>
              <w:tr2bl w:val="nil"/>
            </w:tcBorders>
            <w:noWrap/>
            <w:vAlign w:val="bottom"/>
          </w:tcPr>
          <w:p w:rsidR="009534E2" w:rsidRDefault="009534E2">
            <w:pPr>
              <w:keepNext/>
              <w:spacing w:after="1"/>
              <w:jc w:val="right"/>
              <w:rPr>
                <w:b/>
                <w:color w:val="000000"/>
                <w:sz w:val="15"/>
              </w:rPr>
            </w:pPr>
          </w:p>
        </w:tc>
        <w:tc>
          <w:tcPr>
            <w:tcW w:w="585" w:type="pct"/>
            <w:tcBorders>
              <w:top w:val="nil"/>
              <w:left w:val="nil"/>
              <w:bottom w:val="nil"/>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44</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220" w:type="pct"/>
            <w:tcBorders>
              <w:top w:val="nil"/>
              <w:left w:val="nil"/>
              <w:bottom w:val="nil"/>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360</w:t>
            </w:r>
          </w:p>
        </w:tc>
      </w:tr>
      <w:tr w:rsidR="009534E2">
        <w:trPr>
          <w:jc w:val="center"/>
        </w:trPr>
        <w:tc>
          <w:tcPr>
            <w:tcW w:w="1694"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5"/>
              </w:rPr>
            </w:pPr>
            <w:bookmarkStart w:name="_3fd1d341_5884_4fb0_ae58_005f12063daf" w:id="1766"/>
            <w:bookmarkEnd w:id="1765"/>
            <w:r>
              <w:rPr>
                <w:rFonts w:ascii="Times New Roman" w:hAnsi="Times New Roman" w:eastAsia="Times New Roman" w:cs="Times New Roman"/>
                <w:color w:val="000000"/>
                <w:sz w:val="15"/>
              </w:rPr>
              <w:t>Disposals</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36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(26)</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6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(32)</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(171)</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3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(361)</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5"/>
              </w:rPr>
            </w:pPr>
          </w:p>
        </w:tc>
        <w:tc>
          <w:tcPr>
            <w:tcW w:w="33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(13)</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5"/>
              </w:rPr>
            </w:pPr>
          </w:p>
        </w:tc>
        <w:tc>
          <w:tcPr>
            <w:tcW w:w="58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22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(603)</w:t>
            </w:r>
          </w:p>
        </w:tc>
      </w:tr>
      <w:tr w:rsidR="009534E2">
        <w:trPr>
          <w:jc w:val="center"/>
        </w:trPr>
        <w:tc>
          <w:tcPr>
            <w:tcW w:w="1694" w:type="pct"/>
            <w:tcBorders>
              <w:top w:val="nil"/>
              <w:left w:val="nil"/>
              <w:bottom w:val="nil"/>
              <w:right w:val="nil"/>
              <w:tl2br w:val="nil"/>
              <w:tr2bl w:val="nil"/>
            </w:tcBorders>
            <w:vAlign w:val="bottom"/>
          </w:tcPr>
          <w:p w:rsidR="009534E2" w:rsidRDefault="003369EB">
            <w:pPr>
              <w:keepNext/>
              <w:spacing w:after="1"/>
              <w:rPr>
                <w:b/>
                <w:color w:val="000000"/>
                <w:sz w:val="15"/>
              </w:rPr>
            </w:pPr>
            <w:bookmarkStart w:name="_8a5a539f_253a_44d5_96cf_f552957b1790" w:id="1767"/>
            <w:bookmarkEnd w:id="1766"/>
            <w:r>
              <w:rPr>
                <w:rFonts w:ascii="Times New Roman" w:hAnsi="Times New Roman" w:eastAsia="Times New Roman" w:cs="Times New Roman"/>
                <w:b/>
                <w:color w:val="000000"/>
                <w:sz w:val="15"/>
              </w:rPr>
              <w:t>Balance as of December 31, 2021</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365"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1,588</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61"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357</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25"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293</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31"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1,309</w:t>
            </w:r>
          </w:p>
        </w:tc>
        <w:tc>
          <w:tcPr>
            <w:tcW w:w="69" w:type="pct"/>
            <w:tcBorders>
              <w:top w:val="nil"/>
              <w:left w:val="nil"/>
              <w:bottom w:val="nil"/>
              <w:right w:val="nil"/>
              <w:tl2br w:val="nil"/>
              <w:tr2bl w:val="nil"/>
            </w:tcBorders>
            <w:noWrap/>
            <w:vAlign w:val="bottom"/>
          </w:tcPr>
          <w:p w:rsidR="009534E2" w:rsidRDefault="009534E2">
            <w:pPr>
              <w:keepNext/>
              <w:spacing w:after="1"/>
              <w:jc w:val="right"/>
              <w:rPr>
                <w:b/>
                <w:color w:val="000000"/>
                <w:sz w:val="15"/>
              </w:rPr>
            </w:pPr>
          </w:p>
        </w:tc>
        <w:tc>
          <w:tcPr>
            <w:tcW w:w="334"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35</w:t>
            </w:r>
          </w:p>
        </w:tc>
        <w:tc>
          <w:tcPr>
            <w:tcW w:w="69" w:type="pct"/>
            <w:tcBorders>
              <w:top w:val="nil"/>
              <w:left w:val="nil"/>
              <w:bottom w:val="nil"/>
              <w:right w:val="nil"/>
              <w:tl2br w:val="nil"/>
              <w:tr2bl w:val="nil"/>
            </w:tcBorders>
            <w:noWrap/>
            <w:vAlign w:val="bottom"/>
          </w:tcPr>
          <w:p w:rsidR="009534E2" w:rsidRDefault="009534E2">
            <w:pPr>
              <w:keepNext/>
              <w:spacing w:after="1"/>
              <w:jc w:val="right"/>
              <w:rPr>
                <w:b/>
                <w:color w:val="000000"/>
                <w:sz w:val="15"/>
              </w:rPr>
            </w:pPr>
          </w:p>
        </w:tc>
        <w:tc>
          <w:tcPr>
            <w:tcW w:w="585"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49</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220"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3,631</w:t>
            </w:r>
          </w:p>
        </w:tc>
      </w:tr>
      <w:tr w:rsidR="009534E2">
        <w:trPr>
          <w:jc w:val="center"/>
        </w:trPr>
        <w:tc>
          <w:tcPr>
            <w:tcW w:w="1694"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5"/>
              </w:rPr>
            </w:pPr>
            <w:bookmarkStart w:name="_0506b1cc_1ae2_4fed_8131_536ee84ab300" w:id="1768"/>
            <w:bookmarkEnd w:id="1767"/>
            <w:r>
              <w:rPr>
                <w:rFonts w:ascii="Times New Roman" w:hAnsi="Times New Roman" w:eastAsia="Times New Roman" w:cs="Times New Roman"/>
                <w:color w:val="000000"/>
                <w:sz w:val="15"/>
              </w:rPr>
              <w:t>Transfer between groups</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365"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4</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461"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18</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5"/>
              </w:rPr>
            </w:pPr>
          </w:p>
        </w:tc>
        <w:tc>
          <w:tcPr>
            <w:tcW w:w="431"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5"/>
              </w:rPr>
            </w:pPr>
          </w:p>
        </w:tc>
        <w:tc>
          <w:tcPr>
            <w:tcW w:w="334"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5"/>
              </w:rPr>
            </w:pPr>
          </w:p>
        </w:tc>
        <w:tc>
          <w:tcPr>
            <w:tcW w:w="585"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(22)</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5"/>
              </w:rPr>
            </w:pPr>
          </w:p>
        </w:tc>
        <w:tc>
          <w:tcPr>
            <w:tcW w:w="220"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w:t>
            </w:r>
          </w:p>
        </w:tc>
      </w:tr>
      <w:tr w:rsidR="009534E2">
        <w:trPr>
          <w:jc w:val="center"/>
        </w:trPr>
        <w:tc>
          <w:tcPr>
            <w:tcW w:w="1694" w:type="pct"/>
            <w:tcBorders>
              <w:top w:val="nil"/>
              <w:left w:val="nil"/>
              <w:bottom w:val="nil"/>
              <w:right w:val="nil"/>
              <w:tl2br w:val="nil"/>
              <w:tr2bl w:val="nil"/>
            </w:tcBorders>
            <w:vAlign w:val="bottom"/>
          </w:tcPr>
          <w:p w:rsidR="009534E2" w:rsidRDefault="003369EB">
            <w:pPr>
              <w:keepNext/>
              <w:spacing w:after="1"/>
              <w:rPr>
                <w:color w:val="000000"/>
                <w:sz w:val="15"/>
              </w:rPr>
            </w:pPr>
            <w:bookmarkStart w:name="_1987c278_dedf_43ef_bf64_5e93ecbedaf6" w:id="1769"/>
            <w:bookmarkEnd w:id="1768"/>
            <w:r>
              <w:rPr>
                <w:rFonts w:ascii="Times New Roman" w:hAnsi="Times New Roman" w:eastAsia="Times New Roman" w:cs="Times New Roman"/>
                <w:color w:val="000000"/>
                <w:sz w:val="15"/>
              </w:rPr>
              <w:t>Additions</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365" w:type="pct"/>
            <w:tcBorders>
              <w:top w:val="nil"/>
              <w:left w:val="nil"/>
              <w:bottom w:val="nil"/>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108</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461" w:type="pct"/>
            <w:tcBorders>
              <w:top w:val="nil"/>
              <w:left w:val="nil"/>
              <w:bottom w:val="nil"/>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60</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425" w:type="pct"/>
            <w:tcBorders>
              <w:top w:val="nil"/>
              <w:left w:val="nil"/>
              <w:bottom w:val="nil"/>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5</w:t>
            </w: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431" w:type="pct"/>
            <w:tcBorders>
              <w:top w:val="nil"/>
              <w:left w:val="nil"/>
              <w:bottom w:val="nil"/>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156</w:t>
            </w:r>
          </w:p>
        </w:tc>
        <w:tc>
          <w:tcPr>
            <w:tcW w:w="69" w:type="pct"/>
            <w:tcBorders>
              <w:top w:val="nil"/>
              <w:left w:val="nil"/>
              <w:bottom w:val="nil"/>
              <w:right w:val="nil"/>
              <w:tl2br w:val="nil"/>
              <w:tr2bl w:val="nil"/>
            </w:tcBorders>
            <w:noWrap/>
            <w:vAlign w:val="bottom"/>
          </w:tcPr>
          <w:p w:rsidR="009534E2" w:rsidRDefault="009534E2">
            <w:pPr>
              <w:keepNext/>
              <w:spacing w:after="1"/>
              <w:jc w:val="right"/>
              <w:rPr>
                <w:color w:val="000000"/>
                <w:sz w:val="15"/>
              </w:rPr>
            </w:pPr>
          </w:p>
        </w:tc>
        <w:tc>
          <w:tcPr>
            <w:tcW w:w="334" w:type="pct"/>
            <w:tcBorders>
              <w:top w:val="nil"/>
              <w:left w:val="nil"/>
              <w:bottom w:val="nil"/>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3</w:t>
            </w:r>
          </w:p>
        </w:tc>
        <w:tc>
          <w:tcPr>
            <w:tcW w:w="69" w:type="pct"/>
            <w:tcBorders>
              <w:top w:val="nil"/>
              <w:left w:val="nil"/>
              <w:bottom w:val="nil"/>
              <w:right w:val="nil"/>
              <w:tl2br w:val="nil"/>
              <w:tr2bl w:val="nil"/>
            </w:tcBorders>
            <w:noWrap/>
            <w:vAlign w:val="bottom"/>
          </w:tcPr>
          <w:p w:rsidR="009534E2" w:rsidRDefault="009534E2">
            <w:pPr>
              <w:keepNext/>
              <w:spacing w:after="1"/>
              <w:jc w:val="right"/>
              <w:rPr>
                <w:color w:val="000000"/>
                <w:sz w:val="15"/>
              </w:rPr>
            </w:pPr>
          </w:p>
        </w:tc>
        <w:tc>
          <w:tcPr>
            <w:tcW w:w="585" w:type="pct"/>
            <w:tcBorders>
              <w:top w:val="nil"/>
              <w:left w:val="nil"/>
              <w:bottom w:val="nil"/>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55</w:t>
            </w: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220" w:type="pct"/>
            <w:tcBorders>
              <w:top w:val="nil"/>
              <w:left w:val="nil"/>
              <w:bottom w:val="nil"/>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387</w:t>
            </w:r>
          </w:p>
        </w:tc>
      </w:tr>
      <w:tr w:rsidR="009534E2">
        <w:trPr>
          <w:jc w:val="center"/>
        </w:trPr>
        <w:tc>
          <w:tcPr>
            <w:tcW w:w="1694"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5"/>
              </w:rPr>
            </w:pPr>
            <w:bookmarkStart w:name="_1e862339_b535_46b5_b9f8_b832893f083e" w:id="1770"/>
            <w:bookmarkEnd w:id="1769"/>
            <w:r>
              <w:rPr>
                <w:rFonts w:ascii="Times New Roman" w:hAnsi="Times New Roman" w:eastAsia="Times New Roman" w:cs="Times New Roman"/>
                <w:color w:val="000000"/>
                <w:sz w:val="15"/>
              </w:rPr>
              <w:t>Additions from business combinations</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365"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5"/>
              </w:rPr>
            </w:pP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461"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26</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5"/>
              </w:rPr>
            </w:pPr>
          </w:p>
        </w:tc>
        <w:tc>
          <w:tcPr>
            <w:tcW w:w="431"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28</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5"/>
              </w:rPr>
            </w:pPr>
          </w:p>
        </w:tc>
        <w:tc>
          <w:tcPr>
            <w:tcW w:w="334"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1</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5"/>
              </w:rPr>
            </w:pPr>
          </w:p>
        </w:tc>
        <w:tc>
          <w:tcPr>
            <w:tcW w:w="585"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5"/>
              </w:rPr>
            </w:pPr>
          </w:p>
        </w:tc>
        <w:tc>
          <w:tcPr>
            <w:tcW w:w="220"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55</w:t>
            </w:r>
          </w:p>
        </w:tc>
      </w:tr>
      <w:tr w:rsidR="009534E2">
        <w:trPr>
          <w:jc w:val="center"/>
        </w:trPr>
        <w:tc>
          <w:tcPr>
            <w:tcW w:w="1694" w:type="pct"/>
            <w:tcBorders>
              <w:top w:val="nil"/>
              <w:left w:val="nil"/>
              <w:bottom w:val="nil"/>
              <w:right w:val="nil"/>
              <w:tl2br w:val="nil"/>
              <w:tr2bl w:val="nil"/>
            </w:tcBorders>
            <w:noWrap/>
            <w:vAlign w:val="bottom"/>
          </w:tcPr>
          <w:p w:rsidR="009534E2" w:rsidRDefault="003369EB">
            <w:pPr>
              <w:keepNext/>
              <w:spacing w:after="1"/>
              <w:rPr>
                <w:color w:val="000000"/>
                <w:sz w:val="15"/>
              </w:rPr>
            </w:pPr>
            <w:bookmarkStart w:name="_ff7a6915_0f09_46c6_8896_c7784285a4d4" w:id="1771"/>
            <w:bookmarkEnd w:id="1770"/>
            <w:r>
              <w:rPr>
                <w:rFonts w:ascii="Times New Roman" w:hAnsi="Times New Roman" w:eastAsia="Times New Roman" w:cs="Times New Roman"/>
                <w:color w:val="000000"/>
                <w:sz w:val="15"/>
              </w:rPr>
              <w:t>Disposals</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365" w:type="pct"/>
            <w:tcBorders>
              <w:top w:val="nil"/>
              <w:left w:val="nil"/>
              <w:bottom w:val="single" w:color="000000" w:sz="4" w:space="0"/>
              <w:right w:val="nil"/>
              <w:tl2br w:val="nil"/>
              <w:tr2bl w:val="nil"/>
            </w:tcBorders>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(124)</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461" w:type="pct"/>
            <w:tcBorders>
              <w:top w:val="nil"/>
              <w:left w:val="nil"/>
              <w:bottom w:val="single" w:color="000000" w:sz="4" w:space="0"/>
              <w:right w:val="nil"/>
              <w:tl2br w:val="nil"/>
              <w:tr2bl w:val="nil"/>
            </w:tcBorders>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(92)</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425" w:type="pct"/>
            <w:tcBorders>
              <w:top w:val="nil"/>
              <w:left w:val="nil"/>
              <w:bottom w:val="single" w:color="000000" w:sz="4" w:space="0"/>
              <w:right w:val="nil"/>
              <w:tl2br w:val="nil"/>
              <w:tr2bl w:val="nil"/>
            </w:tcBorders>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(111)</w:t>
            </w: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431" w:type="pct"/>
            <w:tcBorders>
              <w:top w:val="nil"/>
              <w:left w:val="nil"/>
              <w:bottom w:val="single" w:color="000000" w:sz="4" w:space="0"/>
              <w:right w:val="nil"/>
              <w:tl2br w:val="nil"/>
              <w:tr2bl w:val="nil"/>
            </w:tcBorders>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(418)</w:t>
            </w:r>
          </w:p>
        </w:tc>
        <w:tc>
          <w:tcPr>
            <w:tcW w:w="69" w:type="pct"/>
            <w:tcBorders>
              <w:top w:val="nil"/>
              <w:left w:val="nil"/>
              <w:bottom w:val="nil"/>
              <w:right w:val="nil"/>
              <w:tl2br w:val="nil"/>
              <w:tr2bl w:val="nil"/>
            </w:tcBorders>
            <w:noWrap/>
            <w:vAlign w:val="bottom"/>
          </w:tcPr>
          <w:p w:rsidR="009534E2" w:rsidRDefault="009534E2">
            <w:pPr>
              <w:keepNext/>
              <w:spacing w:after="1"/>
              <w:jc w:val="right"/>
              <w:rPr>
                <w:color w:val="000000"/>
                <w:sz w:val="15"/>
              </w:rPr>
            </w:pPr>
          </w:p>
        </w:tc>
        <w:tc>
          <w:tcPr>
            <w:tcW w:w="334" w:type="pct"/>
            <w:tcBorders>
              <w:top w:val="nil"/>
              <w:left w:val="nil"/>
              <w:bottom w:val="single" w:color="000000" w:sz="4" w:space="0"/>
              <w:right w:val="nil"/>
              <w:tl2br w:val="nil"/>
              <w:tr2bl w:val="nil"/>
            </w:tcBorders>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(10)</w:t>
            </w:r>
          </w:p>
        </w:tc>
        <w:tc>
          <w:tcPr>
            <w:tcW w:w="69" w:type="pct"/>
            <w:tcBorders>
              <w:top w:val="nil"/>
              <w:left w:val="nil"/>
              <w:bottom w:val="nil"/>
              <w:right w:val="nil"/>
              <w:tl2br w:val="nil"/>
              <w:tr2bl w:val="nil"/>
            </w:tcBorders>
            <w:noWrap/>
            <w:vAlign w:val="bottom"/>
          </w:tcPr>
          <w:p w:rsidR="009534E2" w:rsidRDefault="009534E2">
            <w:pPr>
              <w:keepNext/>
              <w:spacing w:after="1"/>
              <w:jc w:val="right"/>
              <w:rPr>
                <w:color w:val="000000"/>
                <w:sz w:val="15"/>
              </w:rPr>
            </w:pPr>
          </w:p>
        </w:tc>
        <w:tc>
          <w:tcPr>
            <w:tcW w:w="585"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w:t>
            </w: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220" w:type="pct"/>
            <w:tcBorders>
              <w:top w:val="nil"/>
              <w:left w:val="nil"/>
              <w:bottom w:val="single" w:color="000000" w:sz="4" w:space="0"/>
              <w:right w:val="nil"/>
              <w:tl2br w:val="nil"/>
              <w:tr2bl w:val="nil"/>
            </w:tcBorders>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(755)</w:t>
            </w:r>
          </w:p>
        </w:tc>
      </w:tr>
      <w:tr w:rsidR="009534E2">
        <w:trPr>
          <w:jc w:val="center"/>
        </w:trPr>
        <w:tc>
          <w:tcPr>
            <w:tcW w:w="1694" w:type="pct"/>
            <w:tcBorders>
              <w:top w:val="nil"/>
              <w:left w:val="nil"/>
              <w:bottom w:val="nil"/>
              <w:right w:val="nil"/>
              <w:tl2br w:val="nil"/>
              <w:tr2bl w:val="nil"/>
            </w:tcBorders>
            <w:shd w:val="clear" w:color="auto" w:fill="CCEEFF"/>
            <w:vAlign w:val="bottom"/>
          </w:tcPr>
          <w:p w:rsidR="009534E2" w:rsidRDefault="003369EB">
            <w:pPr>
              <w:keepNext/>
              <w:spacing w:after="1"/>
              <w:rPr>
                <w:b/>
                <w:color w:val="000000"/>
                <w:sz w:val="15"/>
              </w:rPr>
            </w:pPr>
            <w:bookmarkStart w:name="_87ac4c95_5394_4486_b6e4_e2939b78cbb6" w:id="1772"/>
            <w:bookmarkEnd w:id="1771"/>
            <w:r>
              <w:rPr>
                <w:rFonts w:ascii="Times New Roman" w:hAnsi="Times New Roman" w:eastAsia="Times New Roman" w:cs="Times New Roman"/>
                <w:b/>
                <w:color w:val="000000"/>
                <w:sz w:val="15"/>
              </w:rPr>
              <w:t>Balance as of December 31, 2022</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36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1,576</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46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369</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187</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43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1,075</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5"/>
              </w:rPr>
            </w:pPr>
          </w:p>
        </w:tc>
        <w:tc>
          <w:tcPr>
            <w:tcW w:w="33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29</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5"/>
              </w:rPr>
            </w:pPr>
          </w:p>
        </w:tc>
        <w:tc>
          <w:tcPr>
            <w:tcW w:w="58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82</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22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3,318</w:t>
            </w:r>
          </w:p>
        </w:tc>
      </w:tr>
      <w:tr w:rsidR="009534E2">
        <w:trPr>
          <w:jc w:val="center"/>
        </w:trPr>
        <w:tc>
          <w:tcPr>
            <w:tcW w:w="1694" w:type="pct"/>
            <w:tcBorders>
              <w:top w:val="nil"/>
              <w:left w:val="nil"/>
              <w:bottom w:val="nil"/>
              <w:right w:val="nil"/>
              <w:tl2br w:val="nil"/>
              <w:tr2bl w:val="nil"/>
            </w:tcBorders>
            <w:noWrap/>
            <w:vAlign w:val="bottom"/>
          </w:tcPr>
          <w:p w:rsidR="009534E2" w:rsidRDefault="009534E2">
            <w:pPr>
              <w:keepNext/>
              <w:spacing w:after="1"/>
              <w:rPr>
                <w:color w:val="000000"/>
                <w:sz w:val="15"/>
              </w:rPr>
            </w:pPr>
            <w:bookmarkStart w:name="_be9ec1b0_4c5c_4476_84e4_cbd3b8bfcfe8" w:id="1773"/>
            <w:bookmarkEnd w:id="1772"/>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365" w:type="pct"/>
            <w:tcBorders>
              <w:top w:val="nil"/>
              <w:left w:val="nil"/>
              <w:bottom w:val="nil"/>
              <w:right w:val="nil"/>
              <w:tl2br w:val="nil"/>
              <w:tr2bl w:val="nil"/>
            </w:tcBorders>
            <w:noWrap/>
            <w:vAlign w:val="bottom"/>
          </w:tcPr>
          <w:p w:rsidR="009534E2" w:rsidRDefault="009534E2">
            <w:pPr>
              <w:keepNext/>
              <w:spacing w:after="1"/>
              <w:jc w:val="right"/>
              <w:rPr>
                <w:b/>
                <w:color w:val="000000"/>
                <w:sz w:val="15"/>
              </w:rPr>
            </w:pP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461" w:type="pct"/>
            <w:tcBorders>
              <w:top w:val="nil"/>
              <w:left w:val="nil"/>
              <w:bottom w:val="nil"/>
              <w:right w:val="nil"/>
              <w:tl2br w:val="nil"/>
              <w:tr2bl w:val="nil"/>
            </w:tcBorders>
            <w:noWrap/>
            <w:vAlign w:val="bottom"/>
          </w:tcPr>
          <w:p w:rsidR="009534E2" w:rsidRDefault="009534E2">
            <w:pPr>
              <w:keepNext/>
              <w:spacing w:after="1"/>
              <w:jc w:val="right"/>
              <w:rPr>
                <w:b/>
                <w:color w:val="000000"/>
                <w:sz w:val="15"/>
              </w:rPr>
            </w:pP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425" w:type="pct"/>
            <w:tcBorders>
              <w:top w:val="nil"/>
              <w:left w:val="nil"/>
              <w:bottom w:val="nil"/>
              <w:right w:val="nil"/>
              <w:tl2br w:val="nil"/>
              <w:tr2bl w:val="nil"/>
            </w:tcBorders>
            <w:noWrap/>
            <w:vAlign w:val="bottom"/>
          </w:tcPr>
          <w:p w:rsidR="009534E2" w:rsidRDefault="009534E2">
            <w:pPr>
              <w:keepNext/>
              <w:spacing w:after="1"/>
              <w:jc w:val="right"/>
              <w:rPr>
                <w:b/>
                <w:color w:val="000000"/>
                <w:sz w:val="15"/>
              </w:rPr>
            </w:pP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431" w:type="pct"/>
            <w:tcBorders>
              <w:top w:val="nil"/>
              <w:left w:val="nil"/>
              <w:bottom w:val="nil"/>
              <w:right w:val="nil"/>
              <w:tl2br w:val="nil"/>
              <w:tr2bl w:val="nil"/>
            </w:tcBorders>
            <w:noWrap/>
            <w:vAlign w:val="bottom"/>
          </w:tcPr>
          <w:p w:rsidR="009534E2" w:rsidRDefault="009534E2">
            <w:pPr>
              <w:keepNext/>
              <w:spacing w:after="1"/>
              <w:jc w:val="right"/>
              <w:rPr>
                <w:b/>
                <w:color w:val="000000"/>
                <w:sz w:val="15"/>
              </w:rPr>
            </w:pPr>
          </w:p>
        </w:tc>
        <w:tc>
          <w:tcPr>
            <w:tcW w:w="69" w:type="pct"/>
            <w:tcBorders>
              <w:top w:val="nil"/>
              <w:left w:val="nil"/>
              <w:bottom w:val="nil"/>
              <w:right w:val="nil"/>
              <w:tl2br w:val="nil"/>
              <w:tr2bl w:val="nil"/>
            </w:tcBorders>
            <w:noWrap/>
            <w:vAlign w:val="bottom"/>
          </w:tcPr>
          <w:p w:rsidR="009534E2" w:rsidRDefault="009534E2">
            <w:pPr>
              <w:keepNext/>
              <w:spacing w:after="1"/>
              <w:jc w:val="right"/>
              <w:rPr>
                <w:b/>
                <w:color w:val="000000"/>
                <w:sz w:val="15"/>
              </w:rPr>
            </w:pPr>
          </w:p>
        </w:tc>
        <w:tc>
          <w:tcPr>
            <w:tcW w:w="334" w:type="pct"/>
            <w:tcBorders>
              <w:top w:val="nil"/>
              <w:left w:val="nil"/>
              <w:bottom w:val="nil"/>
              <w:right w:val="nil"/>
              <w:tl2br w:val="nil"/>
              <w:tr2bl w:val="nil"/>
            </w:tcBorders>
            <w:noWrap/>
            <w:vAlign w:val="bottom"/>
          </w:tcPr>
          <w:p w:rsidR="009534E2" w:rsidRDefault="009534E2">
            <w:pPr>
              <w:keepNext/>
              <w:spacing w:after="1"/>
              <w:jc w:val="right"/>
              <w:rPr>
                <w:b/>
                <w:color w:val="000000"/>
                <w:sz w:val="15"/>
              </w:rPr>
            </w:pPr>
          </w:p>
        </w:tc>
        <w:tc>
          <w:tcPr>
            <w:tcW w:w="69" w:type="pct"/>
            <w:tcBorders>
              <w:top w:val="nil"/>
              <w:left w:val="nil"/>
              <w:bottom w:val="nil"/>
              <w:right w:val="nil"/>
              <w:tl2br w:val="nil"/>
              <w:tr2bl w:val="nil"/>
            </w:tcBorders>
            <w:noWrap/>
            <w:vAlign w:val="bottom"/>
          </w:tcPr>
          <w:p w:rsidR="009534E2" w:rsidRDefault="009534E2">
            <w:pPr>
              <w:keepNext/>
              <w:spacing w:after="1"/>
              <w:jc w:val="right"/>
              <w:rPr>
                <w:b/>
                <w:color w:val="000000"/>
                <w:sz w:val="15"/>
              </w:rPr>
            </w:pPr>
          </w:p>
        </w:tc>
        <w:tc>
          <w:tcPr>
            <w:tcW w:w="585" w:type="pct"/>
            <w:tcBorders>
              <w:top w:val="nil"/>
              <w:left w:val="nil"/>
              <w:bottom w:val="nil"/>
              <w:right w:val="nil"/>
              <w:tl2br w:val="nil"/>
              <w:tr2bl w:val="nil"/>
            </w:tcBorders>
            <w:noWrap/>
            <w:vAlign w:val="bottom"/>
          </w:tcPr>
          <w:p w:rsidR="009534E2" w:rsidRDefault="009534E2">
            <w:pPr>
              <w:keepNext/>
              <w:spacing w:after="1"/>
              <w:jc w:val="right"/>
              <w:rPr>
                <w:b/>
                <w:color w:val="000000"/>
                <w:sz w:val="15"/>
              </w:rPr>
            </w:pP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220" w:type="pct"/>
            <w:tcBorders>
              <w:top w:val="nil"/>
              <w:left w:val="nil"/>
              <w:bottom w:val="nil"/>
              <w:right w:val="nil"/>
              <w:tl2br w:val="nil"/>
              <w:tr2bl w:val="nil"/>
            </w:tcBorders>
            <w:noWrap/>
            <w:vAlign w:val="bottom"/>
          </w:tcPr>
          <w:p w:rsidR="009534E2" w:rsidRDefault="009534E2">
            <w:pPr>
              <w:keepNext/>
              <w:spacing w:after="1"/>
              <w:jc w:val="right"/>
              <w:rPr>
                <w:b/>
                <w:color w:val="000000"/>
                <w:sz w:val="15"/>
              </w:rPr>
            </w:pPr>
          </w:p>
        </w:tc>
      </w:tr>
      <w:tr w:rsidR="009534E2">
        <w:trPr>
          <w:jc w:val="center"/>
        </w:trPr>
        <w:tc>
          <w:tcPr>
            <w:tcW w:w="1694" w:type="pct"/>
            <w:tcBorders>
              <w:top w:val="nil"/>
              <w:left w:val="nil"/>
              <w:bottom w:val="nil"/>
              <w:right w:val="nil"/>
              <w:tl2br w:val="nil"/>
              <w:tr2bl w:val="nil"/>
            </w:tcBorders>
            <w:shd w:val="clear" w:color="auto" w:fill="CCEEFF"/>
            <w:vAlign w:val="bottom"/>
          </w:tcPr>
          <w:p w:rsidR="009534E2" w:rsidRDefault="003369EB">
            <w:pPr>
              <w:keepNext/>
              <w:spacing w:after="1"/>
              <w:rPr>
                <w:b/>
                <w:color w:val="000000"/>
                <w:sz w:val="15"/>
              </w:rPr>
            </w:pPr>
            <w:bookmarkStart w:name="_eea90564_4c04_4606_9e5f_a6ac6e1b1e29" w:id="1774"/>
            <w:bookmarkEnd w:id="1773"/>
            <w:r>
              <w:rPr>
                <w:rFonts w:ascii="Times New Roman" w:hAnsi="Times New Roman" w:eastAsia="Times New Roman" w:cs="Times New Roman"/>
                <w:b/>
                <w:color w:val="000000"/>
                <w:sz w:val="15"/>
              </w:rPr>
              <w:t>Accumulated depreciation and impairment:</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365" w:type="pct"/>
            <w:tcBorders>
              <w:top w:val="nil"/>
              <w:left w:val="nil"/>
              <w:bottom w:val="single" w:color="000000" w:sz="4" w:space="0"/>
              <w:right w:val="nil"/>
              <w:tl2br w:val="nil"/>
              <w:tr2bl w:val="nil"/>
            </w:tcBorders>
            <w:shd w:val="clear" w:color="auto" w:fill="CCEEFF"/>
            <w:noWrap/>
            <w:vAlign w:val="bottom"/>
          </w:tcPr>
          <w:p w:rsidR="009534E2" w:rsidRDefault="009534E2">
            <w:pPr>
              <w:keepNext/>
              <w:spacing w:after="1"/>
              <w:jc w:val="right"/>
              <w:rPr>
                <w:color w:val="000000"/>
                <w:sz w:val="15"/>
              </w:rPr>
            </w:pP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461" w:type="pct"/>
            <w:tcBorders>
              <w:top w:val="nil"/>
              <w:left w:val="nil"/>
              <w:bottom w:val="single" w:color="000000" w:sz="4" w:space="0"/>
              <w:right w:val="nil"/>
              <w:tl2br w:val="nil"/>
              <w:tr2bl w:val="nil"/>
            </w:tcBorders>
            <w:shd w:val="clear" w:color="auto" w:fill="CCEEFF"/>
            <w:noWrap/>
            <w:vAlign w:val="bottom"/>
          </w:tcPr>
          <w:p w:rsidR="009534E2" w:rsidRDefault="009534E2">
            <w:pPr>
              <w:keepNext/>
              <w:spacing w:after="1"/>
              <w:jc w:val="right"/>
              <w:rPr>
                <w:color w:val="000000"/>
                <w:sz w:val="15"/>
              </w:rPr>
            </w:pP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9534E2">
            <w:pPr>
              <w:keepNext/>
              <w:spacing w:after="1"/>
              <w:jc w:val="right"/>
              <w:rPr>
                <w:color w:val="000000"/>
                <w:sz w:val="15"/>
              </w:rPr>
            </w:pP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431" w:type="pct"/>
            <w:tcBorders>
              <w:top w:val="nil"/>
              <w:left w:val="nil"/>
              <w:bottom w:val="single" w:color="000000" w:sz="4" w:space="0"/>
              <w:right w:val="nil"/>
              <w:tl2br w:val="nil"/>
              <w:tr2bl w:val="nil"/>
            </w:tcBorders>
            <w:shd w:val="clear" w:color="auto" w:fill="CCEEFF"/>
            <w:noWrap/>
            <w:vAlign w:val="bottom"/>
          </w:tcPr>
          <w:p w:rsidR="009534E2" w:rsidRDefault="009534E2">
            <w:pPr>
              <w:keepNext/>
              <w:spacing w:after="1"/>
              <w:jc w:val="right"/>
              <w:rPr>
                <w:color w:val="000000"/>
                <w:sz w:val="15"/>
              </w:rPr>
            </w:pP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5"/>
              </w:rPr>
            </w:pPr>
          </w:p>
        </w:tc>
        <w:tc>
          <w:tcPr>
            <w:tcW w:w="334" w:type="pct"/>
            <w:tcBorders>
              <w:top w:val="nil"/>
              <w:left w:val="nil"/>
              <w:bottom w:val="single" w:color="000000" w:sz="4" w:space="0"/>
              <w:right w:val="nil"/>
              <w:tl2br w:val="nil"/>
              <w:tr2bl w:val="nil"/>
            </w:tcBorders>
            <w:shd w:val="clear" w:color="auto" w:fill="CCEEFF"/>
            <w:noWrap/>
            <w:vAlign w:val="bottom"/>
          </w:tcPr>
          <w:p w:rsidR="009534E2" w:rsidRDefault="009534E2">
            <w:pPr>
              <w:keepNext/>
              <w:spacing w:after="1"/>
              <w:rPr>
                <w:color w:val="000000"/>
                <w:sz w:val="15"/>
              </w:rPr>
            </w:pP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5"/>
              </w:rPr>
            </w:pPr>
          </w:p>
        </w:tc>
        <w:tc>
          <w:tcPr>
            <w:tcW w:w="585" w:type="pct"/>
            <w:tcBorders>
              <w:top w:val="nil"/>
              <w:left w:val="nil"/>
              <w:bottom w:val="single" w:color="000000" w:sz="4" w:space="0"/>
              <w:right w:val="nil"/>
              <w:tl2br w:val="nil"/>
              <w:tr2bl w:val="nil"/>
            </w:tcBorders>
            <w:shd w:val="clear" w:color="auto" w:fill="CCEEFF"/>
            <w:noWrap/>
            <w:vAlign w:val="bottom"/>
          </w:tcPr>
          <w:p w:rsidR="009534E2" w:rsidRDefault="009534E2">
            <w:pPr>
              <w:keepNext/>
              <w:spacing w:after="1"/>
              <w:jc w:val="right"/>
              <w:rPr>
                <w:color w:val="000000"/>
                <w:sz w:val="15"/>
              </w:rPr>
            </w:pP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220" w:type="pct"/>
            <w:tcBorders>
              <w:top w:val="nil"/>
              <w:left w:val="nil"/>
              <w:bottom w:val="single" w:color="000000" w:sz="4" w:space="0"/>
              <w:right w:val="nil"/>
              <w:tl2br w:val="nil"/>
              <w:tr2bl w:val="nil"/>
            </w:tcBorders>
            <w:shd w:val="clear" w:color="auto" w:fill="CCEEFF"/>
            <w:noWrap/>
            <w:vAlign w:val="bottom"/>
          </w:tcPr>
          <w:p w:rsidR="009534E2" w:rsidRDefault="009534E2">
            <w:pPr>
              <w:keepNext/>
              <w:spacing w:after="1"/>
              <w:rPr>
                <w:b/>
                <w:color w:val="000000"/>
                <w:sz w:val="15"/>
              </w:rPr>
            </w:pPr>
          </w:p>
        </w:tc>
      </w:tr>
      <w:tr w:rsidR="009534E2">
        <w:trPr>
          <w:jc w:val="center"/>
        </w:trPr>
        <w:tc>
          <w:tcPr>
            <w:tcW w:w="1694" w:type="pct"/>
            <w:tcBorders>
              <w:top w:val="nil"/>
              <w:left w:val="nil"/>
              <w:bottom w:val="nil"/>
              <w:right w:val="nil"/>
              <w:tl2br w:val="nil"/>
              <w:tr2bl w:val="nil"/>
            </w:tcBorders>
            <w:vAlign w:val="bottom"/>
          </w:tcPr>
          <w:p w:rsidR="009534E2" w:rsidRDefault="003369EB">
            <w:pPr>
              <w:keepNext/>
              <w:spacing w:after="1"/>
              <w:rPr>
                <w:b/>
                <w:color w:val="000000"/>
                <w:sz w:val="15"/>
              </w:rPr>
            </w:pPr>
            <w:bookmarkStart w:name="_4b253bdb_acc4_4987_b850_d9ece40772f5" w:id="1775"/>
            <w:bookmarkEnd w:id="1774"/>
            <w:r>
              <w:rPr>
                <w:rFonts w:ascii="Times New Roman" w:hAnsi="Times New Roman" w:eastAsia="Times New Roman" w:cs="Times New Roman"/>
                <w:b/>
                <w:color w:val="000000"/>
                <w:sz w:val="15"/>
              </w:rPr>
              <w:t>Balance as of December 31, 2020</w:t>
            </w:r>
          </w:p>
        </w:tc>
        <w:tc>
          <w:tcPr>
            <w:tcW w:w="69" w:type="pct"/>
            <w:tcBorders>
              <w:top w:val="nil"/>
              <w:left w:val="nil"/>
              <w:bottom w:val="nil"/>
              <w:right w:val="nil"/>
              <w:tl2br w:val="nil"/>
              <w:tr2bl w:val="nil"/>
            </w:tcBorders>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365" w:type="pct"/>
            <w:tcBorders>
              <w:top w:val="nil"/>
              <w:left w:val="nil"/>
              <w:bottom w:val="nil"/>
              <w:right w:val="nil"/>
              <w:tl2br w:val="nil"/>
              <w:tr2bl w:val="nil"/>
            </w:tcBorders>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(764)</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61" w:type="pct"/>
            <w:tcBorders>
              <w:top w:val="nil"/>
              <w:left w:val="nil"/>
              <w:bottom w:val="nil"/>
              <w:right w:val="nil"/>
              <w:tl2br w:val="nil"/>
              <w:tr2bl w:val="nil"/>
            </w:tcBorders>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(205)</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25" w:type="pct"/>
            <w:tcBorders>
              <w:top w:val="nil"/>
              <w:left w:val="nil"/>
              <w:bottom w:val="nil"/>
              <w:right w:val="nil"/>
              <w:tl2br w:val="nil"/>
              <w:tr2bl w:val="nil"/>
            </w:tcBorders>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(440)</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31" w:type="pct"/>
            <w:tcBorders>
              <w:top w:val="nil"/>
              <w:left w:val="nil"/>
              <w:bottom w:val="nil"/>
              <w:right w:val="nil"/>
              <w:tl2br w:val="nil"/>
              <w:tr2bl w:val="nil"/>
            </w:tcBorders>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(543)</w:t>
            </w:r>
          </w:p>
        </w:tc>
        <w:tc>
          <w:tcPr>
            <w:tcW w:w="69" w:type="pct"/>
            <w:tcBorders>
              <w:top w:val="nil"/>
              <w:left w:val="nil"/>
              <w:bottom w:val="nil"/>
              <w:right w:val="nil"/>
              <w:tl2br w:val="nil"/>
              <w:tr2bl w:val="nil"/>
            </w:tcBorders>
            <w:noWrap/>
            <w:vAlign w:val="bottom"/>
          </w:tcPr>
          <w:p w:rsidR="009534E2" w:rsidRDefault="009534E2">
            <w:pPr>
              <w:keepNext/>
              <w:spacing w:after="1"/>
              <w:jc w:val="right"/>
              <w:rPr>
                <w:b/>
                <w:color w:val="000000"/>
                <w:sz w:val="15"/>
              </w:rPr>
            </w:pPr>
          </w:p>
        </w:tc>
        <w:tc>
          <w:tcPr>
            <w:tcW w:w="334" w:type="pct"/>
            <w:tcBorders>
              <w:top w:val="nil"/>
              <w:left w:val="nil"/>
              <w:bottom w:val="nil"/>
              <w:right w:val="nil"/>
              <w:tl2br w:val="nil"/>
              <w:tr2bl w:val="nil"/>
            </w:tcBorders>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(29)</w:t>
            </w:r>
          </w:p>
        </w:tc>
        <w:tc>
          <w:tcPr>
            <w:tcW w:w="69" w:type="pct"/>
            <w:tcBorders>
              <w:top w:val="nil"/>
              <w:left w:val="nil"/>
              <w:bottom w:val="nil"/>
              <w:right w:val="nil"/>
              <w:tl2br w:val="nil"/>
              <w:tr2bl w:val="nil"/>
            </w:tcBorders>
            <w:noWrap/>
            <w:vAlign w:val="bottom"/>
          </w:tcPr>
          <w:p w:rsidR="009534E2" w:rsidRDefault="009534E2">
            <w:pPr>
              <w:keepNext/>
              <w:spacing w:after="1"/>
              <w:jc w:val="right"/>
              <w:rPr>
                <w:b/>
                <w:color w:val="000000"/>
                <w:sz w:val="15"/>
              </w:rPr>
            </w:pPr>
          </w:p>
        </w:tc>
        <w:tc>
          <w:tcPr>
            <w:tcW w:w="585" w:type="pct"/>
            <w:tcBorders>
              <w:top w:val="nil"/>
              <w:left w:val="nil"/>
              <w:bottom w:val="nil"/>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220" w:type="pct"/>
            <w:tcBorders>
              <w:top w:val="nil"/>
              <w:left w:val="nil"/>
              <w:bottom w:val="nil"/>
              <w:right w:val="nil"/>
              <w:tl2br w:val="nil"/>
              <w:tr2bl w:val="nil"/>
            </w:tcBorders>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(1,981)</w:t>
            </w:r>
          </w:p>
        </w:tc>
      </w:tr>
      <w:tr w:rsidR="009534E2">
        <w:trPr>
          <w:jc w:val="center"/>
        </w:trPr>
        <w:tc>
          <w:tcPr>
            <w:tcW w:w="1694" w:type="pct"/>
            <w:tcBorders>
              <w:top w:val="nil"/>
              <w:left w:val="nil"/>
              <w:bottom w:val="nil"/>
              <w:right w:val="nil"/>
              <w:tl2br w:val="nil"/>
              <w:tr2bl w:val="nil"/>
            </w:tcBorders>
            <w:shd w:val="clear" w:color="auto" w:fill="CCEEFF"/>
            <w:vAlign w:val="bottom"/>
          </w:tcPr>
          <w:p w:rsidR="009534E2" w:rsidRDefault="003369EB">
            <w:pPr>
              <w:keepNext/>
              <w:spacing w:after="1"/>
              <w:rPr>
                <w:color w:val="000000"/>
                <w:sz w:val="15"/>
              </w:rPr>
            </w:pPr>
            <w:bookmarkStart w:name="_4a16214b_e148_488a_b8f9_a45a61d8eed6" w:id="1776"/>
            <w:bookmarkEnd w:id="1775"/>
            <w:r>
              <w:rPr>
                <w:rFonts w:ascii="Times New Roman" w:hAnsi="Times New Roman" w:eastAsia="Times New Roman" w:cs="Times New Roman"/>
                <w:color w:val="000000"/>
                <w:sz w:val="15"/>
              </w:rPr>
              <w:t xml:space="preserve">Depreciation charge </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365"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(253)</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461"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(74)</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(6)</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431"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(273)</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5"/>
              </w:rPr>
            </w:pPr>
          </w:p>
        </w:tc>
        <w:tc>
          <w:tcPr>
            <w:tcW w:w="334"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(5)</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color w:val="000000"/>
                <w:sz w:val="15"/>
              </w:rPr>
            </w:pPr>
          </w:p>
        </w:tc>
        <w:tc>
          <w:tcPr>
            <w:tcW w:w="585" w:type="pct"/>
            <w:tcBorders>
              <w:top w:val="nil"/>
              <w:left w:val="nil"/>
              <w:bottom w:val="nil"/>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220"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(611)</w:t>
            </w:r>
          </w:p>
        </w:tc>
      </w:tr>
      <w:tr w:rsidR="009534E2">
        <w:trPr>
          <w:jc w:val="center"/>
        </w:trPr>
        <w:tc>
          <w:tcPr>
            <w:tcW w:w="1694" w:type="pct"/>
            <w:tcBorders>
              <w:top w:val="nil"/>
              <w:left w:val="nil"/>
              <w:bottom w:val="nil"/>
              <w:right w:val="nil"/>
              <w:tl2br w:val="nil"/>
              <w:tr2bl w:val="nil"/>
            </w:tcBorders>
            <w:noWrap/>
            <w:vAlign w:val="bottom"/>
          </w:tcPr>
          <w:p w:rsidR="009534E2" w:rsidRDefault="003369EB">
            <w:pPr>
              <w:keepNext/>
              <w:spacing w:after="1"/>
              <w:rPr>
                <w:color w:val="000000"/>
                <w:sz w:val="15"/>
              </w:rPr>
            </w:pPr>
            <w:bookmarkStart w:name="_a5da2a6e_28e4_4b96_a137_8c3a5553c62b" w:id="1777"/>
            <w:bookmarkEnd w:id="1776"/>
            <w:r>
              <w:rPr>
                <w:rFonts w:ascii="Times New Roman" w:hAnsi="Times New Roman" w:eastAsia="Times New Roman" w:cs="Times New Roman"/>
                <w:color w:val="000000"/>
                <w:sz w:val="15"/>
              </w:rPr>
              <w:t>Disposals</w:t>
            </w: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365"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22</w:t>
            </w: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461"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18</w:t>
            </w: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425"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171</w:t>
            </w: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431"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160</w:t>
            </w:r>
          </w:p>
        </w:tc>
        <w:tc>
          <w:tcPr>
            <w:tcW w:w="69" w:type="pct"/>
            <w:tcBorders>
              <w:top w:val="nil"/>
              <w:left w:val="nil"/>
              <w:bottom w:val="nil"/>
              <w:right w:val="nil"/>
              <w:tl2br w:val="nil"/>
              <w:tr2bl w:val="nil"/>
            </w:tcBorders>
            <w:noWrap/>
            <w:vAlign w:val="bottom"/>
          </w:tcPr>
          <w:p w:rsidR="009534E2" w:rsidRDefault="009534E2">
            <w:pPr>
              <w:keepNext/>
              <w:spacing w:after="1"/>
              <w:jc w:val="right"/>
              <w:rPr>
                <w:color w:val="000000"/>
                <w:sz w:val="15"/>
              </w:rPr>
            </w:pPr>
          </w:p>
        </w:tc>
        <w:tc>
          <w:tcPr>
            <w:tcW w:w="334"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7</w:t>
            </w:r>
          </w:p>
        </w:tc>
        <w:tc>
          <w:tcPr>
            <w:tcW w:w="69" w:type="pct"/>
            <w:tcBorders>
              <w:top w:val="nil"/>
              <w:left w:val="nil"/>
              <w:bottom w:val="nil"/>
              <w:right w:val="nil"/>
              <w:tl2br w:val="nil"/>
              <w:tr2bl w:val="nil"/>
            </w:tcBorders>
            <w:noWrap/>
            <w:vAlign w:val="bottom"/>
          </w:tcPr>
          <w:p w:rsidR="009534E2" w:rsidRDefault="009534E2">
            <w:pPr>
              <w:keepNext/>
              <w:spacing w:after="1"/>
              <w:jc w:val="right"/>
              <w:rPr>
                <w:color w:val="000000"/>
                <w:sz w:val="15"/>
              </w:rPr>
            </w:pPr>
          </w:p>
        </w:tc>
        <w:tc>
          <w:tcPr>
            <w:tcW w:w="585"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w:t>
            </w: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220"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378</w:t>
            </w:r>
          </w:p>
        </w:tc>
      </w:tr>
      <w:tr w:rsidR="009534E2">
        <w:trPr>
          <w:jc w:val="center"/>
        </w:trPr>
        <w:tc>
          <w:tcPr>
            <w:tcW w:w="1694" w:type="pct"/>
            <w:tcBorders>
              <w:top w:val="nil"/>
              <w:left w:val="nil"/>
              <w:bottom w:val="nil"/>
              <w:right w:val="nil"/>
              <w:tl2br w:val="nil"/>
              <w:tr2bl w:val="nil"/>
            </w:tcBorders>
            <w:shd w:val="clear" w:color="auto" w:fill="CCEEFF"/>
            <w:vAlign w:val="bottom"/>
          </w:tcPr>
          <w:p w:rsidR="009534E2" w:rsidRDefault="003369EB">
            <w:pPr>
              <w:keepNext/>
              <w:spacing w:after="1"/>
              <w:rPr>
                <w:b/>
                <w:color w:val="000000"/>
                <w:sz w:val="15"/>
              </w:rPr>
            </w:pPr>
            <w:bookmarkStart w:name="_da825b9b_e303_40b4_8315_af1481266639" w:id="1778"/>
            <w:bookmarkEnd w:id="1777"/>
            <w:r>
              <w:rPr>
                <w:rFonts w:ascii="Times New Roman" w:hAnsi="Times New Roman" w:eastAsia="Times New Roman" w:cs="Times New Roman"/>
                <w:b/>
                <w:color w:val="000000"/>
                <w:sz w:val="15"/>
              </w:rPr>
              <w:t>Balance as of December 31, 2021</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36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(995)</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6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(261)</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(275)</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43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(656)</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5"/>
              </w:rPr>
            </w:pPr>
          </w:p>
        </w:tc>
        <w:tc>
          <w:tcPr>
            <w:tcW w:w="33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(27)</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5"/>
              </w:rPr>
            </w:pPr>
          </w:p>
        </w:tc>
        <w:tc>
          <w:tcPr>
            <w:tcW w:w="58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w:t>
            </w:r>
          </w:p>
        </w:tc>
        <w:tc>
          <w:tcPr>
            <w:tcW w:w="69"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22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(2,214)</w:t>
            </w:r>
          </w:p>
        </w:tc>
      </w:tr>
      <w:tr w:rsidR="009534E2">
        <w:trPr>
          <w:jc w:val="center"/>
        </w:trPr>
        <w:tc>
          <w:tcPr>
            <w:tcW w:w="1694" w:type="pct"/>
            <w:tcBorders>
              <w:top w:val="nil"/>
              <w:left w:val="nil"/>
              <w:bottom w:val="nil"/>
              <w:right w:val="nil"/>
              <w:tl2br w:val="nil"/>
              <w:tr2bl w:val="nil"/>
            </w:tcBorders>
            <w:noWrap/>
            <w:vAlign w:val="bottom"/>
          </w:tcPr>
          <w:p w:rsidR="009534E2" w:rsidRDefault="003369EB">
            <w:pPr>
              <w:keepNext/>
              <w:spacing w:after="1"/>
              <w:rPr>
                <w:color w:val="000000"/>
                <w:sz w:val="15"/>
              </w:rPr>
            </w:pPr>
            <w:bookmarkStart w:name="_a61f35a9_50ab_4f70_8fe8_824a4f34e725" w:id="1779"/>
            <w:bookmarkEnd w:id="1778"/>
            <w:r>
              <w:rPr>
                <w:rFonts w:ascii="Times New Roman" w:hAnsi="Times New Roman" w:eastAsia="Times New Roman" w:cs="Times New Roman"/>
                <w:color w:val="000000"/>
                <w:sz w:val="15"/>
              </w:rPr>
              <w:t xml:space="preserve">Depreciation charge </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365" w:type="pct"/>
            <w:tcBorders>
              <w:top w:val="nil"/>
              <w:left w:val="nil"/>
              <w:bottom w:val="nil"/>
              <w:right w:val="nil"/>
              <w:tl2br w:val="nil"/>
              <w:tr2bl w:val="nil"/>
            </w:tcBorders>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(212)</w:t>
            </w:r>
          </w:p>
        </w:tc>
        <w:tc>
          <w:tcPr>
            <w:tcW w:w="69" w:type="pct"/>
            <w:tcBorders>
              <w:top w:val="nil"/>
              <w:left w:val="nil"/>
              <w:bottom w:val="nil"/>
              <w:right w:val="nil"/>
              <w:tl2br w:val="nil"/>
              <w:tr2bl w:val="nil"/>
            </w:tcBorders>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461" w:type="pct"/>
            <w:tcBorders>
              <w:top w:val="nil"/>
              <w:left w:val="nil"/>
              <w:bottom w:val="nil"/>
              <w:right w:val="nil"/>
              <w:tl2br w:val="nil"/>
              <w:tr2bl w:val="nil"/>
            </w:tcBorders>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(63)</w:t>
            </w:r>
          </w:p>
        </w:tc>
        <w:tc>
          <w:tcPr>
            <w:tcW w:w="69" w:type="pct"/>
            <w:tcBorders>
              <w:top w:val="nil"/>
              <w:left w:val="nil"/>
              <w:bottom w:val="nil"/>
              <w:right w:val="nil"/>
              <w:tl2br w:val="nil"/>
              <w:tr2bl w:val="nil"/>
            </w:tcBorders>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425" w:type="pct"/>
            <w:tcBorders>
              <w:top w:val="nil"/>
              <w:left w:val="nil"/>
              <w:bottom w:val="nil"/>
              <w:right w:val="nil"/>
              <w:tl2br w:val="nil"/>
              <w:tr2bl w:val="nil"/>
            </w:tcBorders>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(9)</w:t>
            </w:r>
          </w:p>
        </w:tc>
        <w:tc>
          <w:tcPr>
            <w:tcW w:w="69" w:type="pct"/>
            <w:tcBorders>
              <w:top w:val="nil"/>
              <w:left w:val="nil"/>
              <w:bottom w:val="nil"/>
              <w:right w:val="nil"/>
              <w:tl2br w:val="nil"/>
              <w:tr2bl w:val="nil"/>
            </w:tcBorders>
            <w:noWrap/>
            <w:vAlign w:val="bottom"/>
          </w:tcPr>
          <w:p w:rsidR="009534E2" w:rsidRDefault="003369EB">
            <w:pPr>
              <w:keepNext/>
              <w:spacing w:after="1"/>
              <w:rPr>
                <w:color w:val="000000"/>
                <w:sz w:val="15"/>
              </w:rPr>
            </w:pPr>
            <w:r>
              <w:rPr>
                <w:rFonts w:ascii="Times New Roman" w:hAnsi="Times New Roman" w:eastAsia="Times New Roman" w:cs="Times New Roman"/>
                <w:color w:val="000000"/>
                <w:sz w:val="15"/>
              </w:rPr>
              <w:t> </w:t>
            </w:r>
          </w:p>
        </w:tc>
        <w:tc>
          <w:tcPr>
            <w:tcW w:w="431" w:type="pct"/>
            <w:tcBorders>
              <w:top w:val="nil"/>
              <w:left w:val="nil"/>
              <w:bottom w:val="nil"/>
              <w:right w:val="nil"/>
              <w:tl2br w:val="nil"/>
              <w:tr2bl w:val="nil"/>
            </w:tcBorders>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(246)</w:t>
            </w:r>
          </w:p>
        </w:tc>
        <w:tc>
          <w:tcPr>
            <w:tcW w:w="69" w:type="pct"/>
            <w:tcBorders>
              <w:top w:val="nil"/>
              <w:left w:val="nil"/>
              <w:bottom w:val="nil"/>
              <w:right w:val="nil"/>
              <w:tl2br w:val="nil"/>
              <w:tr2bl w:val="nil"/>
            </w:tcBorders>
            <w:noWrap/>
            <w:vAlign w:val="bottom"/>
          </w:tcPr>
          <w:p w:rsidR="009534E2" w:rsidRDefault="009534E2">
            <w:pPr>
              <w:keepNext/>
              <w:spacing w:after="1"/>
              <w:jc w:val="right"/>
              <w:rPr>
                <w:color w:val="000000"/>
                <w:sz w:val="15"/>
              </w:rPr>
            </w:pPr>
          </w:p>
        </w:tc>
        <w:tc>
          <w:tcPr>
            <w:tcW w:w="334" w:type="pct"/>
            <w:tcBorders>
              <w:top w:val="nil"/>
              <w:left w:val="nil"/>
              <w:bottom w:val="nil"/>
              <w:right w:val="nil"/>
              <w:tl2br w:val="nil"/>
              <w:tr2bl w:val="nil"/>
            </w:tcBorders>
            <w:noWrap/>
            <w:vAlign w:val="bottom"/>
          </w:tcPr>
          <w:p w:rsidR="009534E2" w:rsidRDefault="003369EB">
            <w:pPr>
              <w:keepNext/>
              <w:spacing w:after="1"/>
              <w:jc w:val="right"/>
              <w:rPr>
                <w:color w:val="000000"/>
                <w:sz w:val="15"/>
              </w:rPr>
            </w:pPr>
            <w:r>
              <w:rPr>
                <w:rFonts w:ascii="Times New Roman" w:hAnsi="Times New Roman" w:eastAsia="Times New Roman" w:cs="Times New Roman"/>
                <w:color w:val="000000"/>
                <w:sz w:val="15"/>
              </w:rPr>
              <w:t xml:space="preserve"> (7)</w:t>
            </w:r>
          </w:p>
        </w:tc>
        <w:tc>
          <w:tcPr>
            <w:tcW w:w="69" w:type="pct"/>
            <w:tcBorders>
              <w:top w:val="nil"/>
              <w:left w:val="nil"/>
              <w:bottom w:val="nil"/>
              <w:right w:val="nil"/>
              <w:tl2br w:val="nil"/>
              <w:tr2bl w:val="nil"/>
            </w:tcBorders>
            <w:noWrap/>
            <w:vAlign w:val="bottom"/>
          </w:tcPr>
          <w:p w:rsidR="009534E2" w:rsidRDefault="009534E2">
            <w:pPr>
              <w:keepNext/>
              <w:spacing w:after="1"/>
              <w:jc w:val="right"/>
              <w:rPr>
                <w:color w:val="000000"/>
                <w:sz w:val="15"/>
              </w:rPr>
            </w:pPr>
          </w:p>
        </w:tc>
        <w:tc>
          <w:tcPr>
            <w:tcW w:w="585" w:type="pct"/>
            <w:tcBorders>
              <w:top w:val="nil"/>
              <w:left w:val="nil"/>
              <w:bottom w:val="nil"/>
              <w:right w:val="nil"/>
              <w:tl2br w:val="nil"/>
              <w:tr2bl w:val="nil"/>
            </w:tcBorders>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w:t>
            </w:r>
          </w:p>
        </w:tc>
        <w:tc>
          <w:tcPr>
            <w:tcW w:w="69" w:type="pct"/>
            <w:tcBorders>
              <w:top w:val="nil"/>
              <w:left w:val="nil"/>
              <w:bottom w:val="nil"/>
              <w:right w:val="nil"/>
              <w:tl2br w:val="nil"/>
              <w:tr2bl w:val="nil"/>
            </w:tcBorders>
            <w:noWrap/>
            <w:vAlign w:val="bottom"/>
          </w:tcPr>
          <w:p w:rsidR="009534E2" w:rsidRDefault="003369EB">
            <w:pPr>
              <w:keepNext/>
              <w:spacing w:after="1"/>
              <w:rPr>
                <w:b/>
                <w:color w:val="000000"/>
                <w:sz w:val="15"/>
              </w:rPr>
            </w:pPr>
            <w:r>
              <w:rPr>
                <w:rFonts w:ascii="Times New Roman" w:hAnsi="Times New Roman" w:eastAsia="Times New Roman" w:cs="Times New Roman"/>
                <w:b/>
                <w:color w:val="000000"/>
                <w:sz w:val="15"/>
              </w:rPr>
              <w:t> </w:t>
            </w:r>
          </w:p>
        </w:tc>
        <w:tc>
          <w:tcPr>
            <w:tcW w:w="220" w:type="pct"/>
            <w:tcBorders>
              <w:top w:val="nil"/>
              <w:left w:val="nil"/>
              <w:bottom w:val="nil"/>
              <w:right w:val="nil"/>
              <w:tl2br w:val="nil"/>
              <w:tr2bl w:val="nil"/>
            </w:tcBorders>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(537)</w:t>
            </w:r>
          </w:p>
        </w:tc>
      </w:tr>
      <w:tr w:rsidR="009534E2">
        <w:trPr>
          <w:jc w:val="center"/>
        </w:trPr>
        <w:tc>
          <w:tcPr>
            <w:tcW w:w="1694" w:type="pct"/>
            <w:tcBorders>
              <w:top w:val="nil"/>
              <w:left w:val="nil"/>
              <w:bottom w:val="nil"/>
              <w:right w:val="nil"/>
              <w:tl2br w:val="nil"/>
              <w:tr2bl w:val="nil"/>
            </w:tcBorders>
            <w:shd w:val="clear" w:color="auto" w:fill="CCEEFF"/>
            <w:noWrap/>
            <w:vAlign w:val="bottom"/>
          </w:tcPr>
          <w:p w:rsidR="009534E2" w:rsidRDefault="003369EB">
            <w:pPr>
              <w:keepNext/>
              <w:spacing w:after="1"/>
              <w:rPr>
                <w:color w:val="000000"/>
                <w:sz w:val="15"/>
              </w:rPr>
            </w:pPr>
            <w:bookmarkStart w:name="_7209e4cc_28e4_4c1d_9ade_bca001c7080b" w:id="1780"/>
            <w:bookmarkEnd w:id="1779"/>
            <w:r>
              <w:rPr>
                <w:rFonts w:ascii="Times New Roman" w:hAnsi="Times New Roman" w:eastAsia="Times New Roman" w:cs="Times New Roman"/>
                <w:color w:val="000000"/>
                <w:sz w:val="15"/>
              </w:rPr>
              <w:t>Disposals</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5"/>
              </w:rPr>
            </w:pPr>
          </w:p>
        </w:tc>
        <w:tc>
          <w:tcPr>
            <w:tcW w:w="36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104</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5"/>
              </w:rPr>
            </w:pPr>
          </w:p>
        </w:tc>
        <w:tc>
          <w:tcPr>
            <w:tcW w:w="46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88</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5"/>
              </w:rPr>
            </w:pP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112</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5"/>
              </w:rPr>
            </w:pPr>
          </w:p>
        </w:tc>
        <w:tc>
          <w:tcPr>
            <w:tcW w:w="43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282</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5"/>
              </w:rPr>
            </w:pPr>
          </w:p>
        </w:tc>
        <w:tc>
          <w:tcPr>
            <w:tcW w:w="33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10</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5"/>
              </w:rPr>
            </w:pPr>
          </w:p>
        </w:tc>
        <w:tc>
          <w:tcPr>
            <w:tcW w:w="58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color w:val="000000"/>
                <w:sz w:val="15"/>
              </w:rPr>
            </w:pPr>
            <w:r>
              <w:rPr>
                <w:rFonts w:ascii="Times New Roman" w:hAnsi="Times New Roman" w:eastAsia="Times New Roman" w:cs="Times New Roman"/>
                <w:color w:val="000000"/>
                <w:sz w:val="15"/>
              </w:rPr>
              <w:t xml:space="preserve"> —</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5"/>
              </w:rPr>
            </w:pPr>
          </w:p>
        </w:tc>
        <w:tc>
          <w:tcPr>
            <w:tcW w:w="22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596</w:t>
            </w:r>
          </w:p>
        </w:tc>
      </w:tr>
      <w:tr w:rsidR="009534E2">
        <w:trPr>
          <w:jc w:val="center"/>
        </w:trPr>
        <w:tc>
          <w:tcPr>
            <w:tcW w:w="1694" w:type="pct"/>
            <w:tcBorders>
              <w:top w:val="nil"/>
              <w:left w:val="nil"/>
              <w:bottom w:val="nil"/>
              <w:right w:val="nil"/>
              <w:tl2br w:val="nil"/>
              <w:tr2bl w:val="nil"/>
            </w:tcBorders>
            <w:vAlign w:val="bottom"/>
          </w:tcPr>
          <w:p w:rsidR="009534E2" w:rsidRDefault="003369EB">
            <w:pPr>
              <w:keepNext/>
              <w:spacing w:after="1"/>
              <w:rPr>
                <w:b/>
                <w:color w:val="000000"/>
                <w:sz w:val="15"/>
              </w:rPr>
            </w:pPr>
            <w:bookmarkStart w:name="_7a672ae4_b971_4cac_835d_1fa4039d945e" w:id="1781"/>
            <w:bookmarkEnd w:id="1780"/>
            <w:r>
              <w:rPr>
                <w:rFonts w:ascii="Times New Roman" w:hAnsi="Times New Roman" w:eastAsia="Times New Roman" w:cs="Times New Roman"/>
                <w:b/>
                <w:color w:val="000000"/>
                <w:sz w:val="15"/>
              </w:rPr>
              <w:t>Balance as of December 31, 2022</w:t>
            </w: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365" w:type="pct"/>
            <w:tcBorders>
              <w:top w:val="nil"/>
              <w:left w:val="nil"/>
              <w:bottom w:val="single" w:color="000000" w:sz="4" w:space="0"/>
              <w:right w:val="nil"/>
              <w:tl2br w:val="nil"/>
              <w:tr2bl w:val="nil"/>
            </w:tcBorders>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(1,103)</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461" w:type="pct"/>
            <w:tcBorders>
              <w:top w:val="nil"/>
              <w:left w:val="nil"/>
              <w:bottom w:val="single" w:color="000000" w:sz="4" w:space="0"/>
              <w:right w:val="nil"/>
              <w:tl2br w:val="nil"/>
              <w:tr2bl w:val="nil"/>
            </w:tcBorders>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(236)</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425" w:type="pct"/>
            <w:tcBorders>
              <w:top w:val="nil"/>
              <w:left w:val="nil"/>
              <w:bottom w:val="single" w:color="000000" w:sz="4" w:space="0"/>
              <w:right w:val="nil"/>
              <w:tl2br w:val="nil"/>
              <w:tr2bl w:val="nil"/>
            </w:tcBorders>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(172)</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431" w:type="pct"/>
            <w:tcBorders>
              <w:top w:val="nil"/>
              <w:left w:val="nil"/>
              <w:bottom w:val="single" w:color="000000" w:sz="4" w:space="0"/>
              <w:right w:val="nil"/>
              <w:tl2br w:val="nil"/>
              <w:tr2bl w:val="nil"/>
            </w:tcBorders>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(620)</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334" w:type="pct"/>
            <w:tcBorders>
              <w:top w:val="nil"/>
              <w:left w:val="nil"/>
              <w:bottom w:val="single" w:color="000000" w:sz="4" w:space="0"/>
              <w:right w:val="nil"/>
              <w:tl2br w:val="nil"/>
              <w:tr2bl w:val="nil"/>
            </w:tcBorders>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(24)</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585"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220" w:type="pct"/>
            <w:tcBorders>
              <w:top w:val="nil"/>
              <w:left w:val="nil"/>
              <w:bottom w:val="single" w:color="000000" w:sz="4" w:space="0"/>
              <w:right w:val="nil"/>
              <w:tl2br w:val="nil"/>
              <w:tr2bl w:val="nil"/>
            </w:tcBorders>
            <w:noWrap/>
            <w:vAlign w:val="bottom"/>
          </w:tcPr>
          <w:p w:rsidR="009534E2" w:rsidRDefault="003369EB">
            <w:pPr>
              <w:keepNext/>
              <w:spacing w:after="1"/>
              <w:jc w:val="right"/>
              <w:rPr>
                <w:b/>
                <w:color w:val="000000"/>
                <w:sz w:val="15"/>
              </w:rPr>
            </w:pPr>
            <w:r>
              <w:rPr>
                <w:rFonts w:ascii="Times New Roman" w:hAnsi="Times New Roman" w:eastAsia="Times New Roman" w:cs="Times New Roman"/>
                <w:b/>
                <w:color w:val="000000"/>
                <w:sz w:val="15"/>
              </w:rPr>
              <w:t xml:space="preserve"> (2,155)</w:t>
            </w:r>
          </w:p>
        </w:tc>
      </w:tr>
      <w:tr w:rsidR="009534E2">
        <w:trPr>
          <w:jc w:val="center"/>
        </w:trPr>
        <w:tc>
          <w:tcPr>
            <w:tcW w:w="1694"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bookmarkStart w:name="_53c66d32_b7b7_438d_a157_21f3fdebc3cd" w:id="1782"/>
            <w:bookmarkEnd w:id="1781"/>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5"/>
              </w:rPr>
            </w:pPr>
          </w:p>
        </w:tc>
        <w:tc>
          <w:tcPr>
            <w:tcW w:w="365"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461"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425"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431"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334"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585"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b/>
                <w:color w:val="000000"/>
                <w:sz w:val="15"/>
              </w:rPr>
            </w:pP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220"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r>
      <w:tr w:rsidR="009534E2">
        <w:trPr>
          <w:jc w:val="center"/>
        </w:trPr>
        <w:tc>
          <w:tcPr>
            <w:tcW w:w="1694" w:type="pct"/>
            <w:tcBorders>
              <w:top w:val="nil"/>
              <w:left w:val="nil"/>
              <w:bottom w:val="nil"/>
              <w:right w:val="nil"/>
              <w:tl2br w:val="nil"/>
              <w:tr2bl w:val="nil"/>
            </w:tcBorders>
            <w:noWrap/>
            <w:vAlign w:val="bottom"/>
          </w:tcPr>
          <w:p w:rsidR="009534E2" w:rsidRDefault="003369EB">
            <w:pPr>
              <w:keepNext/>
              <w:spacing w:after="1"/>
              <w:rPr>
                <w:b/>
                <w:color w:val="000000"/>
                <w:sz w:val="15"/>
              </w:rPr>
            </w:pPr>
            <w:bookmarkStart w:name="_ca859a05_8983_4e99_9680_2a0448825201" w:id="1783"/>
            <w:bookmarkEnd w:id="1782"/>
            <w:r>
              <w:rPr>
                <w:rFonts w:ascii="Times New Roman" w:hAnsi="Times New Roman" w:eastAsia="Times New Roman" w:cs="Times New Roman"/>
                <w:b/>
                <w:color w:val="000000"/>
                <w:sz w:val="15"/>
              </w:rPr>
              <w:t>Net book value</w:t>
            </w: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365"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461"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425"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431"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334"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585"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220" w:type="pct"/>
            <w:tcBorders>
              <w:top w:val="nil"/>
              <w:left w:val="nil"/>
              <w:bottom w:val="nil"/>
              <w:right w:val="nil"/>
              <w:tl2br w:val="nil"/>
              <w:tr2bl w:val="nil"/>
            </w:tcBorders>
            <w:noWrap/>
            <w:vAlign w:val="bottom"/>
          </w:tcPr>
          <w:p w:rsidR="009534E2" w:rsidRDefault="009534E2">
            <w:pPr>
              <w:keepNext/>
              <w:spacing w:after="1"/>
              <w:rPr>
                <w:color w:val="000000"/>
                <w:sz w:val="15"/>
              </w:rPr>
            </w:pPr>
          </w:p>
        </w:tc>
      </w:tr>
      <w:tr w:rsidR="009534E2">
        <w:trPr>
          <w:jc w:val="center"/>
        </w:trPr>
        <w:tc>
          <w:tcPr>
            <w:tcW w:w="1694"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bookmarkStart w:name="_135457b4_1625_465e_8076_dd8e73b1f7aa" w:id="1784"/>
            <w:bookmarkEnd w:id="1783"/>
            <w:r>
              <w:rPr>
                <w:rFonts w:ascii="Times New Roman" w:hAnsi="Times New Roman" w:eastAsia="Times New Roman" w:cs="Times New Roman"/>
                <w:b/>
                <w:color w:val="000000"/>
                <w:sz w:val="15"/>
              </w:rPr>
              <w:t>As of December 31, 2020</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5"/>
              </w:rPr>
            </w:pPr>
          </w:p>
        </w:tc>
        <w:tc>
          <w:tcPr>
            <w:tcW w:w="36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638</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46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117</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13</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431"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1,087</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33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15</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58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23</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22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1,893</w:t>
            </w:r>
          </w:p>
        </w:tc>
      </w:tr>
      <w:tr w:rsidR="009534E2">
        <w:trPr>
          <w:jc w:val="center"/>
        </w:trPr>
        <w:tc>
          <w:tcPr>
            <w:tcW w:w="1694" w:type="pct"/>
            <w:tcBorders>
              <w:top w:val="nil"/>
              <w:left w:val="nil"/>
              <w:bottom w:val="nil"/>
              <w:right w:val="nil"/>
              <w:tl2br w:val="nil"/>
              <w:tr2bl w:val="nil"/>
            </w:tcBorders>
            <w:noWrap/>
            <w:vAlign w:val="bottom"/>
          </w:tcPr>
          <w:p w:rsidR="009534E2" w:rsidRDefault="003369EB">
            <w:pPr>
              <w:keepNext/>
              <w:spacing w:after="1"/>
              <w:rPr>
                <w:b/>
                <w:color w:val="000000"/>
                <w:sz w:val="15"/>
              </w:rPr>
            </w:pPr>
            <w:bookmarkStart w:name="_5edcdce9_e06e_403a_9d68_d32482b8c60e" w:id="1785"/>
            <w:bookmarkEnd w:id="1784"/>
            <w:r>
              <w:rPr>
                <w:rFonts w:ascii="Times New Roman" w:hAnsi="Times New Roman" w:eastAsia="Times New Roman" w:cs="Times New Roman"/>
                <w:b/>
                <w:color w:val="000000"/>
                <w:sz w:val="15"/>
              </w:rPr>
              <w:t>As of December 31, 2021</w:t>
            </w:r>
          </w:p>
        </w:tc>
        <w:tc>
          <w:tcPr>
            <w:tcW w:w="69" w:type="pct"/>
            <w:tcBorders>
              <w:top w:val="nil"/>
              <w:left w:val="nil"/>
              <w:bottom w:val="nil"/>
              <w:right w:val="nil"/>
              <w:tl2br w:val="nil"/>
              <w:tr2bl w:val="nil"/>
            </w:tcBorders>
            <w:noWrap/>
            <w:vAlign w:val="bottom"/>
          </w:tcPr>
          <w:p w:rsidR="009534E2" w:rsidRDefault="009534E2">
            <w:pPr>
              <w:keepNext/>
              <w:spacing w:after="1"/>
              <w:rPr>
                <w:color w:val="000000"/>
                <w:sz w:val="15"/>
              </w:rPr>
            </w:pPr>
          </w:p>
        </w:tc>
        <w:tc>
          <w:tcPr>
            <w:tcW w:w="365"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593</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461"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96</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425"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18</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431"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653</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334"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8</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585"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49</w:t>
            </w:r>
          </w:p>
        </w:tc>
        <w:tc>
          <w:tcPr>
            <w:tcW w:w="69" w:type="pct"/>
            <w:tcBorders>
              <w:top w:val="nil"/>
              <w:left w:val="nil"/>
              <w:bottom w:val="nil"/>
              <w:right w:val="nil"/>
              <w:tl2br w:val="nil"/>
              <w:tr2bl w:val="nil"/>
            </w:tcBorders>
            <w:noWrap/>
            <w:vAlign w:val="bottom"/>
          </w:tcPr>
          <w:p w:rsidR="009534E2" w:rsidRDefault="009534E2">
            <w:pPr>
              <w:keepNext/>
              <w:spacing w:after="1"/>
              <w:rPr>
                <w:b/>
                <w:color w:val="000000"/>
                <w:sz w:val="15"/>
              </w:rPr>
            </w:pPr>
          </w:p>
        </w:tc>
        <w:tc>
          <w:tcPr>
            <w:tcW w:w="220" w:type="pct"/>
            <w:tcBorders>
              <w:top w:val="nil"/>
              <w:left w:val="nil"/>
              <w:bottom w:val="single" w:color="000000" w:sz="4" w:space="0"/>
              <w:right w:val="nil"/>
              <w:tl2br w:val="nil"/>
              <w:tr2bl w:val="nil"/>
            </w:tcBorders>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1,417</w:t>
            </w:r>
          </w:p>
        </w:tc>
      </w:tr>
      <w:tr w:rsidR="009534E2">
        <w:trPr>
          <w:jc w:val="center"/>
        </w:trPr>
        <w:tc>
          <w:tcPr>
            <w:tcW w:w="1694" w:type="pct"/>
            <w:tcBorders>
              <w:top w:val="nil"/>
              <w:left w:val="nil"/>
              <w:bottom w:val="nil"/>
              <w:right w:val="nil"/>
              <w:tl2br w:val="nil"/>
              <w:tr2bl w:val="nil"/>
            </w:tcBorders>
            <w:shd w:val="clear" w:color="auto" w:fill="CCEEFF"/>
            <w:noWrap/>
            <w:vAlign w:val="bottom"/>
          </w:tcPr>
          <w:p w:rsidR="009534E2" w:rsidRDefault="003369EB">
            <w:pPr>
              <w:keepNext/>
              <w:spacing w:after="1"/>
              <w:rPr>
                <w:b/>
                <w:color w:val="000000"/>
                <w:sz w:val="15"/>
              </w:rPr>
            </w:pPr>
            <w:bookmarkStart w:name="_f414799f_e116_43da_a547_7d095565e1e6" w:id="1786"/>
            <w:bookmarkEnd w:id="1785"/>
            <w:r>
              <w:rPr>
                <w:rFonts w:ascii="Times New Roman" w:hAnsi="Times New Roman" w:eastAsia="Times New Roman" w:cs="Times New Roman"/>
                <w:b/>
                <w:color w:val="000000"/>
                <w:sz w:val="15"/>
              </w:rPr>
              <w:t>As of December 31, 2022</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color w:val="000000"/>
                <w:sz w:val="15"/>
              </w:rPr>
            </w:pPr>
          </w:p>
        </w:tc>
        <w:tc>
          <w:tcPr>
            <w:tcW w:w="365"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473</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461"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133</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425"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15</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431"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455</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334"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5</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585"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82</w:t>
            </w:r>
          </w:p>
        </w:tc>
        <w:tc>
          <w:tcPr>
            <w:tcW w:w="69" w:type="pct"/>
            <w:tcBorders>
              <w:top w:val="nil"/>
              <w:left w:val="nil"/>
              <w:bottom w:val="nil"/>
              <w:right w:val="nil"/>
              <w:tl2br w:val="nil"/>
              <w:tr2bl w:val="nil"/>
            </w:tcBorders>
            <w:shd w:val="clear" w:color="auto" w:fill="CCEEFF"/>
            <w:noWrap/>
            <w:vAlign w:val="bottom"/>
          </w:tcPr>
          <w:p w:rsidR="009534E2" w:rsidRDefault="009534E2">
            <w:pPr>
              <w:keepNext/>
              <w:spacing w:after="1"/>
              <w:rPr>
                <w:b/>
                <w:color w:val="000000"/>
                <w:sz w:val="15"/>
              </w:rPr>
            </w:pPr>
          </w:p>
        </w:tc>
        <w:tc>
          <w:tcPr>
            <w:tcW w:w="220"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45"/>
              <w:jc w:val="right"/>
              <w:rPr>
                <w:b/>
                <w:color w:val="000000"/>
                <w:sz w:val="15"/>
              </w:rPr>
            </w:pPr>
            <w:r>
              <w:rPr>
                <w:rFonts w:ascii="Times New Roman" w:hAnsi="Times New Roman" w:eastAsia="Times New Roman" w:cs="Times New Roman"/>
                <w:b/>
                <w:color w:val="000000"/>
                <w:sz w:val="15"/>
              </w:rPr>
              <w:t xml:space="preserve"> 1,163</w:t>
            </w:r>
          </w:p>
        </w:tc>
      </w:tr>
      <w:bookmarkEnd w:id="1756"/>
      <w:bookmarkEnd w:id="1786"/>
    </w:tbl>
    <w:p w:rsidR="009534E2" w:rsidRDefault="009534E2">
      <w:pPr>
        <w:pStyle w:val="BodyText"/>
        <w:spacing w:after="0"/>
        <w:rPr>
          <w:rFonts w:asciiTheme="majorHAnsi" w:hAnsiTheme="majorHAnsi" w:cstheme="majorHAnsi"/>
          <w:lang w:eastAsia="ru-RU"/>
        </w:rPr>
      </w:pPr>
    </w:p>
    <w:bookmarkEnd w:id="1738"/>
    <w:bookmarkEnd w:id="1739"/>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 xml:space="preserve">As of December 31, 2022, the gross book value of fully depreciated assets equals </w:t>
      </w:r>
      <w:bookmarkStart w:name="_5dc4bf13_6279_4050_952b_26d0d8b51f84" w:id="1787"/>
      <w:r>
        <w:rPr>
          <w:rFonts w:eastAsia="Times New Roman" w:asciiTheme="majorHAnsi" w:hAnsiTheme="majorHAnsi" w:cstheme="majorHAnsi"/>
        </w:rPr>
        <w:t>831</w:t>
      </w:r>
      <w:bookmarkEnd w:id="1787"/>
      <w:r>
        <w:rPr>
          <w:rFonts w:eastAsia="Times New Roman" w:asciiTheme="majorHAnsi" w:hAnsiTheme="majorHAnsi" w:cstheme="majorHAnsi"/>
        </w:rPr>
        <w:t xml:space="preserve"> (2021 -</w:t>
      </w:r>
      <w:bookmarkStart w:name="_095d98ca_0838_4708_a31c_9524ee5079f6" w:id="1788"/>
      <w:r>
        <w:rPr>
          <w:rFonts w:eastAsia="Times New Roman" w:asciiTheme="majorHAnsi" w:hAnsiTheme="majorHAnsi" w:cstheme="majorHAnsi"/>
        </w:rPr>
        <w:t xml:space="preserve"> 888</w:t>
      </w:r>
      <w:bookmarkEnd w:id="1788"/>
      <w:r>
        <w:rPr>
          <w:rFonts w:eastAsia="Times New Roman" w:asciiTheme="majorHAnsi" w:hAnsiTheme="majorHAnsi" w:cstheme="majorHAnsi"/>
        </w:rPr>
        <w:t>).</w:t>
      </w:r>
    </w:p>
    <w:p w:rsidR="009534E2" w:rsidRDefault="003369EB">
      <w:pPr>
        <w:rPr>
          <w:rFonts w:eastAsia="Times New Roman"/>
        </w:rPr>
      </w:pPr>
      <w:r>
        <w:rPr>
          <w:rFonts w:eastAsia="Times New Roman" w:asciiTheme="majorHAnsi" w:hAnsiTheme="majorHAnsi" w:cstheme="majorHAnsi"/>
        </w:rPr>
        <w:br w:type="page"/>
      </w:r>
    </w:p>
    <w:p w:rsidR="009534E2" w:rsidRDefault="003369EB">
      <w:pPr>
        <w:pStyle w:val="Heading1"/>
        <w:spacing w:after="0"/>
        <w:ind w:left="360" w:hanging="360"/>
        <w:rPr>
          <w:lang w:val="ru-RU" w:eastAsia="ru-RU"/>
        </w:rPr>
      </w:pPr>
      <w:r>
        <w:rPr>
          <w:lang w:eastAsia="ru-RU"/>
        </w:rPr>
        <w:t>10.</w:t>
      </w:r>
      <w:r>
        <w:rPr>
          <w:lang w:eastAsia="ru-RU"/>
        </w:rPr>
        <w:tab/>
      </w:r>
      <w:r>
        <w:rPr>
          <w:lang w:val="ru-RU" w:eastAsia="ru-RU"/>
        </w:rPr>
        <w:t>Intangible assets</w:t>
      </w:r>
    </w:p>
    <w:p w:rsidR="009534E2" w:rsidRDefault="009534E2">
      <w:pPr>
        <w:pStyle w:val="BodyText"/>
        <w:keepNext/>
        <w:spacing w:after="0"/>
        <w:rPr>
          <w:rFonts w:asciiTheme="majorHAnsi" w:hAnsiTheme="majorHAnsi" w:cstheme="majorHAnsi"/>
          <w:lang w:val="ru-RU"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237"/>
        <w:gridCol w:w="160"/>
        <w:gridCol w:w="623"/>
        <w:gridCol w:w="160"/>
        <w:gridCol w:w="881"/>
        <w:gridCol w:w="160"/>
        <w:gridCol w:w="578"/>
        <w:gridCol w:w="160"/>
        <w:gridCol w:w="703"/>
        <w:gridCol w:w="160"/>
        <w:gridCol w:w="894"/>
        <w:gridCol w:w="160"/>
        <w:gridCol w:w="1103"/>
        <w:gridCol w:w="160"/>
        <w:gridCol w:w="661"/>
      </w:tblGrid>
      <w:tr w:rsidR="009534E2">
        <w:trPr>
          <w:trHeight w:val="20" w:hRule="exact"/>
          <w:jc w:val="center"/>
        </w:trPr>
        <w:tc>
          <w:tcPr>
            <w:tcW w:w="1962"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93d6969b_aeaa_446d_9485_a1de74c337c5" w:id="1789"/>
            <w:bookmarkStart w:name="_3c357007_3c88_483f_b8ed_16fee62c4b31" w:colFirst="0" w:colLast="0" w:id="1790"/>
            <w:bookmarkStart w:name="_e798ee78_86fe_4726_b206_c82bd84ebe4c" w:colFirst="1" w:colLast="1" w:id="1791"/>
            <w:bookmarkStart w:name="_148d8f41_ac87_43f8_aba8_82cbaaed0354" w:colFirst="2" w:colLast="2" w:id="1792"/>
            <w:bookmarkStart w:name="_e4adc8e9_7324_48cf_a7d1_17d500930ee5" w:colFirst="3" w:colLast="3" w:id="1793"/>
            <w:bookmarkStart w:name="_7c9bf4a9_a997_417f_a716_ef0b9d1f21af" w:colFirst="4" w:colLast="4" w:id="1794"/>
            <w:bookmarkStart w:name="_6134cc56_088f_475e_94a5_b042bb55a709" w:colFirst="5" w:colLast="5" w:id="1795"/>
            <w:bookmarkStart w:name="_ed58fdb8_35f1_45ec_a0b6_3deff41a7720" w:colFirst="6" w:colLast="6" w:id="1796"/>
            <w:bookmarkStart w:name="_beafc0fa_1c06_4235_bab9_d3aa4b042b5a" w:colFirst="7" w:colLast="7" w:id="1797"/>
            <w:bookmarkStart w:name="_2ad7adf0_85d5_498f_832c_65cdb7bd6a1f" w:colFirst="8" w:colLast="8" w:id="1798"/>
            <w:bookmarkStart w:name="_4ecf6c04_1e41_4f59_9c53_b5f974317dcf" w:colFirst="9" w:colLast="9" w:id="1799"/>
            <w:bookmarkStart w:name="_77e67dbf_c089_4e9b_861e_2510c1a25136" w:colFirst="10" w:colLast="10" w:id="1800"/>
            <w:bookmarkStart w:name="_efc4f0a4_8b8e_4fc2_9e6b_963d672cac8b" w:colFirst="11" w:colLast="11" w:id="1801"/>
            <w:bookmarkStart w:name="_6cbebb94_7918_4ac0_a742_aee301ff1d27" w:colFirst="12" w:colLast="12" w:id="1802"/>
            <w:bookmarkStart w:name="_cd2d6906_f598_4c67_bb52_11a0811dfc35" w:colFirst="13" w:colLast="13" w:id="1803"/>
            <w:bookmarkStart w:name="_557d0e2d_2c53_4578_91d3_2295290422c3" w:colFirst="14" w:colLast="14" w:id="1804"/>
            <w:bookmarkStart w:name="_d5f3f00b_11d5_4602_854d_eaf12b80c1fb" w:id="1805"/>
            <w:bookmarkEnd w:id="1789"/>
          </w:p>
        </w:tc>
        <w:tc>
          <w:tcPr>
            <w:tcW w:w="7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8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26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3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1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1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306"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196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9db7bccc_baf3_4f85_9cc0_9eedf12e3784" w:id="1806"/>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288"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8"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268"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25"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1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11"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Advances for </w:t>
            </w: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06"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r>
      <w:tr w:rsidR="009534E2">
        <w:trPr>
          <w:jc w:val="center"/>
        </w:trPr>
        <w:tc>
          <w:tcPr>
            <w:tcW w:w="196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5ae8c416_fe95_4f19_92f4_8087f68526d4" w:id="1807"/>
            <w:bookmarkEnd w:id="1806"/>
          </w:p>
        </w:tc>
        <w:tc>
          <w:tcPr>
            <w:tcW w:w="74"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88"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74"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08"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Customer </w:t>
            </w:r>
          </w:p>
        </w:tc>
        <w:tc>
          <w:tcPr>
            <w:tcW w:w="74"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268"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74"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325"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Computer</w:t>
            </w:r>
          </w:p>
        </w:tc>
        <w:tc>
          <w:tcPr>
            <w:tcW w:w="74"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14"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Trade marks</w:t>
            </w:r>
          </w:p>
        </w:tc>
        <w:tc>
          <w:tcPr>
            <w:tcW w:w="74"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511"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intangibles, CIP</w:t>
            </w:r>
          </w:p>
        </w:tc>
        <w:tc>
          <w:tcPr>
            <w:tcW w:w="74"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306"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r>
      <w:tr w:rsidR="009534E2">
        <w:trPr>
          <w:jc w:val="center"/>
        </w:trPr>
        <w:tc>
          <w:tcPr>
            <w:tcW w:w="1962" w:type="pct"/>
            <w:tcBorders>
              <w:top w:val="nil"/>
              <w:left w:val="nil"/>
              <w:bottom w:val="single" w:color="000000" w:sz="4" w:space="0"/>
              <w:right w:val="nil"/>
              <w:tl2br w:val="nil"/>
              <w:tr2bl w:val="nil"/>
            </w:tcBorders>
            <w:shd w:val="clear" w:color="auto" w:fill="auto"/>
            <w:vAlign w:val="bottom"/>
          </w:tcPr>
          <w:p w:rsidR="009534E2" w:rsidRDefault="003369EB">
            <w:pPr>
              <w:keepNext/>
              <w:rPr>
                <w:rFonts w:asciiTheme="majorHAnsi" w:hAnsiTheme="majorHAnsi" w:cstheme="majorHAnsi"/>
                <w:b/>
                <w:color w:val="000000"/>
              </w:rPr>
            </w:pPr>
            <w:bookmarkStart w:name="_b8fa52fa_f7a9_4bdf_b778_bafab2a115f7" w:id="1808"/>
            <w:bookmarkEnd w:id="1807"/>
            <w:r>
              <w:rPr>
                <w:rFonts w:eastAsia="Times New Roman" w:asciiTheme="majorHAnsi" w:hAnsiTheme="majorHAnsi" w:cstheme="majorHAnsi"/>
                <w:b/>
                <w:color w:val="000000"/>
              </w:rPr>
              <w:t>Cost:</w:t>
            </w: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288"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Goodwill</w:t>
            </w: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08"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relationships</w:t>
            </w: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268"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Licenses</w:t>
            </w: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Software</w:t>
            </w: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14"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and brands</w:t>
            </w: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1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and others</w:t>
            </w: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06"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w:t>
            </w:r>
          </w:p>
        </w:tc>
      </w:tr>
      <w:tr w:rsidR="009534E2">
        <w:trPr>
          <w:jc w:val="center"/>
        </w:trPr>
        <w:tc>
          <w:tcPr>
            <w:tcW w:w="196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66e0f82b_c92a_4673_a712_0f12488c47fe" w:id="1809"/>
            <w:bookmarkEnd w:id="1808"/>
            <w:r>
              <w:rPr>
                <w:rFonts w:eastAsia="Times New Roman" w:asciiTheme="majorHAnsi" w:hAnsiTheme="majorHAnsi" w:cstheme="majorHAnsi"/>
                <w:b/>
                <w:color w:val="000000"/>
              </w:rPr>
              <w:t>Balance as of December 31, 2020</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8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7,084</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0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5,485</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6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183</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1,551</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14"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387</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51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111</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06"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14,801</w:t>
            </w:r>
          </w:p>
        </w:tc>
      </w:tr>
      <w:tr w:rsidR="009534E2">
        <w:trPr>
          <w:jc w:val="center"/>
        </w:trPr>
        <w:tc>
          <w:tcPr>
            <w:tcW w:w="1962"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7d66031f_0923_41d9_a0ca_aa15ec2816df" w:id="1810"/>
            <w:bookmarkEnd w:id="1809"/>
            <w:r>
              <w:rPr>
                <w:rFonts w:eastAsia="Times New Roman" w:asciiTheme="majorHAnsi" w:hAnsiTheme="majorHAnsi" w:cstheme="majorHAnsi"/>
                <w:color w:val="000000"/>
              </w:rPr>
              <w:t>Additions</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8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6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154</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14"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58</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06"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212</w:t>
            </w:r>
          </w:p>
        </w:tc>
      </w:tr>
      <w:tr w:rsidR="009534E2">
        <w:trPr>
          <w:jc w:val="center"/>
        </w:trPr>
        <w:tc>
          <w:tcPr>
            <w:tcW w:w="196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b154e4f6_511c_4130_a020_53ab11f17947" w:id="1811"/>
            <w:bookmarkEnd w:id="1810"/>
            <w:r>
              <w:rPr>
                <w:rFonts w:eastAsia="Times New Roman" w:asciiTheme="majorHAnsi" w:hAnsiTheme="majorHAnsi" w:cstheme="majorHAnsi"/>
                <w:color w:val="000000"/>
              </w:rPr>
              <w:t xml:space="preserve">Additions from business combinations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8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6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14"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06"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12</w:t>
            </w:r>
          </w:p>
        </w:tc>
      </w:tr>
      <w:tr w:rsidR="009534E2">
        <w:trPr>
          <w:jc w:val="center"/>
        </w:trPr>
        <w:tc>
          <w:tcPr>
            <w:tcW w:w="1962"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2b9fb629_c844_4bfb_9fb3_007478017f53" w:id="1812"/>
            <w:bookmarkEnd w:id="1811"/>
            <w:r>
              <w:rPr>
                <w:rFonts w:eastAsia="Times New Roman" w:asciiTheme="majorHAnsi" w:hAnsiTheme="majorHAnsi" w:cstheme="majorHAnsi"/>
                <w:color w:val="000000"/>
              </w:rPr>
              <w:t>Transfer between groups</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8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6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14"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(12)</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06"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w:t>
            </w:r>
          </w:p>
        </w:tc>
      </w:tr>
      <w:tr w:rsidR="009534E2">
        <w:trPr>
          <w:jc w:val="center"/>
        </w:trPr>
        <w:tc>
          <w:tcPr>
            <w:tcW w:w="196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5c009656_e3ed_4a20_8146_dc7bbd92189f" w:id="1813"/>
            <w:bookmarkEnd w:id="1812"/>
            <w:r>
              <w:rPr>
                <w:rFonts w:eastAsia="Times New Roman" w:asciiTheme="majorHAnsi" w:hAnsiTheme="majorHAnsi" w:cstheme="majorHAnsi"/>
                <w:color w:val="000000"/>
              </w:rPr>
              <w:t>Disposals</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88"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8"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68"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2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(256)</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14"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(139)</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06"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(397)</w:t>
            </w:r>
          </w:p>
        </w:tc>
      </w:tr>
      <w:tr w:rsidR="009534E2">
        <w:trPr>
          <w:jc w:val="center"/>
        </w:trPr>
        <w:tc>
          <w:tcPr>
            <w:tcW w:w="1962" w:type="pct"/>
            <w:tcBorders>
              <w:top w:val="nil"/>
              <w:left w:val="nil"/>
              <w:bottom w:val="nil"/>
              <w:right w:val="nil"/>
              <w:tl2br w:val="nil"/>
              <w:tr2bl w:val="nil"/>
            </w:tcBorders>
            <w:vAlign w:val="bottom"/>
          </w:tcPr>
          <w:p w:rsidR="009534E2" w:rsidRDefault="003369EB">
            <w:pPr>
              <w:keepNext/>
              <w:rPr>
                <w:rFonts w:asciiTheme="majorHAnsi" w:hAnsiTheme="majorHAnsi" w:cstheme="majorHAnsi"/>
                <w:b/>
                <w:color w:val="000000"/>
              </w:rPr>
            </w:pPr>
            <w:bookmarkStart w:name="_12f1c7ab_d358_424b_a121_f800c291849e" w:id="1814"/>
            <w:bookmarkEnd w:id="1813"/>
            <w:r>
              <w:rPr>
                <w:rFonts w:eastAsia="Times New Roman" w:asciiTheme="majorHAnsi" w:hAnsiTheme="majorHAnsi" w:cstheme="majorHAnsi"/>
                <w:b/>
                <w:color w:val="000000"/>
              </w:rPr>
              <w:t>Balance as of December 31, 2021</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8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7,084</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0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5,485</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6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183</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25"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1,473</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14"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248</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511"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155</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06"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14,628</w:t>
            </w:r>
          </w:p>
        </w:tc>
      </w:tr>
      <w:tr w:rsidR="009534E2">
        <w:trPr>
          <w:jc w:val="center"/>
        </w:trPr>
        <w:tc>
          <w:tcPr>
            <w:tcW w:w="196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0f20ec7b_3e6c_46af_aa8c_ad4d6f804d15" w:id="1815"/>
            <w:bookmarkEnd w:id="1814"/>
            <w:r>
              <w:rPr>
                <w:rFonts w:eastAsia="Times New Roman" w:asciiTheme="majorHAnsi" w:hAnsiTheme="majorHAnsi" w:cstheme="majorHAnsi"/>
                <w:color w:val="000000"/>
              </w:rPr>
              <w:t>Additions</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8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6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111</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14"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123</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06"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234</w:t>
            </w:r>
          </w:p>
        </w:tc>
      </w:tr>
      <w:tr w:rsidR="009534E2">
        <w:trPr>
          <w:jc w:val="center"/>
        </w:trPr>
        <w:tc>
          <w:tcPr>
            <w:tcW w:w="1962"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33cb5cfe_6489_4f37_9c5b_3b59cf1b1b1f" w:id="1816"/>
            <w:bookmarkEnd w:id="1815"/>
            <w:r>
              <w:rPr>
                <w:rFonts w:eastAsia="Times New Roman" w:asciiTheme="majorHAnsi" w:hAnsiTheme="majorHAnsi" w:cstheme="majorHAnsi"/>
                <w:color w:val="000000"/>
              </w:rPr>
              <w:t xml:space="preserve">Additions from business combinations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8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1,508</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201</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6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896</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14"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380</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06"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2,985</w:t>
            </w:r>
          </w:p>
        </w:tc>
      </w:tr>
      <w:tr w:rsidR="009534E2">
        <w:trPr>
          <w:jc w:val="center"/>
        </w:trPr>
        <w:tc>
          <w:tcPr>
            <w:tcW w:w="196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5b6836a8_6989_41a9_aab7_d0aa187b4e46" w:id="1817"/>
            <w:bookmarkEnd w:id="1816"/>
            <w:r>
              <w:rPr>
                <w:rFonts w:eastAsia="Times New Roman" w:asciiTheme="majorHAnsi" w:hAnsiTheme="majorHAnsi" w:cstheme="majorHAnsi"/>
                <w:color w:val="000000"/>
              </w:rPr>
              <w:t>Transfer between groups</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8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6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37</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14"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(37)</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06"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w:t>
            </w:r>
          </w:p>
        </w:tc>
      </w:tr>
      <w:tr w:rsidR="009534E2">
        <w:trPr>
          <w:jc w:val="center"/>
        </w:trPr>
        <w:tc>
          <w:tcPr>
            <w:tcW w:w="1962"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d3e83565_df1c_44f2_b6a4_cf20c121d40d" w:id="1818"/>
            <w:bookmarkEnd w:id="1817"/>
            <w:r>
              <w:rPr>
                <w:rFonts w:eastAsia="Times New Roman" w:asciiTheme="majorHAnsi" w:hAnsiTheme="majorHAnsi" w:cstheme="majorHAnsi"/>
                <w:color w:val="000000"/>
              </w:rPr>
              <w:t>Disposals</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8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6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25" w:type="pct"/>
            <w:tcBorders>
              <w:top w:val="nil"/>
              <w:left w:val="nil"/>
              <w:bottom w:val="single" w:color="000000" w:sz="4" w:space="0"/>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(109)</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14"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single" w:color="000000" w:sz="4" w:space="0"/>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(49)</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06" w:type="pct"/>
            <w:tcBorders>
              <w:top w:val="nil"/>
              <w:left w:val="nil"/>
              <w:bottom w:val="single" w:color="000000" w:sz="4" w:space="0"/>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(158)</w:t>
            </w:r>
          </w:p>
        </w:tc>
      </w:tr>
      <w:tr w:rsidR="009534E2">
        <w:trPr>
          <w:jc w:val="center"/>
        </w:trPr>
        <w:tc>
          <w:tcPr>
            <w:tcW w:w="1962" w:type="pct"/>
            <w:tcBorders>
              <w:top w:val="nil"/>
              <w:left w:val="nil"/>
              <w:bottom w:val="nil"/>
              <w:right w:val="nil"/>
              <w:tl2br w:val="nil"/>
              <w:tr2bl w:val="nil"/>
            </w:tcBorders>
            <w:vAlign w:val="bottom"/>
          </w:tcPr>
          <w:p w:rsidR="009534E2" w:rsidRDefault="003369EB">
            <w:pPr>
              <w:keepNext/>
              <w:rPr>
                <w:rFonts w:asciiTheme="majorHAnsi" w:hAnsiTheme="majorHAnsi" w:cstheme="majorHAnsi"/>
                <w:b/>
                <w:color w:val="000000"/>
              </w:rPr>
            </w:pPr>
            <w:bookmarkStart w:name="_72bcfba5_f33f_4dd3_a53d_97fba14ba4f3" w:id="1819"/>
            <w:bookmarkEnd w:id="1818"/>
            <w:r>
              <w:rPr>
                <w:rFonts w:eastAsia="Times New Roman" w:asciiTheme="majorHAnsi" w:hAnsiTheme="majorHAnsi" w:cstheme="majorHAnsi"/>
                <w:b/>
                <w:color w:val="000000"/>
              </w:rPr>
              <w:t>Balance as of December 31, 2022</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8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8,592</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0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5,686</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6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183</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25"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2,408</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14"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628</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511"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192</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06"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17,689</w:t>
            </w:r>
          </w:p>
        </w:tc>
      </w:tr>
      <w:tr w:rsidR="009534E2">
        <w:trPr>
          <w:jc w:val="center"/>
        </w:trPr>
        <w:tc>
          <w:tcPr>
            <w:tcW w:w="1962" w:type="pct"/>
            <w:tcBorders>
              <w:top w:val="nil"/>
              <w:left w:val="nil"/>
              <w:bottom w:val="nil"/>
              <w:right w:val="nil"/>
              <w:tl2br w:val="nil"/>
              <w:tr2bl w:val="nil"/>
            </w:tcBorders>
            <w:shd w:val="clear" w:color="auto" w:fill="CCEEFF"/>
            <w:vAlign w:val="bottom"/>
          </w:tcPr>
          <w:p w:rsidR="009534E2" w:rsidRDefault="009534E2">
            <w:pPr>
              <w:keepNext/>
              <w:rPr>
                <w:rFonts w:asciiTheme="majorHAnsi" w:hAnsiTheme="majorHAnsi" w:cstheme="majorHAnsi"/>
                <w:b/>
                <w:color w:val="000000"/>
              </w:rPr>
            </w:pPr>
            <w:bookmarkStart w:name="_ee093d00_153a_4ac6_af8a_f292ebfdd9cb" w:id="1820"/>
            <w:bookmarkEnd w:id="1819"/>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288"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408"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268"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325"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41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511"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306"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r>
      <w:tr w:rsidR="009534E2">
        <w:trPr>
          <w:jc w:val="center"/>
        </w:trPr>
        <w:tc>
          <w:tcPr>
            <w:tcW w:w="1962" w:type="pct"/>
            <w:tcBorders>
              <w:top w:val="nil"/>
              <w:left w:val="nil"/>
              <w:bottom w:val="single" w:color="000000" w:sz="4" w:space="0"/>
              <w:right w:val="nil"/>
              <w:tl2br w:val="nil"/>
              <w:tr2bl w:val="nil"/>
            </w:tcBorders>
            <w:vAlign w:val="bottom"/>
          </w:tcPr>
          <w:p w:rsidR="009534E2" w:rsidRDefault="003369EB">
            <w:pPr>
              <w:keepNext/>
              <w:rPr>
                <w:rFonts w:asciiTheme="majorHAnsi" w:hAnsiTheme="majorHAnsi" w:cstheme="majorHAnsi"/>
                <w:b/>
                <w:color w:val="000000"/>
              </w:rPr>
            </w:pPr>
            <w:bookmarkStart w:name="_e6425b4f_391c_41e9_9374_538e50d1d6db" w:id="1821"/>
            <w:bookmarkEnd w:id="1820"/>
            <w:r>
              <w:rPr>
                <w:rFonts w:eastAsia="Times New Roman" w:asciiTheme="majorHAnsi" w:hAnsiTheme="majorHAnsi" w:cstheme="majorHAnsi"/>
                <w:b/>
                <w:color w:val="000000"/>
              </w:rPr>
              <w:t>Accumulated Amortization:</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88" w:type="pct"/>
            <w:tcBorders>
              <w:top w:val="nil"/>
              <w:left w:val="nil"/>
              <w:bottom w:val="single" w:color="000000" w:sz="4" w:space="0"/>
              <w:right w:val="nil"/>
              <w:tl2br w:val="nil"/>
              <w:tr2bl w:val="nil"/>
            </w:tcBorders>
            <w:noWrap/>
            <w:vAlign w:val="bottom"/>
          </w:tcPr>
          <w:p w:rsidR="009534E2" w:rsidRDefault="009534E2">
            <w:pPr>
              <w:keepNext/>
              <w:jc w:val="right"/>
              <w:rPr>
                <w:rFonts w:asciiTheme="majorHAnsi" w:hAnsiTheme="majorHAnsi" w:cstheme="majorHAnsi"/>
                <w:b/>
                <w:color w:val="000000"/>
              </w:rPr>
            </w:pP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08" w:type="pct"/>
            <w:tcBorders>
              <w:top w:val="nil"/>
              <w:left w:val="nil"/>
              <w:bottom w:val="single" w:color="000000" w:sz="4" w:space="0"/>
              <w:right w:val="nil"/>
              <w:tl2br w:val="nil"/>
              <w:tr2bl w:val="nil"/>
            </w:tcBorders>
            <w:noWrap/>
            <w:vAlign w:val="bottom"/>
          </w:tcPr>
          <w:p w:rsidR="009534E2" w:rsidRDefault="009534E2">
            <w:pPr>
              <w:keepNext/>
              <w:jc w:val="right"/>
              <w:rPr>
                <w:rFonts w:asciiTheme="majorHAnsi" w:hAnsiTheme="majorHAnsi" w:cstheme="majorHAnsi"/>
                <w:b/>
                <w:color w:val="000000"/>
              </w:rPr>
            </w:pP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68" w:type="pct"/>
            <w:tcBorders>
              <w:top w:val="nil"/>
              <w:left w:val="nil"/>
              <w:bottom w:val="single" w:color="000000" w:sz="4" w:space="0"/>
              <w:right w:val="nil"/>
              <w:tl2br w:val="nil"/>
              <w:tr2bl w:val="nil"/>
            </w:tcBorders>
            <w:noWrap/>
            <w:vAlign w:val="bottom"/>
          </w:tcPr>
          <w:p w:rsidR="009534E2" w:rsidRDefault="009534E2">
            <w:pPr>
              <w:keepNext/>
              <w:jc w:val="right"/>
              <w:rPr>
                <w:rFonts w:asciiTheme="majorHAnsi" w:hAnsiTheme="majorHAnsi" w:cstheme="majorHAnsi"/>
                <w:b/>
                <w:color w:val="000000"/>
              </w:rPr>
            </w:pP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25" w:type="pct"/>
            <w:tcBorders>
              <w:top w:val="nil"/>
              <w:left w:val="nil"/>
              <w:bottom w:val="single" w:color="000000" w:sz="4" w:space="0"/>
              <w:right w:val="nil"/>
              <w:tl2br w:val="nil"/>
              <w:tr2bl w:val="nil"/>
            </w:tcBorders>
            <w:noWrap/>
            <w:vAlign w:val="bottom"/>
          </w:tcPr>
          <w:p w:rsidR="009534E2" w:rsidRDefault="009534E2">
            <w:pPr>
              <w:keepNext/>
              <w:jc w:val="right"/>
              <w:rPr>
                <w:rFonts w:asciiTheme="majorHAnsi" w:hAnsiTheme="majorHAnsi" w:cstheme="majorHAnsi"/>
                <w:b/>
                <w:color w:val="000000"/>
              </w:rPr>
            </w:pP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14" w:type="pct"/>
            <w:tcBorders>
              <w:top w:val="nil"/>
              <w:left w:val="nil"/>
              <w:bottom w:val="single" w:color="000000" w:sz="4" w:space="0"/>
              <w:right w:val="nil"/>
              <w:tl2br w:val="nil"/>
              <w:tr2bl w:val="nil"/>
            </w:tcBorders>
            <w:noWrap/>
            <w:vAlign w:val="bottom"/>
          </w:tcPr>
          <w:p w:rsidR="009534E2" w:rsidRDefault="009534E2">
            <w:pPr>
              <w:keepNext/>
              <w:rPr>
                <w:rFonts w:asciiTheme="majorHAnsi" w:hAnsiTheme="majorHAnsi" w:cstheme="majorHAnsi"/>
                <w:color w:val="000000"/>
              </w:rPr>
            </w:pP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511" w:type="pct"/>
            <w:tcBorders>
              <w:top w:val="nil"/>
              <w:left w:val="nil"/>
              <w:bottom w:val="single" w:color="000000" w:sz="4" w:space="0"/>
              <w:right w:val="nil"/>
              <w:tl2br w:val="nil"/>
              <w:tr2bl w:val="nil"/>
            </w:tcBorders>
            <w:noWrap/>
            <w:vAlign w:val="bottom"/>
          </w:tcPr>
          <w:p w:rsidR="009534E2" w:rsidRDefault="009534E2">
            <w:pPr>
              <w:keepNext/>
              <w:rPr>
                <w:rFonts w:asciiTheme="majorHAnsi" w:hAnsiTheme="majorHAnsi" w:cstheme="majorHAnsi"/>
                <w:color w:val="000000"/>
              </w:rPr>
            </w:pP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06" w:type="pct"/>
            <w:tcBorders>
              <w:top w:val="nil"/>
              <w:left w:val="nil"/>
              <w:bottom w:val="single" w:color="000000" w:sz="4" w:space="0"/>
              <w:right w:val="nil"/>
              <w:tl2br w:val="nil"/>
              <w:tr2bl w:val="nil"/>
            </w:tcBorders>
            <w:noWrap/>
            <w:vAlign w:val="bottom"/>
          </w:tcPr>
          <w:p w:rsidR="009534E2" w:rsidRDefault="009534E2">
            <w:pPr>
              <w:keepNext/>
              <w:rPr>
                <w:rFonts w:asciiTheme="majorHAnsi" w:hAnsiTheme="majorHAnsi" w:cstheme="majorHAnsi"/>
                <w:b/>
                <w:color w:val="000000"/>
              </w:rPr>
            </w:pPr>
          </w:p>
        </w:tc>
      </w:tr>
      <w:tr w:rsidR="009534E2">
        <w:trPr>
          <w:jc w:val="center"/>
        </w:trPr>
        <w:tc>
          <w:tcPr>
            <w:tcW w:w="196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f75211e8_9cea_4893_b541_bd27ac641e50" w:id="1822"/>
            <w:bookmarkEnd w:id="1821"/>
            <w:r>
              <w:rPr>
                <w:rFonts w:eastAsia="Times New Roman" w:asciiTheme="majorHAnsi" w:hAnsiTheme="majorHAnsi" w:cstheme="majorHAnsi"/>
                <w:b/>
                <w:color w:val="000000"/>
              </w:rPr>
              <w:t>Balance as of December 31, 2020</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8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08"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(2,687)</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6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2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(926)</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14"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(356)</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51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(19)</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06"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(3,988)</w:t>
            </w:r>
          </w:p>
        </w:tc>
      </w:tr>
      <w:tr w:rsidR="009534E2">
        <w:trPr>
          <w:jc w:val="center"/>
        </w:trPr>
        <w:tc>
          <w:tcPr>
            <w:tcW w:w="1962"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d32b2742_0d48_4726_b4af_c8b0ee2b4df6" w:id="1823"/>
            <w:bookmarkEnd w:id="1822"/>
            <w:r>
              <w:rPr>
                <w:rFonts w:eastAsia="Times New Roman" w:asciiTheme="majorHAnsi" w:hAnsiTheme="majorHAnsi" w:cstheme="majorHAnsi"/>
                <w:color w:val="000000"/>
              </w:rPr>
              <w:t xml:space="preserve">Amortization charge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8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8"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(303)</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6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25"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(196)</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14"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(4)</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(16)</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06"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(519)</w:t>
            </w:r>
          </w:p>
        </w:tc>
      </w:tr>
      <w:tr w:rsidR="009534E2">
        <w:trPr>
          <w:jc w:val="center"/>
        </w:trPr>
        <w:tc>
          <w:tcPr>
            <w:tcW w:w="196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921adb60_fe13_4692_9c0e_34dfd17ad97e" w:id="1824"/>
            <w:bookmarkEnd w:id="1823"/>
            <w:r>
              <w:rPr>
                <w:rFonts w:eastAsia="Times New Roman" w:asciiTheme="majorHAnsi" w:hAnsiTheme="majorHAnsi" w:cstheme="majorHAnsi"/>
                <w:color w:val="000000"/>
              </w:rPr>
              <w:t xml:space="preserve">Impairment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8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6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2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(11)</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14"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06"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(11)</w:t>
            </w:r>
          </w:p>
        </w:tc>
      </w:tr>
      <w:tr w:rsidR="009534E2">
        <w:trPr>
          <w:jc w:val="center"/>
        </w:trPr>
        <w:tc>
          <w:tcPr>
            <w:tcW w:w="1962"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e196c689_8623_4dba_acc3_ad304c65dbc3" w:id="1825"/>
            <w:bookmarkEnd w:id="1824"/>
            <w:r>
              <w:rPr>
                <w:rFonts w:eastAsia="Times New Roman" w:asciiTheme="majorHAnsi" w:hAnsiTheme="majorHAnsi" w:cstheme="majorHAnsi"/>
                <w:color w:val="000000"/>
              </w:rPr>
              <w:t xml:space="preserve">Disposals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8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0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26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25"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250</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14"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139</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11"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306"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391</w:t>
            </w:r>
          </w:p>
        </w:tc>
      </w:tr>
      <w:tr w:rsidR="009534E2">
        <w:trPr>
          <w:jc w:val="center"/>
        </w:trPr>
        <w:tc>
          <w:tcPr>
            <w:tcW w:w="196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29957437_5856_462a_92e1_bc9aa4d8e912" w:id="1826"/>
            <w:bookmarkEnd w:id="1825"/>
            <w:r>
              <w:rPr>
                <w:rFonts w:eastAsia="Times New Roman" w:asciiTheme="majorHAnsi" w:hAnsiTheme="majorHAnsi" w:cstheme="majorHAnsi"/>
                <w:b/>
                <w:color w:val="000000"/>
              </w:rPr>
              <w:t>Balance as of December 31, 2021</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88"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08"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(2,990)</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68"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2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(883)</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14"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(221)</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511"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(33)</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06"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(4,127)</w:t>
            </w:r>
          </w:p>
        </w:tc>
      </w:tr>
      <w:tr w:rsidR="009534E2">
        <w:trPr>
          <w:jc w:val="center"/>
        </w:trPr>
        <w:tc>
          <w:tcPr>
            <w:tcW w:w="1962"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61c20fe6_77bf_4125_a2a4_be13bfef133d" w:id="1827"/>
            <w:bookmarkEnd w:id="1826"/>
            <w:r>
              <w:rPr>
                <w:rFonts w:eastAsia="Times New Roman" w:asciiTheme="majorHAnsi" w:hAnsiTheme="majorHAnsi" w:cstheme="majorHAnsi"/>
                <w:color w:val="000000"/>
              </w:rPr>
              <w:t xml:space="preserve">Amortization charge </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28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08"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(319)</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268"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325"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(212)</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14"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(5)</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511"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(12)</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306"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(548)</w:t>
            </w:r>
          </w:p>
        </w:tc>
      </w:tr>
      <w:tr w:rsidR="009534E2">
        <w:trPr>
          <w:jc w:val="center"/>
        </w:trPr>
        <w:tc>
          <w:tcPr>
            <w:tcW w:w="196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7897da0c_e708_4b03_9acc_bd4d003afb54" w:id="1828"/>
            <w:bookmarkEnd w:id="1827"/>
            <w:r>
              <w:rPr>
                <w:rFonts w:eastAsia="Times New Roman" w:asciiTheme="majorHAnsi" w:hAnsiTheme="majorHAnsi" w:cstheme="majorHAnsi"/>
                <w:color w:val="000000"/>
              </w:rPr>
              <w:t xml:space="preserve">Impairment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28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0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26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3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14"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511"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(47)</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306"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(47)</w:t>
            </w:r>
          </w:p>
        </w:tc>
      </w:tr>
      <w:tr w:rsidR="009534E2">
        <w:trPr>
          <w:jc w:val="center"/>
        </w:trPr>
        <w:tc>
          <w:tcPr>
            <w:tcW w:w="1962"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1ade67ae_c2b2_4e02_a98f_90efeef1a773" w:id="1829"/>
            <w:bookmarkEnd w:id="1828"/>
            <w:r>
              <w:rPr>
                <w:rFonts w:eastAsia="Times New Roman" w:asciiTheme="majorHAnsi" w:hAnsiTheme="majorHAnsi" w:cstheme="majorHAnsi"/>
                <w:color w:val="000000"/>
              </w:rPr>
              <w:t xml:space="preserve">Disposals </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28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0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26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325"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112</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14"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511"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47</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306"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159</w:t>
            </w:r>
          </w:p>
        </w:tc>
      </w:tr>
      <w:tr w:rsidR="009534E2">
        <w:trPr>
          <w:jc w:val="center"/>
        </w:trPr>
        <w:tc>
          <w:tcPr>
            <w:tcW w:w="196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bb25ecb3_2c8c_4243_9b9e_61bdc2eb5269" w:id="1830"/>
            <w:bookmarkEnd w:id="1829"/>
            <w:r>
              <w:rPr>
                <w:rFonts w:eastAsia="Times New Roman" w:asciiTheme="majorHAnsi" w:hAnsiTheme="majorHAnsi" w:cstheme="majorHAnsi"/>
                <w:b/>
                <w:color w:val="000000"/>
              </w:rPr>
              <w:t>Balance as of December 31, 2022</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288"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408"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(3,309)</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268"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32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(983)</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414"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(226)</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511"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(45)</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306"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(4,563)</w:t>
            </w:r>
          </w:p>
        </w:tc>
      </w:tr>
      <w:tr w:rsidR="009534E2">
        <w:trPr>
          <w:jc w:val="center"/>
        </w:trPr>
        <w:tc>
          <w:tcPr>
            <w:tcW w:w="1962" w:type="pct"/>
            <w:tcBorders>
              <w:top w:val="nil"/>
              <w:left w:val="nil"/>
              <w:bottom w:val="nil"/>
              <w:right w:val="nil"/>
              <w:tl2br w:val="nil"/>
              <w:tr2bl w:val="nil"/>
            </w:tcBorders>
            <w:vAlign w:val="bottom"/>
          </w:tcPr>
          <w:p w:rsidR="009534E2" w:rsidRDefault="003369EB">
            <w:pPr>
              <w:keepNext/>
              <w:rPr>
                <w:rFonts w:asciiTheme="majorHAnsi" w:hAnsiTheme="majorHAnsi" w:cstheme="majorHAnsi"/>
                <w:b/>
                <w:color w:val="000000"/>
              </w:rPr>
            </w:pPr>
            <w:bookmarkStart w:name="_5c13a7aa_fa57_45de_91a6_e0e738010786" w:id="1831"/>
            <w:bookmarkEnd w:id="1830"/>
            <w:r>
              <w:rPr>
                <w:rFonts w:eastAsia="Times New Roman" w:asciiTheme="majorHAnsi" w:hAnsiTheme="majorHAnsi" w:cstheme="majorHAnsi"/>
                <w:b/>
                <w:color w:val="000000"/>
              </w:rPr>
              <w:t>Net book value</w:t>
            </w:r>
          </w:p>
        </w:tc>
        <w:tc>
          <w:tcPr>
            <w:tcW w:w="7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88" w:type="pct"/>
            <w:tcBorders>
              <w:top w:val="nil"/>
              <w:left w:val="nil"/>
              <w:bottom w:val="single" w:color="000000" w:sz="4" w:space="0"/>
              <w:right w:val="nil"/>
              <w:tl2br w:val="nil"/>
              <w:tr2bl w:val="nil"/>
            </w:tcBorders>
            <w:noWrap/>
            <w:vAlign w:val="bottom"/>
          </w:tcPr>
          <w:p w:rsidR="009534E2" w:rsidRDefault="009534E2">
            <w:pPr>
              <w:keepNext/>
              <w:jc w:val="right"/>
              <w:rPr>
                <w:rFonts w:asciiTheme="majorHAnsi" w:hAnsiTheme="majorHAnsi" w:cstheme="majorHAnsi"/>
                <w:b/>
                <w:color w:val="000000"/>
              </w:rPr>
            </w:pP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08" w:type="pct"/>
            <w:tcBorders>
              <w:top w:val="nil"/>
              <w:left w:val="nil"/>
              <w:bottom w:val="single" w:color="000000" w:sz="4" w:space="0"/>
              <w:right w:val="nil"/>
              <w:tl2br w:val="nil"/>
              <w:tr2bl w:val="nil"/>
            </w:tcBorders>
            <w:noWrap/>
            <w:vAlign w:val="bottom"/>
          </w:tcPr>
          <w:p w:rsidR="009534E2" w:rsidRDefault="009534E2">
            <w:pPr>
              <w:keepNext/>
              <w:jc w:val="right"/>
              <w:rPr>
                <w:rFonts w:asciiTheme="majorHAnsi" w:hAnsiTheme="majorHAnsi" w:cstheme="majorHAnsi"/>
                <w:b/>
                <w:color w:val="000000"/>
              </w:rPr>
            </w:pP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268" w:type="pct"/>
            <w:tcBorders>
              <w:top w:val="nil"/>
              <w:left w:val="nil"/>
              <w:bottom w:val="single" w:color="000000" w:sz="4" w:space="0"/>
              <w:right w:val="nil"/>
              <w:tl2br w:val="nil"/>
              <w:tr2bl w:val="nil"/>
            </w:tcBorders>
            <w:noWrap/>
            <w:vAlign w:val="bottom"/>
          </w:tcPr>
          <w:p w:rsidR="009534E2" w:rsidRDefault="009534E2">
            <w:pPr>
              <w:keepNext/>
              <w:jc w:val="right"/>
              <w:rPr>
                <w:rFonts w:asciiTheme="majorHAnsi" w:hAnsiTheme="majorHAnsi" w:cstheme="majorHAnsi"/>
                <w:b/>
                <w:color w:val="000000"/>
              </w:rPr>
            </w:pP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325" w:type="pct"/>
            <w:tcBorders>
              <w:top w:val="nil"/>
              <w:left w:val="nil"/>
              <w:bottom w:val="single" w:color="000000" w:sz="4" w:space="0"/>
              <w:right w:val="nil"/>
              <w:tl2br w:val="nil"/>
              <w:tr2bl w:val="nil"/>
            </w:tcBorders>
            <w:noWrap/>
            <w:vAlign w:val="bottom"/>
          </w:tcPr>
          <w:p w:rsidR="009534E2" w:rsidRDefault="009534E2">
            <w:pPr>
              <w:keepNext/>
              <w:jc w:val="right"/>
              <w:rPr>
                <w:rFonts w:asciiTheme="majorHAnsi" w:hAnsiTheme="majorHAnsi" w:cstheme="majorHAnsi"/>
                <w:b/>
                <w:color w:val="000000"/>
              </w:rPr>
            </w:pP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14" w:type="pct"/>
            <w:tcBorders>
              <w:top w:val="nil"/>
              <w:left w:val="nil"/>
              <w:bottom w:val="single" w:color="000000" w:sz="4" w:space="0"/>
              <w:right w:val="nil"/>
              <w:tl2br w:val="nil"/>
              <w:tr2bl w:val="nil"/>
            </w:tcBorders>
            <w:noWrap/>
            <w:vAlign w:val="bottom"/>
          </w:tcPr>
          <w:p w:rsidR="009534E2" w:rsidRDefault="009534E2">
            <w:pPr>
              <w:keepNext/>
              <w:jc w:val="right"/>
              <w:rPr>
                <w:rFonts w:asciiTheme="majorHAnsi" w:hAnsiTheme="majorHAnsi" w:cstheme="majorHAnsi"/>
                <w:b/>
                <w:color w:val="000000"/>
              </w:rPr>
            </w:pP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511" w:type="pct"/>
            <w:tcBorders>
              <w:top w:val="nil"/>
              <w:left w:val="nil"/>
              <w:bottom w:val="single" w:color="000000" w:sz="4" w:space="0"/>
              <w:right w:val="nil"/>
              <w:tl2br w:val="nil"/>
              <w:tr2bl w:val="nil"/>
            </w:tcBorders>
            <w:noWrap/>
            <w:vAlign w:val="bottom"/>
          </w:tcPr>
          <w:p w:rsidR="009534E2" w:rsidRDefault="009534E2">
            <w:pPr>
              <w:keepNext/>
              <w:jc w:val="right"/>
              <w:rPr>
                <w:rFonts w:asciiTheme="majorHAnsi" w:hAnsiTheme="majorHAnsi" w:cstheme="majorHAnsi"/>
                <w:b/>
                <w:color w:val="000000"/>
              </w:rPr>
            </w:pP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306" w:type="pct"/>
            <w:tcBorders>
              <w:top w:val="nil"/>
              <w:left w:val="nil"/>
              <w:bottom w:val="single" w:color="000000" w:sz="4" w:space="0"/>
              <w:right w:val="nil"/>
              <w:tl2br w:val="nil"/>
              <w:tr2bl w:val="nil"/>
            </w:tcBorders>
            <w:noWrap/>
            <w:vAlign w:val="bottom"/>
          </w:tcPr>
          <w:p w:rsidR="009534E2" w:rsidRDefault="009534E2">
            <w:pPr>
              <w:keepNext/>
              <w:jc w:val="right"/>
              <w:rPr>
                <w:rFonts w:asciiTheme="majorHAnsi" w:hAnsiTheme="majorHAnsi" w:cstheme="majorHAnsi"/>
                <w:b/>
                <w:color w:val="000000"/>
              </w:rPr>
            </w:pPr>
          </w:p>
        </w:tc>
      </w:tr>
      <w:tr w:rsidR="009534E2">
        <w:trPr>
          <w:jc w:val="center"/>
        </w:trPr>
        <w:tc>
          <w:tcPr>
            <w:tcW w:w="196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d35def8b_7088_453a_b487_d6592052585c" w:id="1832"/>
            <w:bookmarkEnd w:id="1831"/>
            <w:r>
              <w:rPr>
                <w:rFonts w:eastAsia="Times New Roman" w:asciiTheme="majorHAnsi" w:hAnsiTheme="majorHAnsi" w:cstheme="majorHAnsi"/>
                <w:b/>
                <w:color w:val="000000"/>
              </w:rPr>
              <w:t>As of December 31, 2020</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88"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7,084</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08"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2,798</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268"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183</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2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625</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14"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31</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511"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92</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306"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10,813</w:t>
            </w:r>
          </w:p>
        </w:tc>
      </w:tr>
      <w:tr w:rsidR="009534E2">
        <w:trPr>
          <w:jc w:val="center"/>
        </w:trPr>
        <w:tc>
          <w:tcPr>
            <w:tcW w:w="1962" w:type="pct"/>
            <w:tcBorders>
              <w:top w:val="nil"/>
              <w:left w:val="nil"/>
              <w:bottom w:val="nil"/>
              <w:right w:val="nil"/>
              <w:tl2br w:val="nil"/>
              <w:tr2bl w:val="nil"/>
            </w:tcBorders>
            <w:vAlign w:val="bottom"/>
          </w:tcPr>
          <w:p w:rsidR="009534E2" w:rsidRDefault="003369EB">
            <w:pPr>
              <w:keepNext/>
              <w:rPr>
                <w:rFonts w:asciiTheme="majorHAnsi" w:hAnsiTheme="majorHAnsi" w:cstheme="majorHAnsi"/>
                <w:b/>
                <w:color w:val="000000"/>
              </w:rPr>
            </w:pPr>
            <w:bookmarkStart w:name="_ead1a268_6b97_419f_8d92_f67b986fb5e8" w:id="1833"/>
            <w:bookmarkEnd w:id="1832"/>
            <w:r>
              <w:rPr>
                <w:rFonts w:eastAsia="Times New Roman" w:asciiTheme="majorHAnsi" w:hAnsiTheme="majorHAnsi" w:cstheme="majorHAnsi"/>
                <w:b/>
                <w:color w:val="000000"/>
              </w:rPr>
              <w:t>As of December 31, 2021</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28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7,084</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b/>
                <w:color w:val="000000"/>
              </w:rPr>
            </w:pPr>
          </w:p>
        </w:tc>
        <w:tc>
          <w:tcPr>
            <w:tcW w:w="40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2,495</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b/>
                <w:color w:val="000000"/>
              </w:rPr>
            </w:pPr>
          </w:p>
        </w:tc>
        <w:tc>
          <w:tcPr>
            <w:tcW w:w="268"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183</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b/>
                <w:color w:val="000000"/>
              </w:rPr>
            </w:pPr>
          </w:p>
        </w:tc>
        <w:tc>
          <w:tcPr>
            <w:tcW w:w="325"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590</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b/>
                <w:color w:val="000000"/>
              </w:rPr>
            </w:pPr>
          </w:p>
        </w:tc>
        <w:tc>
          <w:tcPr>
            <w:tcW w:w="414"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27</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b/>
                <w:color w:val="000000"/>
              </w:rPr>
            </w:pPr>
          </w:p>
        </w:tc>
        <w:tc>
          <w:tcPr>
            <w:tcW w:w="511"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122</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b/>
                <w:color w:val="000000"/>
              </w:rPr>
            </w:pPr>
          </w:p>
        </w:tc>
        <w:tc>
          <w:tcPr>
            <w:tcW w:w="306"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10,501</w:t>
            </w:r>
          </w:p>
        </w:tc>
      </w:tr>
      <w:tr w:rsidR="009534E2">
        <w:trPr>
          <w:jc w:val="center"/>
        </w:trPr>
        <w:tc>
          <w:tcPr>
            <w:tcW w:w="196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3b1ec148_2508_4d60_ae1f_60db2a24f7f1" w:id="1834"/>
            <w:bookmarkEnd w:id="1833"/>
            <w:r>
              <w:rPr>
                <w:rFonts w:eastAsia="Times New Roman" w:asciiTheme="majorHAnsi" w:hAnsiTheme="majorHAnsi" w:cstheme="majorHAnsi"/>
                <w:b/>
                <w:color w:val="000000"/>
              </w:rPr>
              <w:t>As of December 31, 2022</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288"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8,592</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c>
          <w:tcPr>
            <w:tcW w:w="408"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2,377</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c>
          <w:tcPr>
            <w:tcW w:w="268"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183</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c>
          <w:tcPr>
            <w:tcW w:w="325"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1,425</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c>
          <w:tcPr>
            <w:tcW w:w="414"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402</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c>
          <w:tcPr>
            <w:tcW w:w="511"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147</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c>
          <w:tcPr>
            <w:tcW w:w="306"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13,126</w:t>
            </w:r>
          </w:p>
        </w:tc>
      </w:tr>
      <w:bookmarkEnd w:id="1805"/>
      <w:bookmarkEnd w:id="1834"/>
    </w:tbl>
    <w:p w:rsidR="009534E2" w:rsidRDefault="009534E2">
      <w:pPr>
        <w:rPr>
          <w:rFonts w:asciiTheme="majorHAnsi" w:hAnsiTheme="majorHAnsi" w:cstheme="majorHAnsi"/>
        </w:rPr>
      </w:pPr>
    </w:p>
    <w:p w:rsidR="009534E2" w:rsidRDefault="003369EB">
      <w:pPr>
        <w:pStyle w:val="BodyT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As of December 31, 2022, the gross book value of fully amortized intangible assets equals </w:t>
      </w:r>
      <w:bookmarkStart w:name="_08c723c9_a0b4_4e27_b727_49fe174e758f" w:id="1835"/>
      <w:bookmarkStart w:name="_aa4e34ea_be11_47a2_b744_15ff3af86c16" w:id="1836"/>
      <w:r>
        <w:rPr>
          <w:rFonts w:eastAsia="Times New Roman" w:asciiTheme="majorHAnsi" w:hAnsiTheme="majorHAnsi" w:cstheme="majorHAnsi"/>
          <w:lang w:eastAsia="ru-RU"/>
        </w:rPr>
        <w:t>929</w:t>
      </w:r>
      <w:bookmarkEnd w:id="1835"/>
      <w:r>
        <w:rPr>
          <w:rFonts w:eastAsia="Times New Roman" w:asciiTheme="majorHAnsi" w:hAnsiTheme="majorHAnsi" w:cstheme="majorHAnsi"/>
          <w:lang w:eastAsia="ru-RU"/>
        </w:rPr>
        <w:t xml:space="preserve"> (2021 - </w:t>
      </w:r>
      <w:bookmarkStart w:name="_a01093eb_8792_40c6_a214_9bad03a4c9b8" w:id="1837"/>
      <w:r>
        <w:rPr>
          <w:rFonts w:eastAsia="Times New Roman" w:asciiTheme="majorHAnsi" w:hAnsiTheme="majorHAnsi" w:cstheme="majorHAnsi"/>
          <w:lang w:eastAsia="ru-RU"/>
        </w:rPr>
        <w:t>876</w:t>
      </w:r>
      <w:bookmarkEnd w:id="1837"/>
      <w:r>
        <w:rPr>
          <w:rFonts w:eastAsia="Times New Roman" w:asciiTheme="majorHAnsi" w:hAnsiTheme="majorHAnsi" w:cstheme="majorHAnsi"/>
          <w:lang w:eastAsia="ru-RU"/>
        </w:rPr>
        <w:t>).</w:t>
      </w:r>
    </w:p>
    <w:bookmarkEnd w:displacedByCustomXml="next" w:id="1836"/>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Heading1"/>
        <w:spacing w:after="0"/>
        <w:ind w:left="360" w:hanging="360"/>
        <w:rPr>
          <w:lang w:eastAsia="ru-RU"/>
        </w:rPr>
      </w:pPr>
      <w:r>
        <w:rPr>
          <w:lang w:eastAsia="ru-RU"/>
        </w:rPr>
        <w:t>11.</w:t>
      </w:r>
      <w:r>
        <w:rPr>
          <w:lang w:eastAsia="ru-RU"/>
        </w:rPr>
        <w:tab/>
        <w:t>Impairment testing of goodwill and intangible assets</w:t>
      </w:r>
    </w:p>
    <w:p w:rsidR="009534E2" w:rsidRDefault="009534E2">
      <w:pPr>
        <w:pStyle w:val="BodyText"/>
        <w:spacing w:after="0"/>
        <w:rPr>
          <w:rFonts w:asciiTheme="majorHAnsi" w:hAnsiTheme="majorHAnsi" w:cstheme="majorHAnsi"/>
          <w:lang w:eastAsia="ru-RU"/>
        </w:rPr>
      </w:pP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 Group identified the following significant CGU’s: Payment Services, RealWeb, ROWI and Flocktory. As of December 31, 2022 the Goodwill is allocated to </w:t>
      </w:r>
      <w:bookmarkStart w:name="_e044746a_ad3c_4613_bd4d_939dbd408abe" w:id="1838"/>
      <w:r>
        <w:rPr>
          <w:rFonts w:eastAsia="Times New Roman" w:asciiTheme="majorHAnsi" w:hAnsiTheme="majorHAnsi" w:cstheme="majorHAnsi"/>
          <w:lang w:eastAsia="ru-RU"/>
        </w:rPr>
        <w:t xml:space="preserve">the </w:t>
      </w:r>
      <w:bookmarkStart w:name="_f3a44b84_0008_46f2_8c70_08da7108b956" w:id="1839"/>
      <w:r>
        <w:rPr>
          <w:rFonts w:eastAsia="Times New Roman" w:asciiTheme="majorHAnsi" w:hAnsiTheme="majorHAnsi" w:cstheme="majorHAnsi"/>
          <w:lang w:eastAsia="ru-RU"/>
        </w:rPr>
        <w:t>three</w:t>
      </w:r>
      <w:bookmarkEnd w:id="1838"/>
      <w:bookmarkEnd w:id="1839"/>
      <w:r>
        <w:rPr>
          <w:rFonts w:eastAsia="Times New Roman" w:asciiTheme="majorHAnsi" w:hAnsiTheme="majorHAnsi" w:cstheme="majorHAnsi"/>
          <w:lang w:eastAsia="ru-RU"/>
        </w:rPr>
        <w:t xml:space="preserve"> CGUs: Payment Services, RealWeb and Flocktory and intangible assets with indefinite useful life relates to </w:t>
      </w:r>
      <w:bookmarkStart w:name="_a40a7e54_a72f_44ad_8e50_70a59c423f93" w:id="1840"/>
      <w:r>
        <w:rPr>
          <w:rFonts w:eastAsia="Times New Roman" w:asciiTheme="majorHAnsi" w:hAnsiTheme="majorHAnsi" w:cstheme="majorHAnsi"/>
          <w:lang w:eastAsia="ru-RU"/>
        </w:rPr>
        <w:t>two</w:t>
      </w:r>
      <w:bookmarkEnd w:id="1840"/>
      <w:r>
        <w:rPr>
          <w:rFonts w:eastAsia="Times New Roman" w:asciiTheme="majorHAnsi" w:hAnsiTheme="majorHAnsi" w:cstheme="majorHAnsi"/>
          <w:lang w:eastAsia="ru-RU"/>
        </w:rPr>
        <w:t xml:space="preserve"> CGUs: Payment Services and ROWI.</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An analysis and movement of the net book value of goodwill and indefinite life licenses acquired through business combinations, as included in the intangible assets (Note 10), is as follows:</w:t>
      </w:r>
      <w:bookmarkStart w:name="_6278420e_8993_4264_b548_8305667c3a45" w:id="1841"/>
    </w:p>
    <w:p w:rsidR="009534E2" w:rsidRDefault="009534E2">
      <w:pPr>
        <w:pStyle w:val="BodyText"/>
        <w:keepNext/>
        <w:spacing w:after="0"/>
        <w:rPr>
          <w:rFonts w:eastAsia="Times New Roman" w:asciiTheme="majorHAnsi" w:hAnsiTheme="majorHAnsi" w:cstheme="majorHAnsi"/>
          <w:lang w:eastAsia="ru-RU"/>
        </w:rPr>
      </w:pPr>
    </w:p>
    <w:tbl>
      <w:tblPr>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882"/>
        <w:gridCol w:w="160"/>
        <w:gridCol w:w="1178"/>
        <w:gridCol w:w="160"/>
        <w:gridCol w:w="667"/>
        <w:gridCol w:w="160"/>
        <w:gridCol w:w="632"/>
        <w:gridCol w:w="160"/>
        <w:gridCol w:w="920"/>
        <w:gridCol w:w="161"/>
        <w:gridCol w:w="560"/>
      </w:tblGrid>
      <w:tr w:rsidR="009534E2">
        <w:trPr>
          <w:trHeight w:val="20" w:hRule="exact"/>
          <w:jc w:val="center"/>
        </w:trPr>
        <w:tc>
          <w:tcPr>
            <w:tcW w:w="2247"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6ec7f02c_d1b7_4865_b18e_d871316d27d9" w:colFirst="0" w:colLast="0" w:id="1842"/>
            <w:bookmarkStart w:name="_187c7e61_28da_4946_ba1a_4ba4edaa72ca" w:colFirst="1" w:colLast="1" w:id="1843"/>
            <w:bookmarkStart w:name="_ca46c39c_516f_4e22_acd7_c9b176ccb1fd" w:colFirst="2" w:colLast="2" w:id="1844"/>
            <w:bookmarkStart w:name="_c8a14ffe_da3d_4edf_8850_12ca43623c8b" w:colFirst="7" w:colLast="7" w:id="1845"/>
            <w:bookmarkStart w:name="_a532ac58_a576_4db8_8ced_174f72e6a6f0" w:colFirst="8" w:colLast="8" w:id="1846"/>
            <w:bookmarkStart w:name="_4b2e4fb7_979f_4bc9_949e_91d69de6944d" w:colFirst="9" w:colLast="9" w:id="1847"/>
            <w:bookmarkStart w:name="_77d32a96_c39b_40f2_8e52_e9be66ae6b51" w:colFirst="10" w:colLast="10" w:id="1848"/>
            <w:bookmarkStart w:name="_7a626f35_78c2_4998_ba10_e447c68132de" w:colFirst="5" w:colLast="5" w:id="1849"/>
            <w:bookmarkStart w:name="_d0afa4f8_2b42_420e_af05_43dabef4bb17" w:colFirst="6" w:colLast="6" w:id="1850"/>
            <w:bookmarkStart w:name="_805fca84_985a_4627_85fd_90c1b620cca9" w:colFirst="3" w:colLast="3" w:id="1851"/>
            <w:bookmarkStart w:name="_70760cea_96fc_4595_9217_d493094a6cde" w:colFirst="4" w:colLast="4" w:id="1852"/>
            <w:bookmarkStart w:name="_3274a149_a8be_4591_9339_11d5876085ed" w:id="1853"/>
          </w:p>
        </w:tc>
        <w:tc>
          <w:tcPr>
            <w:tcW w:w="9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682"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8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6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32"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2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9534E2">
        <w:trPr>
          <w:jc w:val="center"/>
        </w:trPr>
        <w:tc>
          <w:tcPr>
            <w:tcW w:w="2247"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1218497a_b030_4d80_8861_9b4ba74bf750" w:id="1854"/>
            <w:bookmarkEnd w:id="1842"/>
            <w:bookmarkEnd w:id="1843"/>
            <w:bookmarkEnd w:id="1844"/>
            <w:bookmarkEnd w:id="1845"/>
            <w:bookmarkEnd w:id="1846"/>
            <w:bookmarkEnd w:id="1847"/>
            <w:bookmarkEnd w:id="1848"/>
            <w:bookmarkEnd w:id="1849"/>
            <w:bookmarkEnd w:id="1850"/>
            <w:bookmarkEnd w:id="1851"/>
            <w:bookmarkEnd w:id="1852"/>
          </w:p>
        </w:tc>
        <w:tc>
          <w:tcPr>
            <w:tcW w:w="93"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1619" w:type="pct"/>
            <w:gridSpan w:val="5"/>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Goodwill</w:t>
            </w:r>
          </w:p>
        </w:tc>
        <w:tc>
          <w:tcPr>
            <w:tcW w:w="93"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532"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Indefinite life</w:t>
            </w:r>
          </w:p>
        </w:tc>
        <w:tc>
          <w:tcPr>
            <w:tcW w:w="93"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32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r>
      <w:tr w:rsidR="009534E2">
        <w:trPr>
          <w:jc w:val="center"/>
        </w:trPr>
        <w:tc>
          <w:tcPr>
            <w:tcW w:w="2247"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6c9b7198_c363_4dae_8254_d04b4060a397" w:id="1855"/>
            <w:bookmarkEnd w:id="1854"/>
          </w:p>
        </w:tc>
        <w:tc>
          <w:tcPr>
            <w:tcW w:w="93"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82"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Payment services</w:t>
            </w:r>
          </w:p>
        </w:tc>
        <w:tc>
          <w:tcPr>
            <w:tcW w:w="93"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6"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Flocktory</w:t>
            </w:r>
          </w:p>
        </w:tc>
        <w:tc>
          <w:tcPr>
            <w:tcW w:w="93"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66"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RealWeb</w:t>
            </w:r>
          </w:p>
        </w:tc>
        <w:tc>
          <w:tcPr>
            <w:tcW w:w="93"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32"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license</w:t>
            </w:r>
          </w:p>
        </w:tc>
        <w:tc>
          <w:tcPr>
            <w:tcW w:w="93"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24"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w:t>
            </w:r>
          </w:p>
        </w:tc>
      </w:tr>
      <w:tr w:rsidR="009534E2">
        <w:trPr>
          <w:jc w:val="center"/>
        </w:trPr>
        <w:tc>
          <w:tcPr>
            <w:tcW w:w="2247"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b/>
                <w:color w:val="000000"/>
              </w:rPr>
            </w:pPr>
            <w:bookmarkStart w:name="_f2768828_f3f2_464e_b78e_52325e5ce59a" w:id="1856"/>
            <w:bookmarkEnd w:id="1855"/>
            <w:r>
              <w:rPr>
                <w:rFonts w:eastAsia="Times New Roman" w:asciiTheme="majorHAnsi" w:hAnsiTheme="majorHAnsi" w:cstheme="majorHAnsi"/>
                <w:b/>
                <w:color w:val="000000"/>
              </w:rPr>
              <w:t>As of December 31, 2020</w:t>
            </w:r>
          </w:p>
        </w:tc>
        <w:tc>
          <w:tcPr>
            <w:tcW w:w="93"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68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6,358</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6"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726</w:t>
            </w:r>
          </w:p>
        </w:tc>
        <w:tc>
          <w:tcPr>
            <w:tcW w:w="93"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b/>
                <w:color w:val="000000"/>
              </w:rPr>
            </w:pPr>
          </w:p>
        </w:tc>
        <w:tc>
          <w:tcPr>
            <w:tcW w:w="366"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53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183</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2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7,267</w:t>
            </w:r>
          </w:p>
        </w:tc>
      </w:tr>
      <w:tr w:rsidR="009534E2">
        <w:trPr>
          <w:jc w:val="center"/>
        </w:trPr>
        <w:tc>
          <w:tcPr>
            <w:tcW w:w="2247"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30dfbaeb_bfc7_4a40_b662_bc8afa3d15f9" w:id="1857"/>
            <w:bookmarkEnd w:id="1856"/>
            <w:r>
              <w:rPr>
                <w:rFonts w:eastAsia="Times New Roman" w:asciiTheme="majorHAnsi" w:hAnsiTheme="majorHAnsi" w:cstheme="majorHAnsi"/>
                <w:color w:val="000000"/>
              </w:rPr>
              <w:t xml:space="preserve">Addition </w:t>
            </w:r>
          </w:p>
        </w:tc>
        <w:tc>
          <w:tcPr>
            <w:tcW w:w="93"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82"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93"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6"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93" w:type="pct"/>
            <w:tcBorders>
              <w:top w:val="nil"/>
              <w:left w:val="nil"/>
              <w:bottom w:val="nil"/>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366"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93"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32"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93"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2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247"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b/>
                <w:color w:val="000000"/>
              </w:rPr>
            </w:pPr>
            <w:bookmarkStart w:name="_94dff863_e43a_4b08_8efd_ad32e0dbf41a" w:id="1858"/>
            <w:bookmarkEnd w:id="1857"/>
            <w:r>
              <w:rPr>
                <w:rFonts w:eastAsia="Times New Roman" w:asciiTheme="majorHAnsi" w:hAnsiTheme="majorHAnsi" w:cstheme="majorHAnsi"/>
                <w:b/>
                <w:color w:val="000000"/>
              </w:rPr>
              <w:t>As of December 31, 2021</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8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6,358</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6"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726</w:t>
            </w:r>
          </w:p>
        </w:tc>
        <w:tc>
          <w:tcPr>
            <w:tcW w:w="93"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366"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3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183</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2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7,267</w:t>
            </w:r>
          </w:p>
        </w:tc>
      </w:tr>
      <w:tr w:rsidR="009534E2">
        <w:trPr>
          <w:jc w:val="center"/>
        </w:trPr>
        <w:tc>
          <w:tcPr>
            <w:tcW w:w="2247"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9ee9401c_3a10_452e_859b_5c57bfa0fcbb" w:id="1859"/>
            <w:bookmarkEnd w:id="1858"/>
            <w:r>
              <w:rPr>
                <w:rFonts w:eastAsia="Times New Roman" w:asciiTheme="majorHAnsi" w:hAnsiTheme="majorHAnsi" w:cstheme="majorHAnsi"/>
                <w:color w:val="000000"/>
              </w:rPr>
              <w:t>Addition (Note 6)</w:t>
            </w:r>
          </w:p>
        </w:tc>
        <w:tc>
          <w:tcPr>
            <w:tcW w:w="93"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682"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666</w:t>
            </w:r>
          </w:p>
        </w:tc>
        <w:tc>
          <w:tcPr>
            <w:tcW w:w="93"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6"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93" w:type="pct"/>
            <w:tcBorders>
              <w:top w:val="nil"/>
              <w:left w:val="nil"/>
              <w:bottom w:val="nil"/>
              <w:right w:val="nil"/>
              <w:tl2br w:val="nil"/>
              <w:tr2bl w:val="nil"/>
            </w:tcBorders>
            <w:noWrap/>
            <w:vAlign w:val="bottom"/>
          </w:tcPr>
          <w:p w:rsidR="009534E2" w:rsidRDefault="009534E2">
            <w:pPr>
              <w:keepNext/>
              <w:spacing w:after="1"/>
              <w:jc w:val="right"/>
              <w:rPr>
                <w:rFonts w:asciiTheme="majorHAnsi" w:hAnsiTheme="majorHAnsi" w:cstheme="majorHAnsi"/>
                <w:b/>
                <w:color w:val="000000"/>
              </w:rPr>
            </w:pPr>
          </w:p>
        </w:tc>
        <w:tc>
          <w:tcPr>
            <w:tcW w:w="366"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842</w:t>
            </w:r>
          </w:p>
        </w:tc>
        <w:tc>
          <w:tcPr>
            <w:tcW w:w="93"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532"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93"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2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1,508</w:t>
            </w:r>
          </w:p>
        </w:tc>
      </w:tr>
      <w:tr w:rsidR="009534E2">
        <w:trPr>
          <w:jc w:val="center"/>
        </w:trPr>
        <w:tc>
          <w:tcPr>
            <w:tcW w:w="224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bookmarkStart w:name="_bcf11cfb_bd4b_41b0_a0c2_ed5547f5091c" w:id="1860"/>
            <w:bookmarkEnd w:id="1859"/>
            <w:r>
              <w:rPr>
                <w:rFonts w:eastAsia="Times New Roman" w:asciiTheme="majorHAnsi" w:hAnsiTheme="majorHAnsi" w:cstheme="majorHAnsi"/>
                <w:b/>
                <w:color w:val="000000"/>
              </w:rPr>
              <w:t>As of December 31, 2022</w:t>
            </w:r>
          </w:p>
        </w:tc>
        <w:tc>
          <w:tcPr>
            <w:tcW w:w="93"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682"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7,024</w:t>
            </w:r>
          </w:p>
        </w:tc>
        <w:tc>
          <w:tcPr>
            <w:tcW w:w="93"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86"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726</w:t>
            </w:r>
          </w:p>
        </w:tc>
        <w:tc>
          <w:tcPr>
            <w:tcW w:w="93"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66"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842</w:t>
            </w:r>
          </w:p>
        </w:tc>
        <w:tc>
          <w:tcPr>
            <w:tcW w:w="93"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532"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183</w:t>
            </w:r>
          </w:p>
        </w:tc>
        <w:tc>
          <w:tcPr>
            <w:tcW w:w="93"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24"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8,775</w:t>
            </w:r>
          </w:p>
        </w:tc>
      </w:tr>
      <w:bookmarkEnd w:id="1841"/>
      <w:bookmarkEnd w:id="1853"/>
      <w:bookmarkEnd w:id="1860"/>
    </w:tbl>
    <w:p w:rsidR="009534E2" w:rsidRDefault="009534E2">
      <w:pPr>
        <w:pStyle w:val="BodyText"/>
        <w:spacing w:after="0"/>
        <w:rPr>
          <w:rFonts w:asciiTheme="majorHAnsi" w:hAnsiTheme="majorHAnsi" w:cstheme="majorHAnsi"/>
          <w:lang w:val="ru-RU" w:eastAsia="ru-RU"/>
        </w:rPr>
      </w:pP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Group tests its goodwill and the intangible assets with an indefinite useful life annually.</w:t>
      </w:r>
    </w:p>
    <w:p w:rsidR="009534E2" w:rsidRDefault="003369EB">
      <w:pPr>
        <w:pStyle w:val="Heading2"/>
        <w:spacing w:after="160"/>
        <w:rPr>
          <w:lang w:eastAsia="ru-RU"/>
        </w:rPr>
      </w:pPr>
      <w:r>
        <w:rPr>
          <w:lang w:eastAsia="ru-RU"/>
        </w:rPr>
        <w:t>Goodwill and intangible assets with indefinite useful life</w:t>
      </w:r>
    </w:p>
    <w:p w:rsidR="009534E2" w:rsidRDefault="003369EB">
      <w:pPr>
        <w:pStyle w:val="BodyText"/>
        <w:spacing w:after="16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 recoverable amount of Payment Services CGU has been determined based on a value in use calculation using cash flow projections from financial budgets approved by the Board of directors covering a </w:t>
      </w:r>
      <w:bookmarkStart w:name="_c653b6e2_b0a9_4ea2_b1ab_d94c95ab4c1e" w:id="1861"/>
      <w:bookmarkStart w:name="_93f3d29a_3081_41d7_a91d_5ed42a67b2f8" w:id="1862"/>
      <w:r>
        <w:rPr>
          <w:rFonts w:eastAsia="Times New Roman" w:asciiTheme="majorHAnsi" w:hAnsiTheme="majorHAnsi" w:cstheme="majorHAnsi"/>
          <w:lang w:eastAsia="ru-RU"/>
        </w:rPr>
        <w:t>three</w:t>
      </w:r>
      <w:bookmarkEnd w:id="1861"/>
      <w:bookmarkEnd w:id="1862"/>
      <w:r>
        <w:rPr>
          <w:rFonts w:eastAsia="Times New Roman" w:asciiTheme="majorHAnsi" w:hAnsiTheme="majorHAnsi" w:cstheme="majorHAnsi"/>
          <w:lang w:eastAsia="ru-RU"/>
        </w:rPr>
        <w:t xml:space="preserve">-year period (2023-2025) with the compounded annual growth rate of payment volume as </w:t>
      </w:r>
      <w:bookmarkStart w:name="_56aea498_a112_4511_8eb5_185e9444c36b" w:id="1863"/>
      <w:r>
        <w:rPr>
          <w:rFonts w:eastAsia="Times New Roman" w:asciiTheme="majorHAnsi" w:hAnsiTheme="majorHAnsi" w:cstheme="majorHAnsi"/>
          <w:lang w:eastAsia="ru-RU"/>
        </w:rPr>
        <w:t>1.3%</w:t>
      </w:r>
      <w:bookmarkEnd w:id="1863"/>
      <w:r>
        <w:rPr>
          <w:rFonts w:eastAsia="Times New Roman" w:asciiTheme="majorHAnsi" w:hAnsiTheme="majorHAnsi" w:cstheme="majorHAnsi"/>
          <w:lang w:eastAsia="ru-RU"/>
        </w:rPr>
        <w:t xml:space="preserve">. The pre-tax discount rate adjusted to risk specific applied to cash flow projections of Payment Services CGU is </w:t>
      </w:r>
      <w:bookmarkStart w:name="_7baf55bc_fd26_4e39_a3b1_2345d2a23903" w:id="1864"/>
      <w:r>
        <w:rPr>
          <w:rFonts w:eastAsia="Times New Roman" w:asciiTheme="majorHAnsi" w:hAnsiTheme="majorHAnsi" w:cstheme="majorHAnsi"/>
          <w:lang w:eastAsia="ru-RU"/>
        </w:rPr>
        <w:t>21.1%</w:t>
      </w:r>
      <w:bookmarkEnd w:id="1864"/>
      <w:r>
        <w:rPr>
          <w:rFonts w:eastAsia="Times New Roman" w:asciiTheme="majorHAnsi" w:hAnsiTheme="majorHAnsi" w:cstheme="majorHAnsi"/>
          <w:lang w:eastAsia="ru-RU"/>
        </w:rPr>
        <w:t xml:space="preserve">. The growth rate applied to discounted terminal value projection beyond the forecast period is </w:t>
      </w:r>
      <w:bookmarkStart w:name="_6242db8b_6143_4c60_9f10_84c65f171659" w:id="1865"/>
      <w:r>
        <w:rPr>
          <w:rFonts w:eastAsia="Times New Roman" w:asciiTheme="majorHAnsi" w:hAnsiTheme="majorHAnsi" w:cstheme="majorHAnsi"/>
          <w:lang w:eastAsia="ru-RU"/>
        </w:rPr>
        <w:t>4%</w:t>
      </w:r>
      <w:bookmarkEnd w:id="1865"/>
      <w:r>
        <w:rPr>
          <w:rFonts w:eastAsia="Times New Roman" w:asciiTheme="majorHAnsi" w:hAnsiTheme="majorHAnsi" w:cstheme="majorHAnsi"/>
          <w:lang w:eastAsia="ru-RU"/>
        </w:rPr>
        <w:t xml:space="preserve">. </w:t>
      </w:r>
    </w:p>
    <w:p w:rsidR="009534E2" w:rsidRDefault="003369EB">
      <w:pPr>
        <w:pStyle w:val="BodyText"/>
        <w:spacing w:after="160"/>
        <w:rPr>
          <w:rFonts w:eastAsia="Times New Roman" w:asciiTheme="majorHAnsi" w:hAnsiTheme="majorHAnsi" w:cstheme="majorHAnsi"/>
          <w:lang w:eastAsia="ru-RU"/>
        </w:rPr>
      </w:pPr>
      <w:r>
        <w:rPr>
          <w:rFonts w:eastAsia="Times New Roman" w:asciiTheme="majorHAnsi" w:hAnsiTheme="majorHAnsi" w:cstheme="majorHAnsi"/>
          <w:lang w:eastAsia="ru-RU"/>
        </w:rPr>
        <w:t>With regard to the assessment of recoverable amounts of Payment Services CGU, management believes that no reasonably possible change in any of key assumptions would cause the carrying value of the unit to materially exceed its recoverable amount.</w:t>
      </w:r>
    </w:p>
    <w:p w:rsidR="009534E2" w:rsidRDefault="003369EB">
      <w:pPr>
        <w:pStyle w:val="BodyText"/>
        <w:spacing w:after="16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As a result of annual impairment test the Group did </w:t>
      </w:r>
      <w:bookmarkStart w:name="_07937f2b_1423_47af_8751_e4dc3438ced2" w:id="1866"/>
      <w:r>
        <w:rPr>
          <w:rFonts w:eastAsia="Times New Roman" w:asciiTheme="majorHAnsi" w:hAnsiTheme="majorHAnsi" w:cstheme="majorHAnsi"/>
          <w:lang w:eastAsia="ru-RU"/>
        </w:rPr>
        <w:t>not</w:t>
      </w:r>
      <w:bookmarkEnd w:id="1866"/>
      <w:r>
        <w:rPr>
          <w:rFonts w:eastAsia="Times New Roman" w:asciiTheme="majorHAnsi" w:hAnsiTheme="majorHAnsi" w:cstheme="majorHAnsi"/>
          <w:lang w:eastAsia="ru-RU"/>
        </w:rPr>
        <w:t xml:space="preserve"> identify any impairment of Goodwill and intangible assets with indefinite useful life allocated to Payment Services CGU as of December 31, 2022 and as of December 31, 2021. As at December 31, 2020 the recoverable amount of Payment services CGU was determined on the basis of fair value less costs of disposal (Level 1).</w:t>
      </w:r>
    </w:p>
    <w:p w:rsidR="009534E2" w:rsidRDefault="003369EB">
      <w:pPr>
        <w:pStyle w:val="BodyText"/>
        <w:spacing w:after="16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 recoverable amount of Flocktory CGU has been determined based on a value in use calculation using cash flow projections from financial budgets approved by the Board of directors covering a </w:t>
      </w:r>
      <w:bookmarkStart w:name="_40592a44_a9ff_4ad4_b8ec_9bd5e71691e2" w:id="1867"/>
      <w:r>
        <w:rPr>
          <w:rFonts w:eastAsia="Times New Roman" w:asciiTheme="majorHAnsi" w:hAnsiTheme="majorHAnsi" w:cstheme="majorHAnsi"/>
          <w:lang w:eastAsia="ru-RU"/>
        </w:rPr>
        <w:t>three</w:t>
      </w:r>
      <w:bookmarkEnd w:id="1867"/>
      <w:r>
        <w:rPr>
          <w:rFonts w:eastAsia="Times New Roman" w:asciiTheme="majorHAnsi" w:hAnsiTheme="majorHAnsi" w:cstheme="majorHAnsi"/>
          <w:lang w:eastAsia="ru-RU"/>
        </w:rPr>
        <w:t xml:space="preserve">-year period (2023-2025). The pre-tax discount rate adjusted to risk specific applied to cash flow projections of Flocktory CGU is </w:t>
      </w:r>
      <w:bookmarkStart w:name="_a6367c14_98e9_4560_92de_7b93fc136193" w:id="1868"/>
      <w:r>
        <w:rPr>
          <w:rFonts w:eastAsia="Times New Roman" w:asciiTheme="majorHAnsi" w:hAnsiTheme="majorHAnsi" w:cstheme="majorHAnsi"/>
          <w:lang w:eastAsia="ru-RU"/>
        </w:rPr>
        <w:t>23.4%</w:t>
      </w:r>
      <w:bookmarkEnd w:id="1868"/>
      <w:r>
        <w:rPr>
          <w:rFonts w:eastAsia="Times New Roman" w:asciiTheme="majorHAnsi" w:hAnsiTheme="majorHAnsi" w:cstheme="majorHAnsi"/>
          <w:lang w:eastAsia="ru-RU"/>
        </w:rPr>
        <w:t xml:space="preserve">. The growth rate applied to discounted terminal value projection beyond the forecast period is </w:t>
      </w:r>
      <w:bookmarkStart w:name="_5cc6911a_84b1_4787_9960_8552451a1d66" w:id="1869"/>
      <w:r>
        <w:rPr>
          <w:rFonts w:eastAsia="Times New Roman" w:asciiTheme="majorHAnsi" w:hAnsiTheme="majorHAnsi" w:cstheme="majorHAnsi"/>
          <w:lang w:eastAsia="ru-RU"/>
        </w:rPr>
        <w:t>2%</w:t>
      </w:r>
      <w:bookmarkEnd w:id="1869"/>
      <w:r>
        <w:rPr>
          <w:rFonts w:eastAsia="Times New Roman" w:asciiTheme="majorHAnsi" w:hAnsiTheme="majorHAnsi" w:cstheme="majorHAnsi"/>
          <w:lang w:eastAsia="ru-RU"/>
        </w:rPr>
        <w:t>.</w:t>
      </w:r>
    </w:p>
    <w:p w:rsidR="009534E2" w:rsidRDefault="003369EB">
      <w:pPr>
        <w:pStyle w:val="BodyText"/>
        <w:spacing w:after="160"/>
        <w:rPr>
          <w:rFonts w:eastAsia="Times New Roman" w:asciiTheme="majorHAnsi" w:hAnsiTheme="majorHAnsi" w:cstheme="majorHAnsi"/>
          <w:lang w:eastAsia="ru-RU"/>
        </w:rPr>
      </w:pPr>
      <w:r>
        <w:rPr>
          <w:rFonts w:eastAsia="Times New Roman" w:asciiTheme="majorHAnsi" w:hAnsiTheme="majorHAnsi" w:cstheme="majorHAnsi"/>
          <w:lang w:eastAsia="ru-RU"/>
        </w:rPr>
        <w:t>With regard to the assessment of recoverable amounts of Flocktory CGU, management believes that no reasonably possible change in any of key assumptions would cause the carrying value of the unit to materially exceed its recoverable amount.</w:t>
      </w: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BodyText"/>
        <w:keepNext/>
        <w:keepLines/>
        <w:spacing w:after="160"/>
        <w:ind w:left="360" w:hanging="360"/>
        <w:rPr>
          <w:rFonts w:eastAsia="Times New Roman" w:asciiTheme="majorHAnsi" w:hAnsiTheme="majorHAnsi" w:cstheme="majorHAnsi"/>
          <w:b/>
          <w:bCs/>
          <w:lang w:eastAsia="ru-RU"/>
        </w:rPr>
      </w:pPr>
      <w:r>
        <w:rPr>
          <w:rFonts w:asciiTheme="majorHAnsi" w:hAnsiTheme="majorHAnsi" w:cstheme="majorHAnsi"/>
          <w:b/>
          <w:bCs/>
          <w:lang w:eastAsia="ru-RU"/>
        </w:rPr>
        <w:t>11.</w:t>
      </w:r>
      <w:r>
        <w:rPr>
          <w:rFonts w:asciiTheme="majorHAnsi" w:hAnsiTheme="majorHAnsi" w:cstheme="majorHAnsi"/>
          <w:b/>
          <w:bCs/>
          <w:lang w:eastAsia="ru-RU"/>
        </w:rPr>
        <w:tab/>
        <w:t>Impairment testing of goodwill and intangible assets (continued)</w:t>
      </w:r>
    </w:p>
    <w:p w:rsidR="009534E2" w:rsidRDefault="003369EB">
      <w:pPr>
        <w:pStyle w:val="BodyText"/>
        <w:spacing w:after="16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As a result of annual impairment test the Group did </w:t>
      </w:r>
      <w:bookmarkStart w:name="_7f683627_f76a_4080_9e75_40b0016205b4" w:id="1870"/>
      <w:r>
        <w:rPr>
          <w:rFonts w:eastAsia="Times New Roman" w:asciiTheme="majorHAnsi" w:hAnsiTheme="majorHAnsi" w:cstheme="majorHAnsi"/>
          <w:lang w:eastAsia="ru-RU"/>
        </w:rPr>
        <w:t>not</w:t>
      </w:r>
      <w:bookmarkEnd w:id="1870"/>
      <w:r>
        <w:rPr>
          <w:rFonts w:eastAsia="Times New Roman" w:asciiTheme="majorHAnsi" w:hAnsiTheme="majorHAnsi" w:cstheme="majorHAnsi"/>
          <w:lang w:eastAsia="ru-RU"/>
        </w:rPr>
        <w:t xml:space="preserve"> identify any impairment of Goodwill allocated to Flocktory CGU as of </w:t>
      </w:r>
      <w:bookmarkStart w:name="_fb8eae3d_3e1a_43f8_ab9f_577316c89897" w:id="1871"/>
      <w:r>
        <w:rPr>
          <w:rFonts w:eastAsia="Times New Roman" w:asciiTheme="majorHAnsi" w:hAnsiTheme="majorHAnsi" w:cstheme="majorHAnsi"/>
          <w:lang w:eastAsia="ru-RU"/>
        </w:rPr>
        <w:t xml:space="preserve">December 31, </w:t>
      </w:r>
      <w:bookmarkStart w:name="_2940fde0_653b_4a3e_b4cc_cff22f6a26d7" w:id="1872"/>
      <w:r>
        <w:rPr>
          <w:rFonts w:eastAsia="Times New Roman" w:asciiTheme="majorHAnsi" w:hAnsiTheme="majorHAnsi" w:cstheme="majorHAnsi"/>
          <w:lang w:eastAsia="ru-RU"/>
        </w:rPr>
        <w:t>202</w:t>
      </w:r>
      <w:bookmarkEnd w:id="1871"/>
      <w:r>
        <w:rPr>
          <w:rFonts w:eastAsia="Times New Roman" w:asciiTheme="majorHAnsi" w:hAnsiTheme="majorHAnsi" w:cstheme="majorHAnsi"/>
          <w:lang w:eastAsia="ru-RU"/>
        </w:rPr>
        <w:t>2</w:t>
      </w:r>
      <w:bookmarkEnd w:id="1872"/>
      <w:r>
        <w:rPr>
          <w:rFonts w:eastAsia="Times New Roman" w:asciiTheme="majorHAnsi" w:hAnsiTheme="majorHAnsi" w:cstheme="majorHAnsi"/>
          <w:lang w:eastAsia="ru-RU"/>
        </w:rPr>
        <w:t xml:space="preserve"> and as of December 31, 2021.</w:t>
      </w:r>
    </w:p>
    <w:p w:rsidR="009534E2" w:rsidRDefault="003369EB">
      <w:pPr>
        <w:pStyle w:val="BodyText"/>
        <w:spacing w:after="16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It is belived, that goodwill allocated to RealWeb CGU had </w:t>
      </w:r>
      <w:bookmarkStart w:name="_89a3288b_37b6_4d17_bcce_37e670973f0b" w:id="1873"/>
      <w:r>
        <w:rPr>
          <w:rFonts w:eastAsia="Times New Roman" w:asciiTheme="majorHAnsi" w:hAnsiTheme="majorHAnsi" w:cstheme="majorHAnsi"/>
          <w:lang w:eastAsia="ru-RU"/>
        </w:rPr>
        <w:t>no</w:t>
      </w:r>
      <w:bookmarkEnd w:id="1873"/>
      <w:r>
        <w:rPr>
          <w:rFonts w:eastAsia="Times New Roman" w:asciiTheme="majorHAnsi" w:hAnsiTheme="majorHAnsi" w:cstheme="majorHAnsi"/>
          <w:lang w:eastAsia="ru-RU"/>
        </w:rPr>
        <w:t xml:space="preserve"> impairment during the year 2022 as the acquisition was completed close to the year end, so that the carrying amounts of the assets of this CGU approximate their fair values as of December 31, 2022. The fair value of RealWeb CGU as of the acquisition date has been determined based on DCF model using cash flow projections covering a </w:t>
      </w:r>
      <w:bookmarkStart w:name="_beced042_6d15_478a_8dbd_908fd989ba56" w:id="1874"/>
      <w:r>
        <w:rPr>
          <w:rFonts w:eastAsia="Times New Roman" w:asciiTheme="majorHAnsi" w:hAnsiTheme="majorHAnsi" w:cstheme="majorHAnsi"/>
          <w:lang w:eastAsia="ru-RU"/>
        </w:rPr>
        <w:t>three</w:t>
      </w:r>
      <w:bookmarkEnd w:id="1874"/>
      <w:r>
        <w:rPr>
          <w:rFonts w:eastAsia="Times New Roman" w:asciiTheme="majorHAnsi" w:hAnsiTheme="majorHAnsi" w:cstheme="majorHAnsi"/>
          <w:lang w:eastAsia="ru-RU"/>
        </w:rPr>
        <w:t xml:space="preserve">-year period (2023-2025). The discount rate adjusted to specific risks applied to cash flow projections was </w:t>
      </w:r>
      <w:bookmarkStart w:name="_6485cd34_4f08_4bf4_b882_b67acd2c0fef" w:id="1875"/>
      <w:r>
        <w:rPr>
          <w:rFonts w:eastAsia="Times New Roman" w:asciiTheme="majorHAnsi" w:hAnsiTheme="majorHAnsi" w:cstheme="majorHAnsi"/>
          <w:lang w:eastAsia="ru-RU"/>
        </w:rPr>
        <w:t>22%</w:t>
      </w:r>
      <w:bookmarkEnd w:id="1875"/>
      <w:r>
        <w:rPr>
          <w:rFonts w:eastAsia="Times New Roman" w:asciiTheme="majorHAnsi" w:hAnsiTheme="majorHAnsi" w:cstheme="majorHAnsi"/>
          <w:lang w:eastAsia="ru-RU"/>
        </w:rPr>
        <w:t xml:space="preserve">. The growth rate applied to discounted terminal value projection beyond the forecast period was </w:t>
      </w:r>
      <w:bookmarkStart w:name="_015ca1e9_65ff_4f4a_8393_688897df43e0" w:id="1876"/>
      <w:r>
        <w:rPr>
          <w:rFonts w:eastAsia="Times New Roman" w:asciiTheme="majorHAnsi" w:hAnsiTheme="majorHAnsi" w:cstheme="majorHAnsi"/>
          <w:lang w:eastAsia="ru-RU"/>
        </w:rPr>
        <w:t>4%</w:t>
      </w:r>
      <w:bookmarkEnd w:id="1876"/>
      <w:r>
        <w:rPr>
          <w:rFonts w:eastAsia="Times New Roman" w:asciiTheme="majorHAnsi" w:hAnsiTheme="majorHAnsi" w:cstheme="majorHAnsi"/>
          <w:lang w:eastAsia="ru-RU"/>
        </w:rPr>
        <w:t>.</w:t>
      </w:r>
    </w:p>
    <w:p w:rsidR="009534E2" w:rsidRDefault="003369EB">
      <w:pPr>
        <w:pStyle w:val="BodyText"/>
        <w:keepNext/>
        <w:keepLines/>
        <w:rPr>
          <w:rFonts w:asciiTheme="majorHAnsi" w:hAnsiTheme="majorHAnsi" w:eastAsiaTheme="majorEastAsia" w:cstheme="majorHAnsi"/>
          <w:i/>
          <w:szCs w:val="26"/>
          <w:lang w:eastAsia="ru-RU"/>
        </w:rPr>
      </w:pPr>
      <w:r>
        <w:rPr>
          <w:rFonts w:asciiTheme="majorHAnsi" w:hAnsiTheme="majorHAnsi" w:eastAsiaTheme="majorEastAsia" w:cstheme="majorHAnsi"/>
          <w:i/>
          <w:szCs w:val="26"/>
          <w:lang w:eastAsia="ru-RU"/>
        </w:rPr>
        <w:t xml:space="preserve">Other non-current assets </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For the purpose of the impairment test on other non-current assets the Group estimated the recoverable amounts as the higher of value in use or fair value less costs to sell of an individual asset or CGU to which the asset relates.</w:t>
      </w:r>
    </w:p>
    <w:p w:rsidR="009534E2" w:rsidRDefault="003369EB">
      <w:pPr>
        <w:pStyle w:val="BodyT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For the years ended December 31, 2022, December 31, 2021 and December 31, 2020, the Group did not recognize any significant impairment of non-current assets.</w:t>
      </w:r>
    </w:p>
    <w:p w:rsidR="009534E2" w:rsidRDefault="009534E2">
      <w:pPr>
        <w:pStyle w:val="BodyText"/>
        <w:spacing w:after="0"/>
        <w:rPr>
          <w:rFonts w:eastAsia="Times New Roman" w:asciiTheme="majorHAnsi" w:hAnsiTheme="majorHAnsi" w:cstheme="majorHAnsi"/>
          <w:lang w:eastAsia="ru-RU"/>
        </w:rPr>
      </w:pP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bookmarkStart w:name="_db70a033_db2a_4fa6_ad16_7fb36bdeb8e8" w:displacedByCustomXml="next" w:id="1877"/>
    <w:bookmarkEnd w:displacedByCustomXml="next" w:id="1877"/>
    <w:bookmarkStart w:name="_d524321c_b5a3_4d0a_8350_87591d5ccc87" w:displacedByCustomXml="next" w:id="1878"/>
    <w:bookmarkEnd w:displacedByCustomXml="next" w:id="1878"/>
    <w:p w:rsidR="009534E2" w:rsidRDefault="003369EB">
      <w:pPr>
        <w:pStyle w:val="Heading1"/>
        <w:ind w:left="360" w:hanging="360"/>
        <w:rPr>
          <w:lang w:eastAsia="ru-RU"/>
        </w:rPr>
      </w:pPr>
      <w:r>
        <w:rPr>
          <w:lang w:eastAsia="ru-RU"/>
        </w:rPr>
        <w:t>12.</w:t>
      </w:r>
      <w:r>
        <w:rPr>
          <w:lang w:eastAsia="ru-RU"/>
        </w:rPr>
        <w:tab/>
        <w:t>Long-term and short-term loans issued</w:t>
      </w:r>
    </w:p>
    <w:p w:rsidR="009534E2" w:rsidRDefault="003369EB">
      <w:pPr>
        <w:pStyle w:val="BodyText"/>
        <w:keepNext/>
        <w:spacing w:after="0"/>
        <w:rPr>
          <w:rFonts w:eastAsia="Times New Roman" w:asciiTheme="majorHAnsi" w:hAnsiTheme="majorHAnsi" w:cstheme="majorHAnsi"/>
        </w:rPr>
      </w:pPr>
      <w:bookmarkStart w:name="_76acbf81_8e5d_467f_98c1_3c67ae9d7c3c" w:id="1879"/>
      <w:bookmarkStart w:name="_05b3dd1b_37b1_4460_9947_d12753352029" w:id="1880"/>
      <w:bookmarkStart w:name="_168d9269_c9a1_4c3e_8bfa_148fe220a3f6" w:id="1881"/>
      <w:r>
        <w:rPr>
          <w:rFonts w:eastAsia="Times New Roman" w:asciiTheme="majorHAnsi" w:hAnsiTheme="majorHAnsi" w:cstheme="majorHAnsi"/>
        </w:rPr>
        <w:t xml:space="preserve">As of </w:t>
      </w:r>
      <w:r>
        <w:rPr>
          <w:rFonts w:eastAsia="Times New Roman" w:asciiTheme="majorHAnsi" w:hAnsiTheme="majorHAnsi" w:cstheme="majorHAnsi"/>
          <w:lang w:eastAsia="ru-RU"/>
        </w:rPr>
        <w:t>December 31</w:t>
      </w:r>
      <w:r>
        <w:rPr>
          <w:rFonts w:eastAsia="Times New Roman" w:asciiTheme="majorHAnsi" w:hAnsiTheme="majorHAnsi" w:cstheme="majorHAnsi"/>
        </w:rPr>
        <w:t>, 2022, long-term and short-term loans issued consisted of the following:</w:t>
      </w:r>
    </w:p>
    <w:p w:rsidR="009534E2" w:rsidRDefault="009534E2">
      <w:pPr>
        <w:pStyle w:val="BodyText"/>
        <w:keepNext/>
        <w:spacing w:after="0"/>
        <w:rPr>
          <w:rFonts w:eastAsia="Times New Roman" w:asciiTheme="majorHAnsi" w:hAnsiTheme="majorHAnsi" w:cstheme="majorHAnsi"/>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012"/>
        <w:gridCol w:w="216"/>
        <w:gridCol w:w="1037"/>
        <w:gridCol w:w="216"/>
        <w:gridCol w:w="1071"/>
        <w:gridCol w:w="216"/>
        <w:gridCol w:w="1032"/>
      </w:tblGrid>
      <w:tr w:rsidR="009534E2">
        <w:trPr>
          <w:trHeight w:val="20" w:hRule="exact"/>
          <w:jc w:val="center"/>
        </w:trPr>
        <w:tc>
          <w:tcPr>
            <w:tcW w:w="3246" w:type="pct"/>
            <w:tcBorders>
              <w:top w:val="nil"/>
              <w:left w:val="nil"/>
              <w:bottom w:val="nil"/>
              <w:right w:val="nil"/>
            </w:tcBorders>
            <w:vAlign w:val="bottom"/>
          </w:tcPr>
          <w:p w:rsidR="009534E2" w:rsidRDefault="009534E2">
            <w:pPr>
              <w:keepNext/>
              <w:rPr>
                <w:sz w:val="2"/>
              </w:rPr>
            </w:pPr>
            <w:bookmarkStart w:name="_64ecca78_b808_4497_badc_47fcb48eb532" w:id="1882"/>
            <w:bookmarkStart w:name="_4127f29b_cfd9_45f9_bd37_3093356112c8" w:colFirst="0" w:colLast="0" w:id="1883"/>
            <w:bookmarkStart w:name="_731323ae_afb0_4a97_91b6_cea6c085f629" w:colFirst="1" w:colLast="1" w:id="1884"/>
            <w:bookmarkStart w:name="_8512d1eb_0396_45ef_be0e_301d17eb5435" w:colFirst="2" w:colLast="2" w:id="1885"/>
            <w:bookmarkStart w:name="_8848740c_943c_42a0_94a8_746e0bedb62e" w:colFirst="3" w:colLast="3" w:id="1886"/>
            <w:bookmarkStart w:name="_41db73f4_d97b_42d0_938f_e8d2e59f91db" w:colFirst="4" w:colLast="4" w:id="1887"/>
            <w:bookmarkStart w:name="_abf67d2a_2084_40c6_b395_791c9f7875cc" w:colFirst="5" w:colLast="5" w:id="1888"/>
            <w:bookmarkStart w:name="_90437b66_8dbd_48be_81ce_f9afef1bdaf0" w:colFirst="6" w:colLast="6" w:id="1889"/>
            <w:bookmarkStart w:name="_60461455_0536_42f7_bca3_9e81eb3f7814" w:id="1890"/>
            <w:bookmarkEnd w:id="1882"/>
          </w:p>
        </w:tc>
        <w:tc>
          <w:tcPr>
            <w:tcW w:w="100" w:type="pct"/>
            <w:tcBorders>
              <w:top w:val="nil"/>
              <w:left w:val="nil"/>
              <w:bottom w:val="nil"/>
              <w:right w:val="nil"/>
            </w:tcBorders>
            <w:noWrap/>
            <w:vAlign w:val="bottom"/>
          </w:tcPr>
          <w:p w:rsidR="009534E2" w:rsidRDefault="009534E2">
            <w:pPr>
              <w:keepNext/>
              <w:rPr>
                <w:sz w:val="2"/>
              </w:rPr>
            </w:pPr>
          </w:p>
        </w:tc>
        <w:tc>
          <w:tcPr>
            <w:tcW w:w="480" w:type="pct"/>
            <w:tcBorders>
              <w:top w:val="nil"/>
              <w:left w:val="nil"/>
              <w:bottom w:val="nil"/>
              <w:right w:val="nil"/>
            </w:tcBorders>
            <w:noWrap/>
            <w:vAlign w:val="bottom"/>
          </w:tcPr>
          <w:p w:rsidR="009534E2" w:rsidRDefault="009534E2">
            <w:pPr>
              <w:keepNext/>
              <w:rPr>
                <w:sz w:val="2"/>
              </w:rPr>
            </w:pPr>
          </w:p>
        </w:tc>
        <w:tc>
          <w:tcPr>
            <w:tcW w:w="100" w:type="pct"/>
            <w:tcBorders>
              <w:top w:val="nil"/>
              <w:left w:val="nil"/>
              <w:bottom w:val="nil"/>
              <w:right w:val="nil"/>
            </w:tcBorders>
            <w:noWrap/>
            <w:vAlign w:val="bottom"/>
          </w:tcPr>
          <w:p w:rsidR="009534E2" w:rsidRDefault="009534E2">
            <w:pPr>
              <w:keepNext/>
              <w:rPr>
                <w:sz w:val="2"/>
              </w:rPr>
            </w:pPr>
          </w:p>
        </w:tc>
        <w:tc>
          <w:tcPr>
            <w:tcW w:w="496" w:type="pct"/>
            <w:tcBorders>
              <w:top w:val="nil"/>
              <w:left w:val="nil"/>
              <w:bottom w:val="nil"/>
              <w:right w:val="nil"/>
            </w:tcBorders>
            <w:noWrap/>
            <w:vAlign w:val="bottom"/>
          </w:tcPr>
          <w:p w:rsidR="009534E2" w:rsidRDefault="009534E2">
            <w:pPr>
              <w:keepNext/>
              <w:rPr>
                <w:sz w:val="2"/>
              </w:rPr>
            </w:pPr>
          </w:p>
        </w:tc>
        <w:tc>
          <w:tcPr>
            <w:tcW w:w="100" w:type="pct"/>
            <w:tcBorders>
              <w:top w:val="nil"/>
              <w:left w:val="nil"/>
              <w:bottom w:val="nil"/>
              <w:right w:val="nil"/>
            </w:tcBorders>
            <w:noWrap/>
            <w:vAlign w:val="bottom"/>
          </w:tcPr>
          <w:p w:rsidR="009534E2" w:rsidRDefault="009534E2">
            <w:pPr>
              <w:keepNext/>
              <w:rPr>
                <w:sz w:val="2"/>
              </w:rPr>
            </w:pPr>
          </w:p>
        </w:tc>
        <w:tc>
          <w:tcPr>
            <w:tcW w:w="478" w:type="pct"/>
            <w:tcBorders>
              <w:top w:val="nil"/>
              <w:left w:val="nil"/>
              <w:bottom w:val="nil"/>
              <w:right w:val="nil"/>
            </w:tcBorders>
            <w:noWrap/>
            <w:vAlign w:val="bottom"/>
          </w:tcPr>
          <w:p w:rsidR="009534E2" w:rsidRDefault="009534E2">
            <w:pPr>
              <w:keepNext/>
              <w:rPr>
                <w:sz w:val="2"/>
              </w:rPr>
            </w:pPr>
          </w:p>
        </w:tc>
      </w:tr>
      <w:tr w:rsidR="009534E2">
        <w:trPr>
          <w:jc w:val="center"/>
        </w:trPr>
        <w:tc>
          <w:tcPr>
            <w:tcW w:w="3246" w:type="pct"/>
            <w:tcBorders>
              <w:top w:val="nil"/>
              <w:left w:val="nil"/>
              <w:bottom w:val="nil"/>
              <w:right w:val="nil"/>
              <w:tl2br w:val="nil"/>
              <w:tr2bl w:val="nil"/>
            </w:tcBorders>
            <w:shd w:val="clear" w:color="auto" w:fill="auto"/>
            <w:vAlign w:val="bottom"/>
          </w:tcPr>
          <w:p w:rsidR="009534E2" w:rsidRDefault="009534E2">
            <w:pPr>
              <w:keepNext/>
              <w:rPr>
                <w:color w:val="000000"/>
                <w:sz w:val="16"/>
              </w:rPr>
            </w:pPr>
            <w:bookmarkStart w:name="_2009b098_6f19_407f_9568_3b64cefa6bbe" w:id="1891"/>
            <w:bookmarkEnd w:id="1883"/>
            <w:bookmarkEnd w:id="1884"/>
            <w:bookmarkEnd w:id="1885"/>
            <w:bookmarkEnd w:id="1886"/>
            <w:bookmarkEnd w:id="1887"/>
            <w:bookmarkEnd w:id="1888"/>
            <w:bookmarkEnd w:id="1889"/>
          </w:p>
        </w:tc>
        <w:tc>
          <w:tcPr>
            <w:tcW w:w="100"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80"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Total as of</w:t>
            </w:r>
          </w:p>
        </w:tc>
        <w:tc>
          <w:tcPr>
            <w:tcW w:w="100"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96" w:type="pct"/>
            <w:tcBorders>
              <w:top w:val="nil"/>
              <w:left w:val="nil"/>
              <w:bottom w:val="nil"/>
              <w:right w:val="nil"/>
              <w:tl2br w:val="nil"/>
              <w:tr2bl w:val="nil"/>
            </w:tcBorders>
            <w:shd w:val="clear" w:color="auto" w:fill="auto"/>
            <w:noWrap/>
            <w:vAlign w:val="bottom"/>
          </w:tcPr>
          <w:p w:rsidR="009534E2" w:rsidRDefault="009534E2">
            <w:pPr>
              <w:keepNext/>
              <w:jc w:val="center"/>
              <w:rPr>
                <w:b/>
                <w:color w:val="000000"/>
                <w:sz w:val="16"/>
              </w:rPr>
            </w:pPr>
          </w:p>
        </w:tc>
        <w:tc>
          <w:tcPr>
            <w:tcW w:w="100"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78"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Net as of</w:t>
            </w:r>
          </w:p>
        </w:tc>
      </w:tr>
      <w:tr w:rsidR="009534E2">
        <w:trPr>
          <w:jc w:val="center"/>
        </w:trPr>
        <w:tc>
          <w:tcPr>
            <w:tcW w:w="3246" w:type="pct"/>
            <w:tcBorders>
              <w:top w:val="nil"/>
              <w:left w:val="nil"/>
              <w:bottom w:val="nil"/>
              <w:right w:val="nil"/>
              <w:tl2br w:val="nil"/>
              <w:tr2bl w:val="nil"/>
            </w:tcBorders>
            <w:shd w:val="clear" w:color="auto" w:fill="auto"/>
            <w:vAlign w:val="bottom"/>
          </w:tcPr>
          <w:p w:rsidR="009534E2" w:rsidRDefault="009534E2">
            <w:pPr>
              <w:keepNext/>
              <w:rPr>
                <w:color w:val="000000"/>
                <w:sz w:val="16"/>
              </w:rPr>
            </w:pPr>
            <w:bookmarkStart w:name="_ae82e88b_9aee_4b7c_8f23_5d064b912a39" w:id="1892"/>
            <w:bookmarkEnd w:id="1891"/>
          </w:p>
        </w:tc>
        <w:tc>
          <w:tcPr>
            <w:tcW w:w="100" w:type="pct"/>
            <w:tcBorders>
              <w:top w:val="nil"/>
              <w:left w:val="nil"/>
              <w:bottom w:val="nil"/>
              <w:right w:val="nil"/>
              <w:tl2br w:val="nil"/>
              <w:tr2bl w:val="nil"/>
            </w:tcBorders>
            <w:shd w:val="clear" w:color="auto" w:fill="auto"/>
            <w:noWrap/>
            <w:vAlign w:val="bottom"/>
          </w:tcPr>
          <w:p w:rsidR="009534E2" w:rsidRDefault="009534E2">
            <w:pPr>
              <w:keepNext/>
              <w:rPr>
                <w:b/>
                <w:color w:val="000000"/>
                <w:sz w:val="16"/>
              </w:rPr>
            </w:pPr>
          </w:p>
        </w:tc>
        <w:tc>
          <w:tcPr>
            <w:tcW w:w="480"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December 31, </w:t>
            </w:r>
          </w:p>
        </w:tc>
        <w:tc>
          <w:tcPr>
            <w:tcW w:w="100" w:type="pct"/>
            <w:tcBorders>
              <w:top w:val="nil"/>
              <w:left w:val="nil"/>
              <w:bottom w:val="nil"/>
              <w:right w:val="nil"/>
              <w:tl2br w:val="nil"/>
              <w:tr2bl w:val="nil"/>
            </w:tcBorders>
            <w:shd w:val="clear" w:color="auto" w:fill="auto"/>
            <w:noWrap/>
            <w:vAlign w:val="bottom"/>
          </w:tcPr>
          <w:p w:rsidR="009534E2" w:rsidRDefault="009534E2">
            <w:pPr>
              <w:keepNext/>
              <w:rPr>
                <w:b/>
                <w:color w:val="000000"/>
                <w:sz w:val="16"/>
              </w:rPr>
            </w:pPr>
          </w:p>
        </w:tc>
        <w:tc>
          <w:tcPr>
            <w:tcW w:w="496"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 xml:space="preserve">Expected credit </w:t>
            </w:r>
          </w:p>
        </w:tc>
        <w:tc>
          <w:tcPr>
            <w:tcW w:w="100" w:type="pct"/>
            <w:tcBorders>
              <w:top w:val="nil"/>
              <w:left w:val="nil"/>
              <w:bottom w:val="nil"/>
              <w:right w:val="nil"/>
              <w:tl2br w:val="nil"/>
              <w:tr2bl w:val="nil"/>
            </w:tcBorders>
            <w:shd w:val="clear" w:color="auto" w:fill="auto"/>
            <w:noWrap/>
            <w:vAlign w:val="bottom"/>
          </w:tcPr>
          <w:p w:rsidR="009534E2" w:rsidRDefault="009534E2">
            <w:pPr>
              <w:keepNext/>
              <w:rPr>
                <w:b/>
                <w:color w:val="000000"/>
                <w:sz w:val="16"/>
              </w:rPr>
            </w:pPr>
          </w:p>
        </w:tc>
        <w:tc>
          <w:tcPr>
            <w:tcW w:w="478"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December 31, </w:t>
            </w:r>
          </w:p>
        </w:tc>
      </w:tr>
      <w:tr w:rsidR="009534E2">
        <w:trPr>
          <w:jc w:val="center"/>
        </w:trPr>
        <w:tc>
          <w:tcPr>
            <w:tcW w:w="3246" w:type="pct"/>
            <w:tcBorders>
              <w:top w:val="nil"/>
              <w:left w:val="nil"/>
              <w:bottom w:val="nil"/>
              <w:right w:val="nil"/>
              <w:tl2br w:val="nil"/>
              <w:tr2bl w:val="nil"/>
            </w:tcBorders>
            <w:shd w:val="clear" w:color="auto" w:fill="auto"/>
            <w:vAlign w:val="bottom"/>
          </w:tcPr>
          <w:p w:rsidR="009534E2" w:rsidRDefault="009534E2">
            <w:pPr>
              <w:keepNext/>
              <w:rPr>
                <w:color w:val="000000"/>
                <w:sz w:val="16"/>
              </w:rPr>
            </w:pPr>
            <w:bookmarkStart w:name="_2fe519bf_c7ab_42d4_8943_31bcd4131a5c" w:id="1893"/>
            <w:bookmarkEnd w:id="1892"/>
          </w:p>
        </w:tc>
        <w:tc>
          <w:tcPr>
            <w:tcW w:w="100"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80"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2022</w:t>
            </w:r>
          </w:p>
        </w:tc>
        <w:tc>
          <w:tcPr>
            <w:tcW w:w="100"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96"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loss allowance</w:t>
            </w:r>
          </w:p>
        </w:tc>
        <w:tc>
          <w:tcPr>
            <w:tcW w:w="100"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78"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2022</w:t>
            </w:r>
          </w:p>
        </w:tc>
      </w:tr>
      <w:tr w:rsidR="009534E2">
        <w:trPr>
          <w:jc w:val="center"/>
        </w:trPr>
        <w:tc>
          <w:tcPr>
            <w:tcW w:w="3246" w:type="pct"/>
            <w:tcBorders>
              <w:top w:val="nil"/>
              <w:left w:val="nil"/>
              <w:bottom w:val="nil"/>
              <w:right w:val="nil"/>
              <w:tl2br w:val="nil"/>
              <w:tr2bl w:val="nil"/>
            </w:tcBorders>
            <w:shd w:val="clear" w:color="auto" w:fill="CCEEFF"/>
            <w:vAlign w:val="bottom"/>
          </w:tcPr>
          <w:p w:rsidR="009534E2" w:rsidRDefault="003369EB">
            <w:pPr>
              <w:keepNext/>
              <w:rPr>
                <w:b/>
                <w:color w:val="000000"/>
              </w:rPr>
            </w:pPr>
            <w:bookmarkStart w:name="_26cdceb0_efb2_49a3_b778_c2b268da1887" w:id="1894"/>
            <w:bookmarkEnd w:id="1893"/>
            <w:r>
              <w:rPr>
                <w:rFonts w:ascii="Times New Roman" w:hAnsi="Times New Roman" w:eastAsia="Times New Roman" w:cs="Times New Roman"/>
                <w:b/>
                <w:color w:val="000000"/>
              </w:rPr>
              <w:t>Long-term loans</w:t>
            </w:r>
          </w:p>
        </w:tc>
        <w:tc>
          <w:tcPr>
            <w:tcW w:w="100"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480"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100"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496"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c>
          <w:tcPr>
            <w:tcW w:w="100"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478" w:type="pct"/>
            <w:tcBorders>
              <w:top w:val="nil"/>
              <w:left w:val="nil"/>
              <w:bottom w:val="nil"/>
              <w:right w:val="nil"/>
              <w:tl2br w:val="nil"/>
              <w:tr2bl w:val="nil"/>
            </w:tcBorders>
            <w:shd w:val="clear" w:color="auto" w:fill="CCEEFF"/>
            <w:noWrap/>
            <w:vAlign w:val="bottom"/>
          </w:tcPr>
          <w:p w:rsidR="009534E2" w:rsidRDefault="003369EB">
            <w:pPr>
              <w:keepNext/>
              <w:jc w:val="center"/>
              <w:rPr>
                <w:color w:val="000000"/>
              </w:rPr>
            </w:pPr>
            <w:r>
              <w:rPr>
                <w:rFonts w:ascii="Times New Roman" w:hAnsi="Times New Roman" w:eastAsia="Times New Roman" w:cs="Times New Roman"/>
                <w:color w:val="000000"/>
              </w:rPr>
              <w:t>  </w:t>
            </w:r>
          </w:p>
        </w:tc>
      </w:tr>
      <w:tr w:rsidR="009534E2">
        <w:trPr>
          <w:jc w:val="center"/>
        </w:trPr>
        <w:tc>
          <w:tcPr>
            <w:tcW w:w="3246" w:type="pct"/>
            <w:tcBorders>
              <w:top w:val="nil"/>
              <w:left w:val="nil"/>
              <w:bottom w:val="nil"/>
              <w:right w:val="nil"/>
              <w:tl2br w:val="nil"/>
              <w:tr2bl w:val="nil"/>
            </w:tcBorders>
            <w:vAlign w:val="bottom"/>
          </w:tcPr>
          <w:p w:rsidR="009534E2" w:rsidRDefault="003369EB">
            <w:pPr>
              <w:keepNext/>
              <w:ind w:left="120"/>
              <w:rPr>
                <w:color w:val="000000"/>
              </w:rPr>
            </w:pPr>
            <w:bookmarkStart w:name="_962f1549_2ff7_4c33_aa00_799c359331be" w:id="1895"/>
            <w:bookmarkEnd w:id="1894"/>
            <w:r>
              <w:rPr>
                <w:rFonts w:ascii="Times New Roman" w:hAnsi="Times New Roman" w:eastAsia="Times New Roman" w:cs="Times New Roman"/>
                <w:color w:val="000000"/>
              </w:rPr>
              <w:t>Loans to legal entities, including SME</w:t>
            </w:r>
          </w:p>
        </w:tc>
        <w:tc>
          <w:tcPr>
            <w:tcW w:w="100"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80"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871</w:t>
            </w:r>
          </w:p>
        </w:tc>
        <w:tc>
          <w:tcPr>
            <w:tcW w:w="100"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96" w:type="pct"/>
            <w:tcBorders>
              <w:top w:val="nil"/>
              <w:left w:val="nil"/>
              <w:bottom w:val="single" w:color="000000" w:sz="4" w:space="0"/>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(28)</w:t>
            </w:r>
          </w:p>
        </w:tc>
        <w:tc>
          <w:tcPr>
            <w:tcW w:w="100"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78"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843</w:t>
            </w:r>
          </w:p>
        </w:tc>
      </w:tr>
      <w:tr w:rsidR="009534E2">
        <w:trPr>
          <w:jc w:val="center"/>
        </w:trPr>
        <w:tc>
          <w:tcPr>
            <w:tcW w:w="3246" w:type="pct"/>
            <w:tcBorders>
              <w:top w:val="nil"/>
              <w:left w:val="nil"/>
              <w:bottom w:val="nil"/>
              <w:right w:val="nil"/>
              <w:tl2br w:val="nil"/>
              <w:tr2bl w:val="nil"/>
            </w:tcBorders>
            <w:shd w:val="clear" w:color="auto" w:fill="CCEEFF"/>
            <w:vAlign w:val="bottom"/>
          </w:tcPr>
          <w:p w:rsidR="009534E2" w:rsidRDefault="003369EB">
            <w:pPr>
              <w:keepNext/>
              <w:rPr>
                <w:b/>
                <w:color w:val="000000"/>
              </w:rPr>
            </w:pPr>
            <w:bookmarkStart w:name="_3bceec0e_538b_47af_b8ad_42caaa28c638" w:id="1896"/>
            <w:bookmarkEnd w:id="1895"/>
            <w:r>
              <w:rPr>
                <w:rFonts w:ascii="Times New Roman" w:hAnsi="Times New Roman" w:eastAsia="Times New Roman" w:cs="Times New Roman"/>
                <w:b/>
                <w:color w:val="000000"/>
              </w:rPr>
              <w:t>Total long-term loans</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480"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871</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496"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b/>
                <w:color w:val="000000"/>
              </w:rPr>
            </w:pPr>
            <w:r>
              <w:rPr>
                <w:rFonts w:ascii="Times New Roman" w:hAnsi="Times New Roman" w:eastAsia="Times New Roman" w:cs="Times New Roman"/>
                <w:b/>
                <w:color w:val="000000"/>
              </w:rPr>
              <w:t xml:space="preserve"> (28)</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478"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843</w:t>
            </w:r>
          </w:p>
        </w:tc>
      </w:tr>
      <w:tr w:rsidR="009534E2">
        <w:trPr>
          <w:jc w:val="center"/>
        </w:trPr>
        <w:tc>
          <w:tcPr>
            <w:tcW w:w="3246" w:type="pct"/>
            <w:tcBorders>
              <w:top w:val="nil"/>
              <w:left w:val="nil"/>
              <w:bottom w:val="nil"/>
              <w:right w:val="nil"/>
              <w:tl2br w:val="nil"/>
              <w:tr2bl w:val="nil"/>
            </w:tcBorders>
            <w:vAlign w:val="bottom"/>
          </w:tcPr>
          <w:p w:rsidR="009534E2" w:rsidRDefault="003369EB">
            <w:pPr>
              <w:keepNext/>
              <w:rPr>
                <w:b/>
                <w:color w:val="000000"/>
              </w:rPr>
            </w:pPr>
            <w:bookmarkStart w:name="_f6f82fc5_2455_4ded_848e_b651235464b7" w:id="1897"/>
            <w:bookmarkEnd w:id="1896"/>
            <w:r>
              <w:rPr>
                <w:rFonts w:ascii="Times New Roman" w:hAnsi="Times New Roman" w:eastAsia="Times New Roman" w:cs="Times New Roman"/>
                <w:b/>
                <w:color w:val="000000"/>
              </w:rPr>
              <w:t>Short-term loans</w:t>
            </w:r>
          </w:p>
        </w:tc>
        <w:tc>
          <w:tcPr>
            <w:tcW w:w="100"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80" w:type="pct"/>
            <w:tcBorders>
              <w:top w:val="nil"/>
              <w:left w:val="nil"/>
              <w:bottom w:val="nil"/>
              <w:right w:val="nil"/>
              <w:tl2br w:val="nil"/>
              <w:tr2bl w:val="nil"/>
            </w:tcBorders>
            <w:noWrap/>
            <w:vAlign w:val="bottom"/>
          </w:tcPr>
          <w:p w:rsidR="009534E2" w:rsidRDefault="009534E2">
            <w:pPr>
              <w:keepNext/>
              <w:jc w:val="right"/>
              <w:rPr>
                <w:color w:val="000000"/>
              </w:rPr>
            </w:pPr>
          </w:p>
        </w:tc>
        <w:tc>
          <w:tcPr>
            <w:tcW w:w="100"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96" w:type="pct"/>
            <w:tcBorders>
              <w:top w:val="nil"/>
              <w:left w:val="nil"/>
              <w:bottom w:val="nil"/>
              <w:right w:val="nil"/>
              <w:tl2br w:val="nil"/>
              <w:tr2bl w:val="nil"/>
            </w:tcBorders>
            <w:noWrap/>
            <w:vAlign w:val="bottom"/>
          </w:tcPr>
          <w:p w:rsidR="009534E2" w:rsidRDefault="009534E2">
            <w:pPr>
              <w:keepNext/>
              <w:jc w:val="right"/>
              <w:rPr>
                <w:color w:val="000000"/>
              </w:rPr>
            </w:pPr>
          </w:p>
        </w:tc>
        <w:tc>
          <w:tcPr>
            <w:tcW w:w="100"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78" w:type="pct"/>
            <w:tcBorders>
              <w:top w:val="nil"/>
              <w:left w:val="nil"/>
              <w:bottom w:val="nil"/>
              <w:right w:val="nil"/>
              <w:tl2br w:val="nil"/>
              <w:tr2bl w:val="nil"/>
            </w:tcBorders>
            <w:noWrap/>
            <w:vAlign w:val="bottom"/>
          </w:tcPr>
          <w:p w:rsidR="009534E2" w:rsidRDefault="009534E2">
            <w:pPr>
              <w:keepNext/>
              <w:jc w:val="right"/>
              <w:rPr>
                <w:color w:val="000000"/>
              </w:rPr>
            </w:pPr>
          </w:p>
        </w:tc>
      </w:tr>
      <w:tr w:rsidR="009534E2">
        <w:trPr>
          <w:jc w:val="center"/>
        </w:trPr>
        <w:tc>
          <w:tcPr>
            <w:tcW w:w="3246" w:type="pct"/>
            <w:tcBorders>
              <w:top w:val="nil"/>
              <w:left w:val="nil"/>
              <w:bottom w:val="nil"/>
              <w:right w:val="nil"/>
              <w:tl2br w:val="nil"/>
              <w:tr2bl w:val="nil"/>
            </w:tcBorders>
            <w:shd w:val="clear" w:color="auto" w:fill="CCEEFF"/>
            <w:vAlign w:val="bottom"/>
          </w:tcPr>
          <w:p w:rsidR="009534E2" w:rsidRDefault="003369EB">
            <w:pPr>
              <w:keepNext/>
              <w:ind w:left="120"/>
              <w:rPr>
                <w:color w:val="000000"/>
              </w:rPr>
            </w:pPr>
            <w:bookmarkStart w:name="_408aa059_c68c_47ff_bde0_2d5db4999b40" w:id="1898"/>
            <w:bookmarkEnd w:id="1897"/>
            <w:r>
              <w:rPr>
                <w:rFonts w:ascii="Times New Roman" w:hAnsi="Times New Roman" w:eastAsia="Times New Roman" w:cs="Times New Roman"/>
                <w:color w:val="000000"/>
              </w:rPr>
              <w:t>Factoring loans</w:t>
            </w:r>
          </w:p>
        </w:tc>
        <w:tc>
          <w:tcPr>
            <w:tcW w:w="100"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480"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12,668</w:t>
            </w:r>
          </w:p>
        </w:tc>
        <w:tc>
          <w:tcPr>
            <w:tcW w:w="100"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496"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(100)</w:t>
            </w:r>
          </w:p>
        </w:tc>
        <w:tc>
          <w:tcPr>
            <w:tcW w:w="100"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478"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12,568</w:t>
            </w:r>
          </w:p>
        </w:tc>
      </w:tr>
      <w:tr w:rsidR="009534E2">
        <w:trPr>
          <w:jc w:val="center"/>
        </w:trPr>
        <w:tc>
          <w:tcPr>
            <w:tcW w:w="3246" w:type="pct"/>
            <w:tcBorders>
              <w:top w:val="nil"/>
              <w:left w:val="nil"/>
              <w:bottom w:val="nil"/>
              <w:right w:val="nil"/>
              <w:tl2br w:val="nil"/>
              <w:tr2bl w:val="nil"/>
            </w:tcBorders>
            <w:vAlign w:val="bottom"/>
          </w:tcPr>
          <w:p w:rsidR="009534E2" w:rsidRDefault="003369EB">
            <w:pPr>
              <w:keepNext/>
              <w:ind w:left="120"/>
              <w:rPr>
                <w:color w:val="000000"/>
              </w:rPr>
            </w:pPr>
            <w:bookmarkStart w:name="_360b6963_f7f8_44de_a9d6_78b5a99921ae" w:id="1899"/>
            <w:bookmarkEnd w:id="1898"/>
            <w:r>
              <w:rPr>
                <w:rFonts w:ascii="Times New Roman" w:hAnsi="Times New Roman" w:eastAsia="Times New Roman" w:cs="Times New Roman"/>
                <w:color w:val="000000"/>
              </w:rPr>
              <w:t xml:space="preserve"> Loans to legal entities, including SME</w:t>
            </w:r>
          </w:p>
        </w:tc>
        <w:tc>
          <w:tcPr>
            <w:tcW w:w="100"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80"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1,840</w:t>
            </w:r>
          </w:p>
        </w:tc>
        <w:tc>
          <w:tcPr>
            <w:tcW w:w="100"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96"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(254)</w:t>
            </w:r>
          </w:p>
        </w:tc>
        <w:tc>
          <w:tcPr>
            <w:tcW w:w="100"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78"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1,586</w:t>
            </w:r>
          </w:p>
        </w:tc>
      </w:tr>
      <w:tr w:rsidR="009534E2">
        <w:trPr>
          <w:jc w:val="center"/>
        </w:trPr>
        <w:tc>
          <w:tcPr>
            <w:tcW w:w="3246" w:type="pct"/>
            <w:tcBorders>
              <w:top w:val="nil"/>
              <w:left w:val="nil"/>
              <w:bottom w:val="nil"/>
              <w:right w:val="nil"/>
              <w:tl2br w:val="nil"/>
              <w:tr2bl w:val="nil"/>
            </w:tcBorders>
            <w:shd w:val="clear" w:color="auto" w:fill="CCEEFF"/>
            <w:vAlign w:val="bottom"/>
          </w:tcPr>
          <w:p w:rsidR="009534E2" w:rsidRDefault="003369EB">
            <w:pPr>
              <w:keepNext/>
              <w:ind w:left="120"/>
              <w:rPr>
                <w:color w:val="000000"/>
              </w:rPr>
            </w:pPr>
            <w:bookmarkStart w:name="_197499e7_f666_4fd6_add8_4c75b6791685" w:id="1900"/>
            <w:bookmarkEnd w:id="1899"/>
            <w:r>
              <w:rPr>
                <w:rFonts w:ascii="Times New Roman" w:hAnsi="Times New Roman" w:eastAsia="Times New Roman" w:cs="Times New Roman"/>
                <w:color w:val="000000"/>
              </w:rPr>
              <w:t xml:space="preserve"> Loans to individuals</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80"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85</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96"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(39)</w:t>
            </w:r>
          </w:p>
        </w:tc>
        <w:tc>
          <w:tcPr>
            <w:tcW w:w="100"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78"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46</w:t>
            </w:r>
          </w:p>
        </w:tc>
      </w:tr>
      <w:tr w:rsidR="009534E2">
        <w:trPr>
          <w:jc w:val="center"/>
        </w:trPr>
        <w:tc>
          <w:tcPr>
            <w:tcW w:w="3246" w:type="pct"/>
            <w:tcBorders>
              <w:top w:val="nil"/>
              <w:left w:val="nil"/>
              <w:bottom w:val="nil"/>
              <w:right w:val="nil"/>
              <w:tl2br w:val="nil"/>
              <w:tr2bl w:val="nil"/>
            </w:tcBorders>
            <w:vAlign w:val="bottom"/>
          </w:tcPr>
          <w:p w:rsidR="009534E2" w:rsidRDefault="003369EB">
            <w:pPr>
              <w:keepNext/>
              <w:rPr>
                <w:b/>
                <w:color w:val="000000"/>
              </w:rPr>
            </w:pPr>
            <w:bookmarkStart w:name="_24a11a86_9810_43b9_acdb_a54c2d186176" w:id="1901"/>
            <w:bookmarkEnd w:id="1900"/>
            <w:r>
              <w:rPr>
                <w:rFonts w:ascii="Times New Roman" w:hAnsi="Times New Roman" w:eastAsia="Times New Roman" w:cs="Times New Roman"/>
                <w:b/>
                <w:color w:val="000000"/>
              </w:rPr>
              <w:t>Total short-term loans</w:t>
            </w:r>
          </w:p>
        </w:tc>
        <w:tc>
          <w:tcPr>
            <w:tcW w:w="100"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480" w:type="pct"/>
            <w:tcBorders>
              <w:top w:val="nil"/>
              <w:left w:val="nil"/>
              <w:bottom w:val="double" w:color="000000" w:sz="4" w:space="0"/>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14,593</w:t>
            </w:r>
          </w:p>
        </w:tc>
        <w:tc>
          <w:tcPr>
            <w:tcW w:w="100"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496" w:type="pct"/>
            <w:tcBorders>
              <w:top w:val="nil"/>
              <w:left w:val="nil"/>
              <w:bottom w:val="double" w:color="000000" w:sz="4" w:space="0"/>
              <w:right w:val="nil"/>
              <w:tl2br w:val="nil"/>
              <w:tr2bl w:val="nil"/>
            </w:tcBorders>
            <w:noWrap/>
            <w:vAlign w:val="bottom"/>
          </w:tcPr>
          <w:p w:rsidR="009534E2" w:rsidRDefault="003369EB">
            <w:pPr>
              <w:keepNext/>
              <w:jc w:val="right"/>
              <w:rPr>
                <w:b/>
                <w:color w:val="000000"/>
              </w:rPr>
            </w:pPr>
            <w:r>
              <w:rPr>
                <w:rFonts w:ascii="Times New Roman" w:hAnsi="Times New Roman" w:eastAsia="Times New Roman" w:cs="Times New Roman"/>
                <w:b/>
                <w:color w:val="000000"/>
              </w:rPr>
              <w:t xml:space="preserve"> (393)</w:t>
            </w:r>
          </w:p>
        </w:tc>
        <w:tc>
          <w:tcPr>
            <w:tcW w:w="100" w:type="pct"/>
            <w:tcBorders>
              <w:top w:val="nil"/>
              <w:left w:val="nil"/>
              <w:bottom w:val="nil"/>
              <w:right w:val="nil"/>
              <w:tl2br w:val="nil"/>
              <w:tr2bl w:val="nil"/>
            </w:tcBorders>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478" w:type="pct"/>
            <w:tcBorders>
              <w:top w:val="nil"/>
              <w:left w:val="nil"/>
              <w:bottom w:val="double" w:color="000000" w:sz="4" w:space="0"/>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14,200</w:t>
            </w:r>
          </w:p>
        </w:tc>
      </w:tr>
      <w:bookmarkEnd w:id="1890"/>
      <w:bookmarkEnd w:id="1901"/>
    </w:tbl>
    <w:p w:rsidR="009534E2" w:rsidRDefault="009534E2">
      <w:pPr>
        <w:rPr>
          <w:rFonts w:asciiTheme="majorHAnsi" w:hAnsiTheme="majorHAnsi" w:cstheme="majorHAnsi"/>
        </w:rPr>
      </w:pPr>
    </w:p>
    <w:p w:rsidR="009534E2" w:rsidRDefault="003369EB">
      <w:pPr>
        <w:spacing w:after="200"/>
        <w:rPr>
          <w:rFonts w:asciiTheme="majorHAnsi" w:hAnsiTheme="majorHAnsi" w:cstheme="majorHAnsi"/>
        </w:rPr>
      </w:pPr>
      <w:r>
        <w:rPr>
          <w:rFonts w:asciiTheme="majorHAnsi" w:hAnsiTheme="majorHAnsi" w:cstheme="majorHAnsi"/>
        </w:rPr>
        <w:t>The Group’s loans are mainly denominated in Russian rubles.</w:t>
      </w:r>
    </w:p>
    <w:p w:rsidR="009534E2" w:rsidRDefault="003369EB">
      <w:pPr>
        <w:pStyle w:val="BodyText"/>
        <w:keepNext/>
        <w:spacing w:after="0"/>
        <w:rPr>
          <w:rFonts w:eastAsia="Times New Roman" w:asciiTheme="majorHAnsi" w:hAnsiTheme="majorHAnsi" w:cstheme="majorHAnsi"/>
        </w:rPr>
      </w:pPr>
      <w:r>
        <w:rPr>
          <w:rFonts w:eastAsia="Times New Roman" w:asciiTheme="majorHAnsi" w:hAnsiTheme="majorHAnsi" w:cstheme="majorHAnsi"/>
        </w:rPr>
        <w:t>As of December 31, 2021, long-term and short-term loans consisted of the following:</w:t>
      </w:r>
    </w:p>
    <w:p w:rsidR="009534E2" w:rsidRDefault="009534E2">
      <w:pPr>
        <w:pStyle w:val="BodyText"/>
        <w:keepNext/>
        <w:spacing w:after="0"/>
        <w:rPr>
          <w:rFonts w:eastAsia="Times New Roman" w:asciiTheme="majorHAnsi" w:hAnsiTheme="majorHAnsi" w:cstheme="majorHAns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012"/>
        <w:gridCol w:w="216"/>
        <w:gridCol w:w="1037"/>
        <w:gridCol w:w="216"/>
        <w:gridCol w:w="1071"/>
        <w:gridCol w:w="216"/>
        <w:gridCol w:w="1032"/>
      </w:tblGrid>
      <w:tr w:rsidR="009534E2">
        <w:trPr>
          <w:trHeight w:val="20" w:hRule="exact"/>
        </w:trPr>
        <w:tc>
          <w:tcPr>
            <w:tcW w:w="3246" w:type="pct"/>
            <w:tcBorders>
              <w:top w:val="nil"/>
              <w:left w:val="nil"/>
              <w:bottom w:val="nil"/>
              <w:right w:val="nil"/>
            </w:tcBorders>
            <w:vAlign w:val="bottom"/>
          </w:tcPr>
          <w:p w:rsidR="009534E2" w:rsidRDefault="009534E2">
            <w:pPr>
              <w:keepNext/>
              <w:spacing w:after="1"/>
              <w:rPr>
                <w:sz w:val="2"/>
              </w:rPr>
            </w:pPr>
            <w:bookmarkStart w:name="_8a550d81_82b1_47ed_b470_48e32e856d5b" w:colFirst="0" w:colLast="0" w:id="1902"/>
            <w:bookmarkStart w:name="_d7a292ef_b42e_4ba8_b142_3999bc89242c" w:colFirst="1" w:colLast="1" w:id="1903"/>
            <w:bookmarkStart w:name="_ae4aed5e_07de_4829_b4a8_e0c02f58f47d" w:colFirst="2" w:colLast="2" w:id="1904"/>
            <w:bookmarkStart w:name="_0b803be8_c59f_45ac_8d66_7e429ae3d856" w:colFirst="3" w:colLast="3" w:id="1905"/>
            <w:bookmarkStart w:name="_8b1f7ad0_0d8a_44af_a7e0_e4e0a05dfa34" w:colFirst="4" w:colLast="4" w:id="1906"/>
            <w:bookmarkStart w:name="_e4835367_9b3b_4911_8676_fa521cc0bd49" w:colFirst="5" w:colLast="5" w:id="1907"/>
            <w:bookmarkStart w:name="_75c6689e_240a_4384_a2f8_9f9893801eac" w:colFirst="6" w:colLast="6" w:id="1908"/>
            <w:bookmarkStart w:name="_1fcdf74c_19d9_4554_bdd1_64ae68e207bf" w:id="1909"/>
          </w:p>
        </w:tc>
        <w:tc>
          <w:tcPr>
            <w:tcW w:w="100" w:type="pct"/>
            <w:tcBorders>
              <w:top w:val="nil"/>
              <w:left w:val="nil"/>
              <w:bottom w:val="nil"/>
              <w:right w:val="nil"/>
            </w:tcBorders>
            <w:noWrap/>
            <w:vAlign w:val="bottom"/>
          </w:tcPr>
          <w:p w:rsidR="009534E2" w:rsidRDefault="009534E2">
            <w:pPr>
              <w:keepNext/>
              <w:spacing w:after="1"/>
              <w:rPr>
                <w:sz w:val="2"/>
              </w:rPr>
            </w:pPr>
          </w:p>
        </w:tc>
        <w:tc>
          <w:tcPr>
            <w:tcW w:w="480" w:type="pct"/>
            <w:tcBorders>
              <w:top w:val="nil"/>
              <w:left w:val="nil"/>
              <w:bottom w:val="nil"/>
              <w:right w:val="nil"/>
            </w:tcBorders>
            <w:noWrap/>
            <w:vAlign w:val="bottom"/>
          </w:tcPr>
          <w:p w:rsidR="009534E2" w:rsidRDefault="009534E2">
            <w:pPr>
              <w:keepNext/>
              <w:spacing w:after="1"/>
              <w:rPr>
                <w:sz w:val="2"/>
              </w:rPr>
            </w:pPr>
          </w:p>
        </w:tc>
        <w:tc>
          <w:tcPr>
            <w:tcW w:w="100" w:type="pct"/>
            <w:tcBorders>
              <w:top w:val="nil"/>
              <w:left w:val="nil"/>
              <w:bottom w:val="nil"/>
              <w:right w:val="nil"/>
            </w:tcBorders>
            <w:noWrap/>
            <w:vAlign w:val="bottom"/>
          </w:tcPr>
          <w:p w:rsidR="009534E2" w:rsidRDefault="009534E2">
            <w:pPr>
              <w:keepNext/>
              <w:spacing w:after="1"/>
              <w:rPr>
                <w:sz w:val="2"/>
              </w:rPr>
            </w:pPr>
          </w:p>
        </w:tc>
        <w:tc>
          <w:tcPr>
            <w:tcW w:w="496" w:type="pct"/>
            <w:tcBorders>
              <w:top w:val="nil"/>
              <w:left w:val="nil"/>
              <w:bottom w:val="nil"/>
              <w:right w:val="nil"/>
            </w:tcBorders>
            <w:noWrap/>
            <w:vAlign w:val="bottom"/>
          </w:tcPr>
          <w:p w:rsidR="009534E2" w:rsidRDefault="009534E2">
            <w:pPr>
              <w:keepNext/>
              <w:spacing w:after="1"/>
              <w:rPr>
                <w:sz w:val="2"/>
              </w:rPr>
            </w:pPr>
          </w:p>
        </w:tc>
        <w:tc>
          <w:tcPr>
            <w:tcW w:w="100" w:type="pct"/>
            <w:tcBorders>
              <w:top w:val="nil"/>
              <w:left w:val="nil"/>
              <w:bottom w:val="nil"/>
              <w:right w:val="nil"/>
            </w:tcBorders>
            <w:noWrap/>
            <w:vAlign w:val="bottom"/>
          </w:tcPr>
          <w:p w:rsidR="009534E2" w:rsidRDefault="009534E2">
            <w:pPr>
              <w:keepNext/>
              <w:spacing w:after="1"/>
              <w:rPr>
                <w:sz w:val="2"/>
              </w:rPr>
            </w:pPr>
          </w:p>
        </w:tc>
        <w:tc>
          <w:tcPr>
            <w:tcW w:w="478" w:type="pct"/>
            <w:tcBorders>
              <w:top w:val="nil"/>
              <w:left w:val="nil"/>
              <w:bottom w:val="nil"/>
              <w:right w:val="nil"/>
            </w:tcBorders>
            <w:noWrap/>
            <w:vAlign w:val="bottom"/>
          </w:tcPr>
          <w:p w:rsidR="009534E2" w:rsidRDefault="009534E2">
            <w:pPr>
              <w:keepNext/>
              <w:spacing w:after="1"/>
              <w:rPr>
                <w:sz w:val="2"/>
              </w:rPr>
            </w:pPr>
          </w:p>
        </w:tc>
      </w:tr>
      <w:tr w:rsidR="009534E2">
        <w:tc>
          <w:tcPr>
            <w:tcW w:w="3246" w:type="pct"/>
            <w:tcBorders>
              <w:top w:val="nil"/>
              <w:left w:val="nil"/>
              <w:bottom w:val="nil"/>
              <w:right w:val="nil"/>
              <w:tl2br w:val="nil"/>
              <w:tr2bl w:val="nil"/>
            </w:tcBorders>
            <w:shd w:val="clear" w:color="auto" w:fill="auto"/>
            <w:vAlign w:val="bottom"/>
          </w:tcPr>
          <w:p w:rsidR="009534E2" w:rsidRDefault="009534E2">
            <w:pPr>
              <w:spacing w:after="1"/>
              <w:rPr>
                <w:color w:val="000000"/>
                <w:sz w:val="16"/>
              </w:rPr>
            </w:pPr>
            <w:bookmarkStart w:name="_1036751b_eea0_4343_a6de_ac49e2583d53" w:id="1910"/>
            <w:bookmarkEnd w:id="1902"/>
            <w:bookmarkEnd w:id="1903"/>
            <w:bookmarkEnd w:id="1904"/>
            <w:bookmarkEnd w:id="1905"/>
            <w:bookmarkEnd w:id="1906"/>
            <w:bookmarkEnd w:id="1907"/>
            <w:bookmarkEnd w:id="1908"/>
          </w:p>
        </w:tc>
        <w:tc>
          <w:tcPr>
            <w:tcW w:w="100" w:type="pct"/>
            <w:tcBorders>
              <w:top w:val="nil"/>
              <w:left w:val="nil"/>
              <w:bottom w:val="nil"/>
              <w:right w:val="nil"/>
              <w:tl2br w:val="nil"/>
              <w:tr2bl w:val="nil"/>
            </w:tcBorders>
            <w:shd w:val="clear" w:color="auto" w:fill="auto"/>
            <w:noWrap/>
            <w:vAlign w:val="bottom"/>
          </w:tcPr>
          <w:p w:rsidR="009534E2" w:rsidRDefault="003369EB">
            <w:pPr>
              <w:spacing w:after="1"/>
              <w:rPr>
                <w:b/>
                <w:color w:val="000000"/>
                <w:sz w:val="16"/>
              </w:rPr>
            </w:pPr>
            <w:r>
              <w:rPr>
                <w:rFonts w:ascii="Times New Roman" w:hAnsi="Times New Roman" w:eastAsia="Times New Roman" w:cs="Times New Roman"/>
                <w:b/>
                <w:color w:val="000000"/>
                <w:sz w:val="16"/>
              </w:rPr>
              <w:t>    </w:t>
            </w:r>
          </w:p>
        </w:tc>
        <w:tc>
          <w:tcPr>
            <w:tcW w:w="480"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Total as of</w:t>
            </w:r>
          </w:p>
        </w:tc>
        <w:tc>
          <w:tcPr>
            <w:tcW w:w="100" w:type="pct"/>
            <w:tcBorders>
              <w:top w:val="nil"/>
              <w:left w:val="nil"/>
              <w:bottom w:val="nil"/>
              <w:right w:val="nil"/>
              <w:tl2br w:val="nil"/>
              <w:tr2bl w:val="nil"/>
            </w:tcBorders>
            <w:shd w:val="clear" w:color="auto" w:fill="auto"/>
            <w:noWrap/>
            <w:vAlign w:val="bottom"/>
          </w:tcPr>
          <w:p w:rsidR="009534E2" w:rsidRDefault="003369EB">
            <w:pPr>
              <w:spacing w:after="1"/>
              <w:rPr>
                <w:b/>
                <w:color w:val="000000"/>
                <w:sz w:val="16"/>
              </w:rPr>
            </w:pPr>
            <w:r>
              <w:rPr>
                <w:rFonts w:ascii="Times New Roman" w:hAnsi="Times New Roman" w:eastAsia="Times New Roman" w:cs="Times New Roman"/>
                <w:b/>
                <w:color w:val="000000"/>
                <w:sz w:val="16"/>
              </w:rPr>
              <w:t>    </w:t>
            </w:r>
          </w:p>
        </w:tc>
        <w:tc>
          <w:tcPr>
            <w:tcW w:w="496" w:type="pct"/>
            <w:tcBorders>
              <w:top w:val="nil"/>
              <w:left w:val="nil"/>
              <w:bottom w:val="nil"/>
              <w:right w:val="nil"/>
              <w:tl2br w:val="nil"/>
              <w:tr2bl w:val="nil"/>
            </w:tcBorders>
            <w:shd w:val="clear" w:color="auto" w:fill="auto"/>
            <w:noWrap/>
            <w:vAlign w:val="bottom"/>
          </w:tcPr>
          <w:p w:rsidR="009534E2" w:rsidRDefault="009534E2">
            <w:pPr>
              <w:spacing w:after="1"/>
              <w:rPr>
                <w:color w:val="000000"/>
                <w:sz w:val="16"/>
              </w:rPr>
            </w:pPr>
          </w:p>
        </w:tc>
        <w:tc>
          <w:tcPr>
            <w:tcW w:w="100" w:type="pct"/>
            <w:tcBorders>
              <w:top w:val="nil"/>
              <w:left w:val="nil"/>
              <w:bottom w:val="nil"/>
              <w:right w:val="nil"/>
              <w:tl2br w:val="nil"/>
              <w:tr2bl w:val="nil"/>
            </w:tcBorders>
            <w:shd w:val="clear" w:color="auto" w:fill="auto"/>
            <w:noWrap/>
            <w:vAlign w:val="bottom"/>
          </w:tcPr>
          <w:p w:rsidR="009534E2" w:rsidRDefault="003369EB">
            <w:pPr>
              <w:spacing w:after="1"/>
              <w:rPr>
                <w:b/>
                <w:color w:val="000000"/>
                <w:sz w:val="16"/>
              </w:rPr>
            </w:pPr>
            <w:r>
              <w:rPr>
                <w:rFonts w:ascii="Times New Roman" w:hAnsi="Times New Roman" w:eastAsia="Times New Roman" w:cs="Times New Roman"/>
                <w:b/>
                <w:color w:val="000000"/>
                <w:sz w:val="16"/>
              </w:rPr>
              <w:t>    </w:t>
            </w:r>
          </w:p>
        </w:tc>
        <w:tc>
          <w:tcPr>
            <w:tcW w:w="478"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Net as of</w:t>
            </w:r>
          </w:p>
        </w:tc>
      </w:tr>
      <w:tr w:rsidR="009534E2">
        <w:tc>
          <w:tcPr>
            <w:tcW w:w="3246" w:type="pct"/>
            <w:tcBorders>
              <w:top w:val="nil"/>
              <w:left w:val="nil"/>
              <w:bottom w:val="nil"/>
              <w:right w:val="nil"/>
              <w:tl2br w:val="nil"/>
              <w:tr2bl w:val="nil"/>
            </w:tcBorders>
            <w:shd w:val="clear" w:color="auto" w:fill="auto"/>
            <w:vAlign w:val="bottom"/>
          </w:tcPr>
          <w:p w:rsidR="009534E2" w:rsidRDefault="009534E2">
            <w:pPr>
              <w:spacing w:after="1"/>
              <w:rPr>
                <w:color w:val="000000"/>
                <w:sz w:val="16"/>
              </w:rPr>
            </w:pPr>
            <w:bookmarkStart w:name="_b638bb39_4fd4_4ae2_bbb9_9d937634fd1d" w:id="1911"/>
            <w:bookmarkEnd w:id="1910"/>
          </w:p>
        </w:tc>
        <w:tc>
          <w:tcPr>
            <w:tcW w:w="100" w:type="pct"/>
            <w:tcBorders>
              <w:top w:val="nil"/>
              <w:left w:val="nil"/>
              <w:bottom w:val="nil"/>
              <w:right w:val="nil"/>
              <w:tl2br w:val="nil"/>
              <w:tr2bl w:val="nil"/>
            </w:tcBorders>
            <w:shd w:val="clear" w:color="auto" w:fill="auto"/>
            <w:noWrap/>
            <w:vAlign w:val="bottom"/>
          </w:tcPr>
          <w:p w:rsidR="009534E2" w:rsidRDefault="009534E2">
            <w:pPr>
              <w:spacing w:after="1"/>
              <w:rPr>
                <w:b/>
                <w:color w:val="000000"/>
                <w:sz w:val="16"/>
              </w:rPr>
            </w:pPr>
          </w:p>
        </w:tc>
        <w:tc>
          <w:tcPr>
            <w:tcW w:w="480"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December 31, </w:t>
            </w:r>
          </w:p>
        </w:tc>
        <w:tc>
          <w:tcPr>
            <w:tcW w:w="100" w:type="pct"/>
            <w:tcBorders>
              <w:top w:val="nil"/>
              <w:left w:val="nil"/>
              <w:bottom w:val="nil"/>
              <w:right w:val="nil"/>
              <w:tl2br w:val="nil"/>
              <w:tr2bl w:val="nil"/>
            </w:tcBorders>
            <w:shd w:val="clear" w:color="auto" w:fill="auto"/>
            <w:noWrap/>
            <w:vAlign w:val="bottom"/>
          </w:tcPr>
          <w:p w:rsidR="009534E2" w:rsidRDefault="009534E2">
            <w:pPr>
              <w:spacing w:after="1"/>
              <w:rPr>
                <w:b/>
                <w:color w:val="000000"/>
                <w:sz w:val="16"/>
              </w:rPr>
            </w:pPr>
          </w:p>
        </w:tc>
        <w:tc>
          <w:tcPr>
            <w:tcW w:w="496"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 xml:space="preserve">Expected credit </w:t>
            </w:r>
          </w:p>
        </w:tc>
        <w:tc>
          <w:tcPr>
            <w:tcW w:w="100" w:type="pct"/>
            <w:tcBorders>
              <w:top w:val="nil"/>
              <w:left w:val="nil"/>
              <w:bottom w:val="nil"/>
              <w:right w:val="nil"/>
              <w:tl2br w:val="nil"/>
              <w:tr2bl w:val="nil"/>
            </w:tcBorders>
            <w:shd w:val="clear" w:color="auto" w:fill="auto"/>
            <w:noWrap/>
            <w:vAlign w:val="bottom"/>
          </w:tcPr>
          <w:p w:rsidR="009534E2" w:rsidRDefault="009534E2">
            <w:pPr>
              <w:spacing w:after="1"/>
              <w:rPr>
                <w:b/>
                <w:color w:val="000000"/>
                <w:sz w:val="16"/>
              </w:rPr>
            </w:pPr>
          </w:p>
        </w:tc>
        <w:tc>
          <w:tcPr>
            <w:tcW w:w="478"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December 31, </w:t>
            </w:r>
          </w:p>
        </w:tc>
      </w:tr>
      <w:tr w:rsidR="009534E2">
        <w:tc>
          <w:tcPr>
            <w:tcW w:w="3246" w:type="pct"/>
            <w:tcBorders>
              <w:top w:val="nil"/>
              <w:left w:val="nil"/>
              <w:bottom w:val="nil"/>
              <w:right w:val="nil"/>
              <w:tl2br w:val="nil"/>
              <w:tr2bl w:val="nil"/>
            </w:tcBorders>
            <w:shd w:val="clear" w:color="auto" w:fill="auto"/>
            <w:vAlign w:val="bottom"/>
          </w:tcPr>
          <w:p w:rsidR="009534E2" w:rsidRDefault="009534E2">
            <w:pPr>
              <w:spacing w:after="1"/>
              <w:rPr>
                <w:color w:val="000000"/>
                <w:sz w:val="16"/>
              </w:rPr>
            </w:pPr>
            <w:bookmarkStart w:name="_228d3a5d_9296_4b5d_b0bc_74ce05a4fe34" w:id="1912"/>
            <w:bookmarkEnd w:id="1911"/>
          </w:p>
        </w:tc>
        <w:tc>
          <w:tcPr>
            <w:tcW w:w="100" w:type="pct"/>
            <w:tcBorders>
              <w:top w:val="nil"/>
              <w:left w:val="nil"/>
              <w:bottom w:val="nil"/>
              <w:right w:val="nil"/>
              <w:tl2br w:val="nil"/>
              <w:tr2bl w:val="nil"/>
            </w:tcBorders>
            <w:shd w:val="clear" w:color="auto" w:fill="auto"/>
            <w:noWrap/>
            <w:vAlign w:val="bottom"/>
          </w:tcPr>
          <w:p w:rsidR="009534E2" w:rsidRDefault="003369EB">
            <w:pPr>
              <w:spacing w:after="1"/>
              <w:rPr>
                <w:b/>
                <w:color w:val="000000"/>
                <w:sz w:val="16"/>
              </w:rPr>
            </w:pPr>
            <w:r>
              <w:rPr>
                <w:rFonts w:ascii="Times New Roman" w:hAnsi="Times New Roman" w:eastAsia="Times New Roman" w:cs="Times New Roman"/>
                <w:b/>
                <w:color w:val="000000"/>
                <w:sz w:val="16"/>
              </w:rPr>
              <w:t>    </w:t>
            </w:r>
          </w:p>
        </w:tc>
        <w:tc>
          <w:tcPr>
            <w:tcW w:w="480"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2021</w:t>
            </w:r>
          </w:p>
        </w:tc>
        <w:tc>
          <w:tcPr>
            <w:tcW w:w="100" w:type="pct"/>
            <w:tcBorders>
              <w:top w:val="nil"/>
              <w:left w:val="nil"/>
              <w:bottom w:val="nil"/>
              <w:right w:val="nil"/>
              <w:tl2br w:val="nil"/>
              <w:tr2bl w:val="nil"/>
            </w:tcBorders>
            <w:shd w:val="clear" w:color="auto" w:fill="auto"/>
            <w:noWrap/>
            <w:vAlign w:val="bottom"/>
          </w:tcPr>
          <w:p w:rsidR="009534E2" w:rsidRDefault="003369EB">
            <w:pPr>
              <w:spacing w:after="1"/>
              <w:rPr>
                <w:b/>
                <w:color w:val="000000"/>
                <w:sz w:val="16"/>
              </w:rPr>
            </w:pPr>
            <w:r>
              <w:rPr>
                <w:rFonts w:ascii="Times New Roman" w:hAnsi="Times New Roman" w:eastAsia="Times New Roman" w:cs="Times New Roman"/>
                <w:b/>
                <w:color w:val="000000"/>
                <w:sz w:val="16"/>
              </w:rPr>
              <w:t>    </w:t>
            </w:r>
          </w:p>
        </w:tc>
        <w:tc>
          <w:tcPr>
            <w:tcW w:w="496"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loss allowance</w:t>
            </w:r>
          </w:p>
        </w:tc>
        <w:tc>
          <w:tcPr>
            <w:tcW w:w="100" w:type="pct"/>
            <w:tcBorders>
              <w:top w:val="nil"/>
              <w:left w:val="nil"/>
              <w:bottom w:val="nil"/>
              <w:right w:val="nil"/>
              <w:tl2br w:val="nil"/>
              <w:tr2bl w:val="nil"/>
            </w:tcBorders>
            <w:shd w:val="clear" w:color="auto" w:fill="auto"/>
            <w:noWrap/>
            <w:vAlign w:val="bottom"/>
          </w:tcPr>
          <w:p w:rsidR="009534E2" w:rsidRDefault="003369EB">
            <w:pPr>
              <w:spacing w:after="1"/>
              <w:rPr>
                <w:b/>
                <w:color w:val="000000"/>
                <w:sz w:val="16"/>
              </w:rPr>
            </w:pPr>
            <w:r>
              <w:rPr>
                <w:rFonts w:ascii="Times New Roman" w:hAnsi="Times New Roman" w:eastAsia="Times New Roman" w:cs="Times New Roman"/>
                <w:b/>
                <w:color w:val="000000"/>
                <w:sz w:val="16"/>
              </w:rPr>
              <w:t>    </w:t>
            </w:r>
          </w:p>
        </w:tc>
        <w:tc>
          <w:tcPr>
            <w:tcW w:w="478"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2021</w:t>
            </w:r>
          </w:p>
        </w:tc>
      </w:tr>
      <w:tr w:rsidR="009534E2">
        <w:tc>
          <w:tcPr>
            <w:tcW w:w="3246" w:type="pct"/>
            <w:tcBorders>
              <w:top w:val="nil"/>
              <w:left w:val="nil"/>
              <w:bottom w:val="nil"/>
              <w:right w:val="nil"/>
              <w:tl2br w:val="nil"/>
              <w:tr2bl w:val="nil"/>
            </w:tcBorders>
            <w:shd w:val="clear" w:color="auto" w:fill="CCEEFF"/>
            <w:vAlign w:val="bottom"/>
          </w:tcPr>
          <w:p w:rsidR="009534E2" w:rsidRDefault="003369EB">
            <w:pPr>
              <w:spacing w:after="1"/>
              <w:rPr>
                <w:b/>
                <w:color w:val="000000"/>
              </w:rPr>
            </w:pPr>
            <w:bookmarkStart w:name="_94b3b3f7_6d92_4798_8691_229f83905014" w:id="1913"/>
            <w:bookmarkEnd w:id="1912"/>
            <w:r>
              <w:rPr>
                <w:rFonts w:ascii="Times New Roman" w:hAnsi="Times New Roman" w:eastAsia="Times New Roman" w:cs="Times New Roman"/>
                <w:b/>
                <w:color w:val="000000"/>
              </w:rPr>
              <w:t>Long-term loans</w:t>
            </w:r>
          </w:p>
        </w:tc>
        <w:tc>
          <w:tcPr>
            <w:tcW w:w="100"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480" w:type="pct"/>
            <w:tcBorders>
              <w:top w:val="nil"/>
              <w:left w:val="nil"/>
              <w:bottom w:val="nil"/>
              <w:right w:val="nil"/>
              <w:tl2br w:val="nil"/>
              <w:tr2bl w:val="nil"/>
            </w:tcBorders>
            <w:shd w:val="clear" w:color="auto" w:fill="CCEEFF"/>
            <w:noWrap/>
            <w:vAlign w:val="bottom"/>
          </w:tcPr>
          <w:p w:rsidR="009534E2" w:rsidRDefault="003369EB">
            <w:pPr>
              <w:spacing w:after="1"/>
              <w:jc w:val="center"/>
              <w:rPr>
                <w:color w:val="000000"/>
              </w:rPr>
            </w:pPr>
            <w:r>
              <w:rPr>
                <w:rFonts w:ascii="Times New Roman" w:hAnsi="Times New Roman" w:eastAsia="Times New Roman" w:cs="Times New Roman"/>
                <w:color w:val="000000"/>
              </w:rPr>
              <w:t>  </w:t>
            </w:r>
          </w:p>
        </w:tc>
        <w:tc>
          <w:tcPr>
            <w:tcW w:w="100"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496" w:type="pct"/>
            <w:tcBorders>
              <w:top w:val="nil"/>
              <w:left w:val="nil"/>
              <w:bottom w:val="nil"/>
              <w:right w:val="nil"/>
              <w:tl2br w:val="nil"/>
              <w:tr2bl w:val="nil"/>
            </w:tcBorders>
            <w:shd w:val="clear" w:color="auto" w:fill="CCEEFF"/>
            <w:noWrap/>
            <w:vAlign w:val="bottom"/>
          </w:tcPr>
          <w:p w:rsidR="009534E2" w:rsidRDefault="003369EB">
            <w:pPr>
              <w:spacing w:after="1"/>
              <w:jc w:val="center"/>
              <w:rPr>
                <w:color w:val="000000"/>
              </w:rPr>
            </w:pPr>
            <w:r>
              <w:rPr>
                <w:rFonts w:ascii="Times New Roman" w:hAnsi="Times New Roman" w:eastAsia="Times New Roman" w:cs="Times New Roman"/>
                <w:color w:val="000000"/>
              </w:rPr>
              <w:t>  </w:t>
            </w:r>
          </w:p>
        </w:tc>
        <w:tc>
          <w:tcPr>
            <w:tcW w:w="100"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478" w:type="pct"/>
            <w:tcBorders>
              <w:top w:val="nil"/>
              <w:left w:val="nil"/>
              <w:bottom w:val="nil"/>
              <w:right w:val="nil"/>
              <w:tl2br w:val="nil"/>
              <w:tr2bl w:val="nil"/>
            </w:tcBorders>
            <w:shd w:val="clear" w:color="auto" w:fill="CCEEFF"/>
            <w:noWrap/>
            <w:vAlign w:val="bottom"/>
          </w:tcPr>
          <w:p w:rsidR="009534E2" w:rsidRDefault="003369EB">
            <w:pPr>
              <w:spacing w:after="1"/>
              <w:jc w:val="center"/>
              <w:rPr>
                <w:color w:val="000000"/>
              </w:rPr>
            </w:pPr>
            <w:r>
              <w:rPr>
                <w:rFonts w:ascii="Times New Roman" w:hAnsi="Times New Roman" w:eastAsia="Times New Roman" w:cs="Times New Roman"/>
                <w:color w:val="000000"/>
              </w:rPr>
              <w:t>  </w:t>
            </w:r>
          </w:p>
        </w:tc>
      </w:tr>
      <w:tr w:rsidR="009534E2">
        <w:tc>
          <w:tcPr>
            <w:tcW w:w="3246" w:type="pct"/>
            <w:tcBorders>
              <w:top w:val="nil"/>
              <w:left w:val="nil"/>
              <w:bottom w:val="nil"/>
              <w:right w:val="nil"/>
              <w:tl2br w:val="nil"/>
              <w:tr2bl w:val="nil"/>
            </w:tcBorders>
            <w:vAlign w:val="bottom"/>
          </w:tcPr>
          <w:p w:rsidR="009534E2" w:rsidRDefault="003369EB">
            <w:pPr>
              <w:spacing w:after="1"/>
              <w:ind w:left="120"/>
              <w:rPr>
                <w:color w:val="000000"/>
              </w:rPr>
            </w:pPr>
            <w:bookmarkStart w:name="_fb54b4ee_f1f1_43d4_9c38_edbf280ce97a" w:id="1914"/>
            <w:bookmarkEnd w:id="1913"/>
            <w:r>
              <w:rPr>
                <w:rFonts w:ascii="Times New Roman" w:hAnsi="Times New Roman" w:eastAsia="Times New Roman" w:cs="Times New Roman"/>
                <w:color w:val="000000"/>
              </w:rPr>
              <w:t>Loans to legal entities, including SME</w:t>
            </w:r>
          </w:p>
        </w:tc>
        <w:tc>
          <w:tcPr>
            <w:tcW w:w="100" w:type="pct"/>
            <w:tcBorders>
              <w:top w:val="nil"/>
              <w:left w:val="nil"/>
              <w:bottom w:val="nil"/>
              <w:right w:val="nil"/>
              <w:tl2br w:val="nil"/>
              <w:tr2bl w:val="nil"/>
            </w:tcBorders>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80" w:type="pct"/>
            <w:tcBorders>
              <w:top w:val="nil"/>
              <w:left w:val="nil"/>
              <w:bottom w:val="single" w:color="000000" w:sz="4" w:space="0"/>
              <w:right w:val="nil"/>
              <w:tl2br w:val="nil"/>
              <w:tr2bl w:val="nil"/>
            </w:tcBorders>
            <w:noWrap/>
            <w:vAlign w:val="bottom"/>
          </w:tcPr>
          <w:p w:rsidR="009534E2" w:rsidRDefault="003369EB">
            <w:pPr>
              <w:spacing w:after="1"/>
              <w:ind w:right="60"/>
              <w:jc w:val="right"/>
              <w:rPr>
                <w:color w:val="000000"/>
              </w:rPr>
            </w:pPr>
            <w:r>
              <w:rPr>
                <w:rFonts w:ascii="Times New Roman" w:hAnsi="Times New Roman" w:eastAsia="Times New Roman" w:cs="Times New Roman"/>
                <w:color w:val="000000"/>
              </w:rPr>
              <w:t xml:space="preserve"> 268</w:t>
            </w:r>
          </w:p>
        </w:tc>
        <w:tc>
          <w:tcPr>
            <w:tcW w:w="100" w:type="pct"/>
            <w:tcBorders>
              <w:top w:val="nil"/>
              <w:left w:val="nil"/>
              <w:bottom w:val="nil"/>
              <w:right w:val="nil"/>
              <w:tl2br w:val="nil"/>
              <w:tr2bl w:val="nil"/>
            </w:tcBorders>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96" w:type="pct"/>
            <w:tcBorders>
              <w:top w:val="nil"/>
              <w:left w:val="nil"/>
              <w:bottom w:val="single" w:color="000000" w:sz="4" w:space="0"/>
              <w:right w:val="nil"/>
              <w:tl2br w:val="nil"/>
              <w:tr2bl w:val="nil"/>
            </w:tcBorders>
            <w:noWrap/>
            <w:vAlign w:val="bottom"/>
          </w:tcPr>
          <w:p w:rsidR="009534E2" w:rsidRDefault="003369EB">
            <w:pPr>
              <w:spacing w:after="1"/>
              <w:jc w:val="right"/>
              <w:rPr>
                <w:color w:val="000000"/>
              </w:rPr>
            </w:pPr>
            <w:r>
              <w:rPr>
                <w:rFonts w:ascii="Times New Roman" w:hAnsi="Times New Roman" w:eastAsia="Times New Roman" w:cs="Times New Roman"/>
                <w:color w:val="000000"/>
              </w:rPr>
              <w:t xml:space="preserve"> (1)</w:t>
            </w:r>
          </w:p>
        </w:tc>
        <w:tc>
          <w:tcPr>
            <w:tcW w:w="100" w:type="pct"/>
            <w:tcBorders>
              <w:top w:val="nil"/>
              <w:left w:val="nil"/>
              <w:bottom w:val="nil"/>
              <w:right w:val="nil"/>
              <w:tl2br w:val="nil"/>
              <w:tr2bl w:val="nil"/>
            </w:tcBorders>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78" w:type="pct"/>
            <w:tcBorders>
              <w:top w:val="nil"/>
              <w:left w:val="nil"/>
              <w:bottom w:val="single" w:color="000000" w:sz="4" w:space="0"/>
              <w:right w:val="nil"/>
              <w:tl2br w:val="nil"/>
              <w:tr2bl w:val="nil"/>
            </w:tcBorders>
            <w:noWrap/>
            <w:vAlign w:val="bottom"/>
          </w:tcPr>
          <w:p w:rsidR="009534E2" w:rsidRDefault="003369EB">
            <w:pPr>
              <w:spacing w:after="1"/>
              <w:ind w:right="60"/>
              <w:jc w:val="right"/>
              <w:rPr>
                <w:color w:val="000000"/>
              </w:rPr>
            </w:pPr>
            <w:r>
              <w:rPr>
                <w:rFonts w:ascii="Times New Roman" w:hAnsi="Times New Roman" w:eastAsia="Times New Roman" w:cs="Times New Roman"/>
                <w:color w:val="000000"/>
              </w:rPr>
              <w:t xml:space="preserve"> 267</w:t>
            </w:r>
          </w:p>
        </w:tc>
      </w:tr>
      <w:tr w:rsidR="009534E2">
        <w:tc>
          <w:tcPr>
            <w:tcW w:w="3246" w:type="pct"/>
            <w:tcBorders>
              <w:top w:val="nil"/>
              <w:left w:val="nil"/>
              <w:bottom w:val="nil"/>
              <w:right w:val="nil"/>
              <w:tl2br w:val="nil"/>
              <w:tr2bl w:val="nil"/>
            </w:tcBorders>
            <w:shd w:val="clear" w:color="auto" w:fill="CCEEFF"/>
            <w:vAlign w:val="bottom"/>
          </w:tcPr>
          <w:p w:rsidR="009534E2" w:rsidRDefault="003369EB">
            <w:pPr>
              <w:spacing w:after="1"/>
              <w:rPr>
                <w:b/>
                <w:color w:val="000000"/>
              </w:rPr>
            </w:pPr>
            <w:bookmarkStart w:name="_3c78d47d_bd37_40d9_a6d2_10ddf6e3c970" w:id="1915"/>
            <w:bookmarkEnd w:id="1914"/>
            <w:r>
              <w:rPr>
                <w:rFonts w:ascii="Times New Roman" w:hAnsi="Times New Roman" w:eastAsia="Times New Roman" w:cs="Times New Roman"/>
                <w:b/>
                <w:color w:val="000000"/>
              </w:rPr>
              <w:t>Total long-term loans</w:t>
            </w:r>
          </w:p>
        </w:tc>
        <w:tc>
          <w:tcPr>
            <w:tcW w:w="100" w:type="pct"/>
            <w:tcBorders>
              <w:top w:val="nil"/>
              <w:left w:val="nil"/>
              <w:bottom w:val="nil"/>
              <w:right w:val="nil"/>
              <w:tl2br w:val="nil"/>
              <w:tr2bl w:val="nil"/>
            </w:tcBorders>
            <w:shd w:val="clear" w:color="auto" w:fill="CCEEFF"/>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80" w:type="pct"/>
            <w:tcBorders>
              <w:top w:val="nil"/>
              <w:left w:val="nil"/>
              <w:bottom w:val="single" w:color="000000" w:sz="4" w:space="0"/>
              <w:right w:val="nil"/>
              <w:tl2br w:val="nil"/>
              <w:tr2bl w:val="nil"/>
            </w:tcBorders>
            <w:shd w:val="clear" w:color="auto" w:fill="CCEEFF"/>
            <w:noWrap/>
            <w:vAlign w:val="bottom"/>
          </w:tcPr>
          <w:p w:rsidR="009534E2" w:rsidRDefault="003369EB">
            <w:pPr>
              <w:spacing w:after="1"/>
              <w:ind w:right="60"/>
              <w:jc w:val="right"/>
              <w:rPr>
                <w:b/>
                <w:color w:val="000000"/>
              </w:rPr>
            </w:pPr>
            <w:r>
              <w:rPr>
                <w:rFonts w:ascii="Times New Roman" w:hAnsi="Times New Roman" w:eastAsia="Times New Roman" w:cs="Times New Roman"/>
                <w:b/>
                <w:color w:val="000000"/>
              </w:rPr>
              <w:t xml:space="preserve"> 268</w:t>
            </w:r>
          </w:p>
        </w:tc>
        <w:tc>
          <w:tcPr>
            <w:tcW w:w="100" w:type="pct"/>
            <w:tcBorders>
              <w:top w:val="nil"/>
              <w:left w:val="nil"/>
              <w:bottom w:val="nil"/>
              <w:right w:val="nil"/>
              <w:tl2br w:val="nil"/>
              <w:tr2bl w:val="nil"/>
            </w:tcBorders>
            <w:shd w:val="clear" w:color="auto" w:fill="CCEEFF"/>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96" w:type="pct"/>
            <w:tcBorders>
              <w:top w:val="nil"/>
              <w:left w:val="nil"/>
              <w:bottom w:val="single" w:color="000000" w:sz="4" w:space="0"/>
              <w:right w:val="nil"/>
              <w:tl2br w:val="nil"/>
              <w:tr2bl w:val="nil"/>
            </w:tcBorders>
            <w:shd w:val="clear" w:color="auto" w:fill="CCEEFF"/>
            <w:noWrap/>
            <w:vAlign w:val="bottom"/>
          </w:tcPr>
          <w:p w:rsidR="009534E2" w:rsidRDefault="003369EB">
            <w:pPr>
              <w:spacing w:after="1"/>
              <w:jc w:val="right"/>
              <w:rPr>
                <w:b/>
                <w:color w:val="000000"/>
              </w:rPr>
            </w:pPr>
            <w:r>
              <w:rPr>
                <w:rFonts w:ascii="Times New Roman" w:hAnsi="Times New Roman" w:eastAsia="Times New Roman" w:cs="Times New Roman"/>
                <w:b/>
                <w:color w:val="000000"/>
              </w:rPr>
              <w:t xml:space="preserve"> (1)</w:t>
            </w:r>
          </w:p>
        </w:tc>
        <w:tc>
          <w:tcPr>
            <w:tcW w:w="100" w:type="pct"/>
            <w:tcBorders>
              <w:top w:val="nil"/>
              <w:left w:val="nil"/>
              <w:bottom w:val="nil"/>
              <w:right w:val="nil"/>
              <w:tl2br w:val="nil"/>
              <w:tr2bl w:val="nil"/>
            </w:tcBorders>
            <w:shd w:val="clear" w:color="auto" w:fill="CCEEFF"/>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78" w:type="pct"/>
            <w:tcBorders>
              <w:top w:val="nil"/>
              <w:left w:val="nil"/>
              <w:bottom w:val="single" w:color="000000" w:sz="4" w:space="0"/>
              <w:right w:val="nil"/>
              <w:tl2br w:val="nil"/>
              <w:tr2bl w:val="nil"/>
            </w:tcBorders>
            <w:shd w:val="clear" w:color="auto" w:fill="CCEEFF"/>
            <w:noWrap/>
            <w:vAlign w:val="bottom"/>
          </w:tcPr>
          <w:p w:rsidR="009534E2" w:rsidRDefault="003369EB">
            <w:pPr>
              <w:spacing w:after="1"/>
              <w:ind w:right="60"/>
              <w:jc w:val="right"/>
              <w:rPr>
                <w:b/>
                <w:color w:val="000000"/>
              </w:rPr>
            </w:pPr>
            <w:r>
              <w:rPr>
                <w:rFonts w:ascii="Times New Roman" w:hAnsi="Times New Roman" w:eastAsia="Times New Roman" w:cs="Times New Roman"/>
                <w:b/>
                <w:color w:val="000000"/>
              </w:rPr>
              <w:t xml:space="preserve"> 267</w:t>
            </w:r>
          </w:p>
        </w:tc>
      </w:tr>
      <w:tr w:rsidR="009534E2">
        <w:tc>
          <w:tcPr>
            <w:tcW w:w="3246" w:type="pct"/>
            <w:tcBorders>
              <w:top w:val="nil"/>
              <w:left w:val="nil"/>
              <w:bottom w:val="nil"/>
              <w:right w:val="nil"/>
              <w:tl2br w:val="nil"/>
              <w:tr2bl w:val="nil"/>
            </w:tcBorders>
            <w:vAlign w:val="bottom"/>
          </w:tcPr>
          <w:p w:rsidR="009534E2" w:rsidRDefault="003369EB">
            <w:pPr>
              <w:spacing w:after="1"/>
              <w:rPr>
                <w:b/>
                <w:color w:val="000000"/>
              </w:rPr>
            </w:pPr>
            <w:bookmarkStart w:name="_39e104b1_07d3_4c16_a454_34445b81221e" w:id="1916"/>
            <w:bookmarkEnd w:id="1915"/>
            <w:r>
              <w:rPr>
                <w:rFonts w:ascii="Times New Roman" w:hAnsi="Times New Roman" w:eastAsia="Times New Roman" w:cs="Times New Roman"/>
                <w:b/>
                <w:color w:val="000000"/>
              </w:rPr>
              <w:t>Short-term loans</w:t>
            </w:r>
          </w:p>
        </w:tc>
        <w:tc>
          <w:tcPr>
            <w:tcW w:w="100" w:type="pct"/>
            <w:tcBorders>
              <w:top w:val="nil"/>
              <w:left w:val="nil"/>
              <w:bottom w:val="nil"/>
              <w:right w:val="nil"/>
              <w:tl2br w:val="nil"/>
              <w:tr2bl w:val="nil"/>
            </w:tcBorders>
            <w:noWrap/>
            <w:vAlign w:val="bottom"/>
          </w:tcPr>
          <w:p w:rsidR="009534E2" w:rsidRDefault="003369EB">
            <w:pPr>
              <w:spacing w:after="1"/>
              <w:rPr>
                <w:b/>
                <w:color w:val="000000"/>
              </w:rPr>
            </w:pPr>
            <w:r>
              <w:rPr>
                <w:rFonts w:ascii="Times New Roman" w:hAnsi="Times New Roman" w:eastAsia="Times New Roman" w:cs="Times New Roman"/>
                <w:b/>
                <w:color w:val="000000"/>
              </w:rPr>
              <w:t> </w:t>
            </w:r>
          </w:p>
        </w:tc>
        <w:tc>
          <w:tcPr>
            <w:tcW w:w="480" w:type="pct"/>
            <w:tcBorders>
              <w:top w:val="nil"/>
              <w:left w:val="nil"/>
              <w:bottom w:val="nil"/>
              <w:right w:val="nil"/>
              <w:tl2br w:val="nil"/>
              <w:tr2bl w:val="nil"/>
            </w:tcBorders>
            <w:noWrap/>
            <w:vAlign w:val="bottom"/>
          </w:tcPr>
          <w:p w:rsidR="009534E2" w:rsidRDefault="009534E2">
            <w:pPr>
              <w:spacing w:after="1"/>
              <w:jc w:val="right"/>
              <w:rPr>
                <w:b/>
                <w:color w:val="000000"/>
              </w:rPr>
            </w:pPr>
          </w:p>
        </w:tc>
        <w:tc>
          <w:tcPr>
            <w:tcW w:w="100" w:type="pct"/>
            <w:tcBorders>
              <w:top w:val="nil"/>
              <w:left w:val="nil"/>
              <w:bottom w:val="nil"/>
              <w:right w:val="nil"/>
              <w:tl2br w:val="nil"/>
              <w:tr2bl w:val="nil"/>
            </w:tcBorders>
            <w:noWrap/>
            <w:vAlign w:val="bottom"/>
          </w:tcPr>
          <w:p w:rsidR="009534E2" w:rsidRDefault="003369EB">
            <w:pPr>
              <w:spacing w:after="1"/>
              <w:rPr>
                <w:b/>
                <w:color w:val="000000"/>
              </w:rPr>
            </w:pPr>
            <w:r>
              <w:rPr>
                <w:rFonts w:ascii="Times New Roman" w:hAnsi="Times New Roman" w:eastAsia="Times New Roman" w:cs="Times New Roman"/>
                <w:b/>
                <w:color w:val="000000"/>
              </w:rPr>
              <w:t> </w:t>
            </w:r>
          </w:p>
        </w:tc>
        <w:tc>
          <w:tcPr>
            <w:tcW w:w="496" w:type="pct"/>
            <w:tcBorders>
              <w:top w:val="nil"/>
              <w:left w:val="nil"/>
              <w:bottom w:val="nil"/>
              <w:right w:val="nil"/>
              <w:tl2br w:val="nil"/>
              <w:tr2bl w:val="nil"/>
            </w:tcBorders>
            <w:noWrap/>
            <w:vAlign w:val="bottom"/>
          </w:tcPr>
          <w:p w:rsidR="009534E2" w:rsidRDefault="009534E2">
            <w:pPr>
              <w:spacing w:after="1"/>
              <w:jc w:val="right"/>
              <w:rPr>
                <w:b/>
                <w:color w:val="000000"/>
              </w:rPr>
            </w:pPr>
          </w:p>
        </w:tc>
        <w:tc>
          <w:tcPr>
            <w:tcW w:w="100" w:type="pct"/>
            <w:tcBorders>
              <w:top w:val="nil"/>
              <w:left w:val="nil"/>
              <w:bottom w:val="nil"/>
              <w:right w:val="nil"/>
              <w:tl2br w:val="nil"/>
              <w:tr2bl w:val="nil"/>
            </w:tcBorders>
            <w:noWrap/>
            <w:vAlign w:val="bottom"/>
          </w:tcPr>
          <w:p w:rsidR="009534E2" w:rsidRDefault="003369EB">
            <w:pPr>
              <w:spacing w:after="1"/>
              <w:rPr>
                <w:b/>
                <w:color w:val="000000"/>
              </w:rPr>
            </w:pPr>
            <w:r>
              <w:rPr>
                <w:rFonts w:ascii="Times New Roman" w:hAnsi="Times New Roman" w:eastAsia="Times New Roman" w:cs="Times New Roman"/>
                <w:b/>
                <w:color w:val="000000"/>
              </w:rPr>
              <w:t> </w:t>
            </w:r>
          </w:p>
        </w:tc>
        <w:tc>
          <w:tcPr>
            <w:tcW w:w="478" w:type="pct"/>
            <w:tcBorders>
              <w:top w:val="nil"/>
              <w:left w:val="nil"/>
              <w:bottom w:val="nil"/>
              <w:right w:val="nil"/>
              <w:tl2br w:val="nil"/>
              <w:tr2bl w:val="nil"/>
            </w:tcBorders>
            <w:noWrap/>
            <w:vAlign w:val="bottom"/>
          </w:tcPr>
          <w:p w:rsidR="009534E2" w:rsidRDefault="009534E2">
            <w:pPr>
              <w:spacing w:after="1"/>
              <w:jc w:val="right"/>
              <w:rPr>
                <w:b/>
                <w:color w:val="000000"/>
              </w:rPr>
            </w:pPr>
          </w:p>
        </w:tc>
      </w:tr>
      <w:tr w:rsidR="009534E2">
        <w:tc>
          <w:tcPr>
            <w:tcW w:w="3246" w:type="pct"/>
            <w:tcBorders>
              <w:top w:val="nil"/>
              <w:left w:val="nil"/>
              <w:bottom w:val="nil"/>
              <w:right w:val="nil"/>
              <w:tl2br w:val="nil"/>
              <w:tr2bl w:val="nil"/>
            </w:tcBorders>
            <w:shd w:val="clear" w:color="auto" w:fill="CCEEFF"/>
            <w:vAlign w:val="bottom"/>
          </w:tcPr>
          <w:p w:rsidR="009534E2" w:rsidRDefault="003369EB">
            <w:pPr>
              <w:spacing w:after="1"/>
              <w:ind w:left="120"/>
              <w:rPr>
                <w:color w:val="000000"/>
              </w:rPr>
            </w:pPr>
            <w:bookmarkStart w:name="_52acb0fa_5135_49c2_b0d6_0a745c9ce5cf" w:id="1917"/>
            <w:bookmarkEnd w:id="1916"/>
            <w:r>
              <w:rPr>
                <w:rFonts w:ascii="Times New Roman" w:hAnsi="Times New Roman" w:eastAsia="Times New Roman" w:cs="Times New Roman"/>
                <w:color w:val="000000"/>
              </w:rPr>
              <w:t>Factoring loans</w:t>
            </w:r>
          </w:p>
        </w:tc>
        <w:tc>
          <w:tcPr>
            <w:tcW w:w="100" w:type="pct"/>
            <w:tcBorders>
              <w:top w:val="nil"/>
              <w:left w:val="nil"/>
              <w:bottom w:val="nil"/>
              <w:right w:val="nil"/>
              <w:tl2br w:val="nil"/>
              <w:tr2bl w:val="nil"/>
            </w:tcBorders>
            <w:shd w:val="clear" w:color="auto" w:fill="CCEEFF"/>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80" w:type="pct"/>
            <w:tcBorders>
              <w:top w:val="nil"/>
              <w:left w:val="nil"/>
              <w:bottom w:val="nil"/>
              <w:right w:val="nil"/>
              <w:tl2br w:val="nil"/>
              <w:tr2bl w:val="nil"/>
            </w:tcBorders>
            <w:shd w:val="clear" w:color="auto" w:fill="CCEEFF"/>
            <w:noWrap/>
            <w:vAlign w:val="bottom"/>
          </w:tcPr>
          <w:p w:rsidR="009534E2" w:rsidRDefault="003369EB">
            <w:pPr>
              <w:spacing w:after="1"/>
              <w:ind w:right="60"/>
              <w:jc w:val="right"/>
              <w:rPr>
                <w:color w:val="000000"/>
              </w:rPr>
            </w:pPr>
            <w:r>
              <w:rPr>
                <w:rFonts w:ascii="Times New Roman" w:hAnsi="Times New Roman" w:eastAsia="Times New Roman" w:cs="Times New Roman"/>
                <w:color w:val="000000"/>
              </w:rPr>
              <w:t xml:space="preserve"> 9,959</w:t>
            </w:r>
          </w:p>
        </w:tc>
        <w:tc>
          <w:tcPr>
            <w:tcW w:w="100" w:type="pct"/>
            <w:tcBorders>
              <w:top w:val="nil"/>
              <w:left w:val="nil"/>
              <w:bottom w:val="nil"/>
              <w:right w:val="nil"/>
              <w:tl2br w:val="nil"/>
              <w:tr2bl w:val="nil"/>
            </w:tcBorders>
            <w:shd w:val="clear" w:color="auto" w:fill="CCEEFF"/>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96" w:type="pct"/>
            <w:tcBorders>
              <w:top w:val="nil"/>
              <w:left w:val="nil"/>
              <w:bottom w:val="nil"/>
              <w:right w:val="nil"/>
              <w:tl2br w:val="nil"/>
              <w:tr2bl w:val="nil"/>
            </w:tcBorders>
            <w:shd w:val="clear" w:color="auto" w:fill="CCEEFF"/>
            <w:noWrap/>
            <w:vAlign w:val="bottom"/>
          </w:tcPr>
          <w:p w:rsidR="009534E2" w:rsidRDefault="003369EB">
            <w:pPr>
              <w:spacing w:after="1"/>
              <w:jc w:val="right"/>
              <w:rPr>
                <w:color w:val="000000"/>
              </w:rPr>
            </w:pPr>
            <w:r>
              <w:rPr>
                <w:rFonts w:ascii="Times New Roman" w:hAnsi="Times New Roman" w:eastAsia="Times New Roman" w:cs="Times New Roman"/>
                <w:color w:val="000000"/>
              </w:rPr>
              <w:t xml:space="preserve"> (44)</w:t>
            </w:r>
          </w:p>
        </w:tc>
        <w:tc>
          <w:tcPr>
            <w:tcW w:w="100" w:type="pct"/>
            <w:tcBorders>
              <w:top w:val="nil"/>
              <w:left w:val="nil"/>
              <w:bottom w:val="nil"/>
              <w:right w:val="nil"/>
              <w:tl2br w:val="nil"/>
              <w:tr2bl w:val="nil"/>
            </w:tcBorders>
            <w:shd w:val="clear" w:color="auto" w:fill="CCEEFF"/>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78" w:type="pct"/>
            <w:tcBorders>
              <w:top w:val="nil"/>
              <w:left w:val="nil"/>
              <w:bottom w:val="nil"/>
              <w:right w:val="nil"/>
              <w:tl2br w:val="nil"/>
              <w:tr2bl w:val="nil"/>
            </w:tcBorders>
            <w:shd w:val="clear" w:color="auto" w:fill="CCEEFF"/>
            <w:noWrap/>
            <w:vAlign w:val="bottom"/>
          </w:tcPr>
          <w:p w:rsidR="009534E2" w:rsidRDefault="003369EB">
            <w:pPr>
              <w:spacing w:after="1"/>
              <w:ind w:right="60"/>
              <w:jc w:val="right"/>
              <w:rPr>
                <w:color w:val="000000"/>
              </w:rPr>
            </w:pPr>
            <w:r>
              <w:rPr>
                <w:rFonts w:ascii="Times New Roman" w:hAnsi="Times New Roman" w:eastAsia="Times New Roman" w:cs="Times New Roman"/>
                <w:color w:val="000000"/>
              </w:rPr>
              <w:t xml:space="preserve"> 9,915</w:t>
            </w:r>
          </w:p>
        </w:tc>
      </w:tr>
      <w:tr w:rsidR="009534E2">
        <w:tc>
          <w:tcPr>
            <w:tcW w:w="3246" w:type="pct"/>
            <w:tcBorders>
              <w:top w:val="nil"/>
              <w:left w:val="nil"/>
              <w:bottom w:val="nil"/>
              <w:right w:val="nil"/>
              <w:tl2br w:val="nil"/>
              <w:tr2bl w:val="nil"/>
            </w:tcBorders>
            <w:vAlign w:val="bottom"/>
          </w:tcPr>
          <w:p w:rsidR="009534E2" w:rsidRDefault="003369EB">
            <w:pPr>
              <w:spacing w:after="1"/>
              <w:ind w:left="120"/>
              <w:rPr>
                <w:color w:val="000000"/>
              </w:rPr>
            </w:pPr>
            <w:bookmarkStart w:name="_db792f34_9f70_4024_9ce6_cef91b9a2189" w:id="1918"/>
            <w:bookmarkEnd w:id="1917"/>
            <w:r>
              <w:rPr>
                <w:rFonts w:ascii="Times New Roman" w:hAnsi="Times New Roman" w:eastAsia="Times New Roman" w:cs="Times New Roman"/>
                <w:color w:val="000000"/>
              </w:rPr>
              <w:t>Loans to legal entities, including SME</w:t>
            </w:r>
          </w:p>
        </w:tc>
        <w:tc>
          <w:tcPr>
            <w:tcW w:w="100" w:type="pct"/>
            <w:tcBorders>
              <w:top w:val="nil"/>
              <w:left w:val="nil"/>
              <w:bottom w:val="nil"/>
              <w:right w:val="nil"/>
              <w:tl2br w:val="nil"/>
              <w:tr2bl w:val="nil"/>
            </w:tcBorders>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80" w:type="pct"/>
            <w:tcBorders>
              <w:top w:val="nil"/>
              <w:left w:val="nil"/>
              <w:bottom w:val="single" w:color="000000" w:sz="4" w:space="0"/>
              <w:right w:val="nil"/>
              <w:tl2br w:val="nil"/>
              <w:tr2bl w:val="nil"/>
            </w:tcBorders>
            <w:noWrap/>
            <w:vAlign w:val="bottom"/>
          </w:tcPr>
          <w:p w:rsidR="009534E2" w:rsidRDefault="003369EB">
            <w:pPr>
              <w:spacing w:after="1"/>
              <w:ind w:right="60"/>
              <w:jc w:val="right"/>
              <w:rPr>
                <w:color w:val="000000"/>
              </w:rPr>
            </w:pPr>
            <w:r>
              <w:rPr>
                <w:rFonts w:ascii="Times New Roman" w:hAnsi="Times New Roman" w:eastAsia="Times New Roman" w:cs="Times New Roman"/>
                <w:color w:val="000000"/>
              </w:rPr>
              <w:t xml:space="preserve"> 1,402</w:t>
            </w:r>
          </w:p>
        </w:tc>
        <w:tc>
          <w:tcPr>
            <w:tcW w:w="100" w:type="pct"/>
            <w:tcBorders>
              <w:top w:val="nil"/>
              <w:left w:val="nil"/>
              <w:bottom w:val="nil"/>
              <w:right w:val="nil"/>
              <w:tl2br w:val="nil"/>
              <w:tr2bl w:val="nil"/>
            </w:tcBorders>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96" w:type="pct"/>
            <w:tcBorders>
              <w:top w:val="nil"/>
              <w:left w:val="nil"/>
              <w:bottom w:val="single" w:color="000000" w:sz="4" w:space="0"/>
              <w:right w:val="nil"/>
              <w:tl2br w:val="nil"/>
              <w:tr2bl w:val="nil"/>
            </w:tcBorders>
            <w:noWrap/>
            <w:vAlign w:val="bottom"/>
          </w:tcPr>
          <w:p w:rsidR="009534E2" w:rsidRDefault="003369EB">
            <w:pPr>
              <w:spacing w:after="1"/>
              <w:jc w:val="right"/>
              <w:rPr>
                <w:color w:val="000000"/>
              </w:rPr>
            </w:pPr>
            <w:r>
              <w:rPr>
                <w:rFonts w:ascii="Times New Roman" w:hAnsi="Times New Roman" w:eastAsia="Times New Roman" w:cs="Times New Roman"/>
                <w:color w:val="000000"/>
              </w:rPr>
              <w:t xml:space="preserve"> (47)</w:t>
            </w:r>
          </w:p>
        </w:tc>
        <w:tc>
          <w:tcPr>
            <w:tcW w:w="100" w:type="pct"/>
            <w:tcBorders>
              <w:top w:val="nil"/>
              <w:left w:val="nil"/>
              <w:bottom w:val="nil"/>
              <w:right w:val="nil"/>
              <w:tl2br w:val="nil"/>
              <w:tr2bl w:val="nil"/>
            </w:tcBorders>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78" w:type="pct"/>
            <w:tcBorders>
              <w:top w:val="nil"/>
              <w:left w:val="nil"/>
              <w:bottom w:val="single" w:color="000000" w:sz="4" w:space="0"/>
              <w:right w:val="nil"/>
              <w:tl2br w:val="nil"/>
              <w:tr2bl w:val="nil"/>
            </w:tcBorders>
            <w:noWrap/>
            <w:vAlign w:val="bottom"/>
          </w:tcPr>
          <w:p w:rsidR="009534E2" w:rsidRDefault="003369EB">
            <w:pPr>
              <w:spacing w:after="1"/>
              <w:ind w:right="60"/>
              <w:jc w:val="right"/>
              <w:rPr>
                <w:color w:val="000000"/>
              </w:rPr>
            </w:pPr>
            <w:r>
              <w:rPr>
                <w:rFonts w:ascii="Times New Roman" w:hAnsi="Times New Roman" w:eastAsia="Times New Roman" w:cs="Times New Roman"/>
                <w:color w:val="000000"/>
              </w:rPr>
              <w:t xml:space="preserve"> 1,355</w:t>
            </w:r>
          </w:p>
        </w:tc>
      </w:tr>
      <w:tr w:rsidR="009534E2">
        <w:tc>
          <w:tcPr>
            <w:tcW w:w="3246" w:type="pct"/>
            <w:tcBorders>
              <w:top w:val="nil"/>
              <w:left w:val="nil"/>
              <w:bottom w:val="nil"/>
              <w:right w:val="nil"/>
              <w:tl2br w:val="nil"/>
              <w:tr2bl w:val="nil"/>
            </w:tcBorders>
            <w:shd w:val="clear" w:color="auto" w:fill="CCEEFF"/>
            <w:vAlign w:val="bottom"/>
          </w:tcPr>
          <w:p w:rsidR="009534E2" w:rsidRDefault="003369EB">
            <w:pPr>
              <w:spacing w:after="1"/>
              <w:rPr>
                <w:b/>
                <w:color w:val="000000"/>
              </w:rPr>
            </w:pPr>
            <w:bookmarkStart w:name="_dcafa741_4050_4f32_bad9_b954c82e9492" w:id="1919"/>
            <w:bookmarkEnd w:id="1918"/>
            <w:r>
              <w:rPr>
                <w:rFonts w:ascii="Times New Roman" w:hAnsi="Times New Roman" w:eastAsia="Times New Roman" w:cs="Times New Roman"/>
                <w:b/>
                <w:color w:val="000000"/>
              </w:rPr>
              <w:t>Total short-term loans</w:t>
            </w:r>
          </w:p>
        </w:tc>
        <w:tc>
          <w:tcPr>
            <w:tcW w:w="100" w:type="pct"/>
            <w:tcBorders>
              <w:top w:val="nil"/>
              <w:left w:val="nil"/>
              <w:bottom w:val="nil"/>
              <w:right w:val="nil"/>
              <w:tl2br w:val="nil"/>
              <w:tr2bl w:val="nil"/>
            </w:tcBorders>
            <w:shd w:val="clear" w:color="auto" w:fill="CCEEFF"/>
            <w:noWrap/>
            <w:vAlign w:val="bottom"/>
          </w:tcPr>
          <w:p w:rsidR="009534E2" w:rsidRDefault="003369EB">
            <w:pPr>
              <w:spacing w:after="1"/>
              <w:rPr>
                <w:b/>
                <w:color w:val="000000"/>
              </w:rPr>
            </w:pPr>
            <w:r>
              <w:rPr>
                <w:rFonts w:ascii="Times New Roman" w:hAnsi="Times New Roman" w:eastAsia="Times New Roman" w:cs="Times New Roman"/>
                <w:b/>
                <w:color w:val="000000"/>
              </w:rPr>
              <w:t> </w:t>
            </w:r>
          </w:p>
        </w:tc>
        <w:tc>
          <w:tcPr>
            <w:tcW w:w="480" w:type="pct"/>
            <w:tcBorders>
              <w:top w:val="nil"/>
              <w:left w:val="nil"/>
              <w:bottom w:val="double" w:color="000000" w:sz="4" w:space="0"/>
              <w:right w:val="nil"/>
              <w:tl2br w:val="nil"/>
              <w:tr2bl w:val="nil"/>
            </w:tcBorders>
            <w:shd w:val="clear" w:color="auto" w:fill="CCEEFF"/>
            <w:noWrap/>
            <w:vAlign w:val="bottom"/>
          </w:tcPr>
          <w:p w:rsidR="009534E2" w:rsidRDefault="003369EB">
            <w:pPr>
              <w:spacing w:after="1"/>
              <w:ind w:right="60"/>
              <w:jc w:val="right"/>
              <w:rPr>
                <w:b/>
                <w:color w:val="000000"/>
              </w:rPr>
            </w:pPr>
            <w:r>
              <w:rPr>
                <w:rFonts w:ascii="Times New Roman" w:hAnsi="Times New Roman" w:eastAsia="Times New Roman" w:cs="Times New Roman"/>
                <w:b/>
                <w:color w:val="000000"/>
              </w:rPr>
              <w:t xml:space="preserve"> 11,361</w:t>
            </w:r>
          </w:p>
        </w:tc>
        <w:tc>
          <w:tcPr>
            <w:tcW w:w="100" w:type="pct"/>
            <w:tcBorders>
              <w:top w:val="nil"/>
              <w:left w:val="nil"/>
              <w:bottom w:val="nil"/>
              <w:right w:val="nil"/>
              <w:tl2br w:val="nil"/>
              <w:tr2bl w:val="nil"/>
            </w:tcBorders>
            <w:shd w:val="clear" w:color="auto" w:fill="CCEEFF"/>
            <w:noWrap/>
            <w:vAlign w:val="bottom"/>
          </w:tcPr>
          <w:p w:rsidR="009534E2" w:rsidRDefault="003369EB">
            <w:pPr>
              <w:spacing w:after="1"/>
              <w:rPr>
                <w:b/>
                <w:color w:val="000000"/>
              </w:rPr>
            </w:pPr>
            <w:r>
              <w:rPr>
                <w:rFonts w:ascii="Times New Roman" w:hAnsi="Times New Roman" w:eastAsia="Times New Roman" w:cs="Times New Roman"/>
                <w:b/>
                <w:color w:val="000000"/>
              </w:rPr>
              <w:t> </w:t>
            </w:r>
          </w:p>
        </w:tc>
        <w:tc>
          <w:tcPr>
            <w:tcW w:w="496" w:type="pct"/>
            <w:tcBorders>
              <w:top w:val="nil"/>
              <w:left w:val="nil"/>
              <w:bottom w:val="double" w:color="000000" w:sz="4" w:space="0"/>
              <w:right w:val="nil"/>
              <w:tl2br w:val="nil"/>
              <w:tr2bl w:val="nil"/>
            </w:tcBorders>
            <w:shd w:val="clear" w:color="auto" w:fill="CCEEFF"/>
            <w:noWrap/>
            <w:vAlign w:val="bottom"/>
          </w:tcPr>
          <w:p w:rsidR="009534E2" w:rsidRDefault="003369EB">
            <w:pPr>
              <w:spacing w:after="1"/>
              <w:jc w:val="right"/>
              <w:rPr>
                <w:b/>
                <w:color w:val="000000"/>
              </w:rPr>
            </w:pPr>
            <w:r>
              <w:rPr>
                <w:rFonts w:ascii="Times New Roman" w:hAnsi="Times New Roman" w:eastAsia="Times New Roman" w:cs="Times New Roman"/>
                <w:b/>
                <w:color w:val="000000"/>
              </w:rPr>
              <w:t xml:space="preserve"> (91)</w:t>
            </w:r>
          </w:p>
        </w:tc>
        <w:tc>
          <w:tcPr>
            <w:tcW w:w="100" w:type="pct"/>
            <w:tcBorders>
              <w:top w:val="nil"/>
              <w:left w:val="nil"/>
              <w:bottom w:val="nil"/>
              <w:right w:val="nil"/>
              <w:tl2br w:val="nil"/>
              <w:tr2bl w:val="nil"/>
            </w:tcBorders>
            <w:shd w:val="clear" w:color="auto" w:fill="CCEEFF"/>
            <w:noWrap/>
            <w:vAlign w:val="bottom"/>
          </w:tcPr>
          <w:p w:rsidR="009534E2" w:rsidRDefault="003369EB">
            <w:pPr>
              <w:spacing w:after="1"/>
              <w:rPr>
                <w:b/>
                <w:color w:val="000000"/>
              </w:rPr>
            </w:pPr>
            <w:r>
              <w:rPr>
                <w:rFonts w:ascii="Times New Roman" w:hAnsi="Times New Roman" w:eastAsia="Times New Roman" w:cs="Times New Roman"/>
                <w:b/>
                <w:color w:val="000000"/>
              </w:rPr>
              <w:t> </w:t>
            </w:r>
          </w:p>
        </w:tc>
        <w:tc>
          <w:tcPr>
            <w:tcW w:w="478" w:type="pct"/>
            <w:tcBorders>
              <w:top w:val="nil"/>
              <w:left w:val="nil"/>
              <w:bottom w:val="double" w:color="000000" w:sz="4" w:space="0"/>
              <w:right w:val="nil"/>
              <w:tl2br w:val="nil"/>
              <w:tr2bl w:val="nil"/>
            </w:tcBorders>
            <w:shd w:val="clear" w:color="auto" w:fill="CCEEFF"/>
            <w:noWrap/>
            <w:vAlign w:val="bottom"/>
          </w:tcPr>
          <w:p w:rsidR="009534E2" w:rsidRDefault="003369EB">
            <w:pPr>
              <w:spacing w:after="1"/>
              <w:ind w:right="60"/>
              <w:jc w:val="right"/>
              <w:rPr>
                <w:b/>
                <w:color w:val="000000"/>
              </w:rPr>
            </w:pPr>
            <w:r>
              <w:rPr>
                <w:rFonts w:ascii="Times New Roman" w:hAnsi="Times New Roman" w:eastAsia="Times New Roman" w:cs="Times New Roman"/>
                <w:b/>
                <w:color w:val="000000"/>
              </w:rPr>
              <w:t xml:space="preserve"> 11,270</w:t>
            </w:r>
          </w:p>
        </w:tc>
      </w:tr>
      <w:bookmarkEnd w:id="1909"/>
      <w:bookmarkEnd w:id="1919"/>
    </w:tbl>
    <w:p w:rsidR="009534E2" w:rsidRDefault="009534E2">
      <w:pPr>
        <w:pStyle w:val="BodyText"/>
        <w:keepNext/>
        <w:spacing w:after="0"/>
        <w:rPr>
          <w:rFonts w:eastAsia="Times New Roman" w:asciiTheme="majorHAnsi" w:hAnsiTheme="majorHAnsi" w:cstheme="majorHAnsi"/>
        </w:rPr>
      </w:pPr>
    </w:p>
    <w:p w:rsidR="009534E2" w:rsidRDefault="003369EB">
      <w:pPr>
        <w:pStyle w:val="BodyText"/>
        <w:spacing w:after="0"/>
        <w:rPr>
          <w:rFonts w:eastAsia="Times New Roman" w:asciiTheme="majorHAnsi" w:hAnsiTheme="majorHAnsi" w:cstheme="majorHAnsi"/>
          <w:lang w:eastAsia="ru-RU"/>
        </w:rPr>
      </w:pPr>
      <w:bookmarkStart w:name="_9ca6a820_cdf5_40dc_9b12_5d87b55bc989" w:id="1920"/>
      <w:bookmarkEnd w:id="1879"/>
      <w:bookmarkEnd w:id="1880"/>
      <w:bookmarkEnd w:id="1881"/>
      <w:bookmarkEnd w:id="1920"/>
      <w:r>
        <w:rPr>
          <w:rFonts w:eastAsia="Times New Roman" w:asciiTheme="majorHAnsi" w:hAnsiTheme="majorHAnsi" w:cstheme="majorHAnsi"/>
          <w:lang w:eastAsia="ru-RU"/>
        </w:rPr>
        <w:t>The following table contains an analysis of the credit risk exposure of loans issued and for which an ECL allowance is recognised. The Group has no internal grading system of loans issued and uses their overdue status for credit risk analysis. The carrying amount of loans issued to customers below also represents the Group's maximum exposure to credit risk on these loans.</w:t>
      </w:r>
    </w:p>
    <w:p w:rsidR="009534E2" w:rsidRDefault="009534E2">
      <w:pPr>
        <w:jc w:val="center"/>
        <w:rPr>
          <w:rFonts w:eastAsia="Times New Roman"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688"/>
        <w:gridCol w:w="180"/>
        <w:gridCol w:w="842"/>
        <w:gridCol w:w="179"/>
        <w:gridCol w:w="842"/>
        <w:gridCol w:w="179"/>
        <w:gridCol w:w="845"/>
        <w:gridCol w:w="179"/>
        <w:gridCol w:w="842"/>
        <w:gridCol w:w="179"/>
        <w:gridCol w:w="845"/>
      </w:tblGrid>
      <w:tr w:rsidR="009534E2">
        <w:trPr>
          <w:trHeight w:val="20" w:hRule="exact"/>
        </w:trPr>
        <w:tc>
          <w:tcPr>
            <w:tcW w:w="2633"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4aee8879_8c8d_4682_8370_f1f0dd6fdac1" w:colFirst="0" w:colLast="0" w:id="1921"/>
            <w:bookmarkStart w:name="_dbcad9b5_588d_4170_af7b_b1e2c40a3da0" w:colFirst="3" w:colLast="3" w:id="1922"/>
            <w:bookmarkStart w:name="_7f87b54b_252c_48f4_b373_e75cd7655ab6" w:colFirst="4" w:colLast="4" w:id="1923"/>
            <w:bookmarkStart w:name="_8ff27034_4e6c_4b91_85fa_066f2f2442e9" w:colFirst="5" w:colLast="5" w:id="1924"/>
            <w:bookmarkStart w:name="_f986bd66_6ead_4d34_b485_efdbbcea8667" w:colFirst="6" w:colLast="6" w:id="1925"/>
            <w:bookmarkStart w:name="_acc87add_cc7a_43cd_80c7_2fd2f19836b8" w:colFirst="7" w:colLast="7" w:id="1926"/>
            <w:bookmarkStart w:name="_903f1a57_bf82_4631_a884_2e5295569dc9" w:colFirst="8" w:colLast="8" w:id="1927"/>
            <w:bookmarkStart w:name="_c8c2f4ce_ab8c_45dc_9cc2_5b368423fbf4" w:colFirst="9" w:colLast="9" w:id="1928"/>
            <w:bookmarkStart w:name="_d0ff9a45_76d4_42d0_9e1f_7d0d6f354b04" w:colFirst="10" w:colLast="10" w:id="1929"/>
            <w:bookmarkStart w:name="_867fe14c_027d_4c5b_a5e3_d2eaf8e0cead" w:colFirst="1" w:colLast="1" w:id="1930"/>
            <w:bookmarkStart w:name="_46834deb_f209_4efa_864d_1f12d88615d0" w:colFirst="2" w:colLast="2" w:id="1931"/>
            <w:bookmarkStart w:name="_2d53778d_3d0e_4018_9d49_13e9cd642f6a" w:id="1932"/>
          </w:p>
        </w:tc>
        <w:tc>
          <w:tcPr>
            <w:tcW w:w="83"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p>
        </w:tc>
        <w:tc>
          <w:tcPr>
            <w:tcW w:w="390"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p>
        </w:tc>
        <w:tc>
          <w:tcPr>
            <w:tcW w:w="8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90"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8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91"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8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90"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8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91"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9534E2">
        <w:tc>
          <w:tcPr>
            <w:tcW w:w="2633" w:type="pct"/>
            <w:tcBorders>
              <w:top w:val="nil"/>
              <w:left w:val="nil"/>
              <w:bottom w:val="nil"/>
              <w:right w:val="nil"/>
              <w:tl2br w:val="nil"/>
              <w:tr2bl w:val="nil"/>
            </w:tcBorders>
            <w:shd w:val="clear" w:color="auto" w:fill="auto"/>
            <w:vAlign w:val="bottom"/>
          </w:tcPr>
          <w:p w:rsidR="009534E2" w:rsidRDefault="009534E2">
            <w:pPr>
              <w:spacing w:after="1"/>
              <w:rPr>
                <w:rFonts w:asciiTheme="majorHAnsi" w:hAnsiTheme="majorHAnsi" w:cstheme="majorHAnsi"/>
                <w:color w:val="000000"/>
                <w:sz w:val="16"/>
              </w:rPr>
            </w:pPr>
            <w:bookmarkStart w:name="_6e2800e8_dd20_4178_b828_11cc1e360488" w:id="1933"/>
            <w:bookmarkEnd w:id="1921"/>
            <w:bookmarkEnd w:id="1922"/>
            <w:bookmarkEnd w:id="1923"/>
            <w:bookmarkEnd w:id="1924"/>
            <w:bookmarkEnd w:id="1925"/>
            <w:bookmarkEnd w:id="1926"/>
            <w:bookmarkEnd w:id="1927"/>
            <w:bookmarkEnd w:id="1928"/>
            <w:bookmarkEnd w:id="1929"/>
            <w:bookmarkEnd w:id="1930"/>
            <w:bookmarkEnd w:id="1931"/>
          </w:p>
        </w:tc>
        <w:tc>
          <w:tcPr>
            <w:tcW w:w="83" w:type="pct"/>
            <w:tcBorders>
              <w:top w:val="nil"/>
              <w:left w:val="nil"/>
              <w:bottom w:val="nil"/>
              <w:right w:val="nil"/>
              <w:tl2br w:val="nil"/>
              <w:tr2bl w:val="nil"/>
            </w:tcBorders>
            <w:shd w:val="clear" w:color="auto" w:fill="auto"/>
            <w:vAlign w:val="bottom"/>
          </w:tcPr>
          <w:p w:rsidR="009534E2" w:rsidRDefault="009534E2">
            <w:pPr>
              <w:spacing w:after="1"/>
              <w:rPr>
                <w:rFonts w:asciiTheme="majorHAnsi" w:hAnsiTheme="majorHAnsi" w:cstheme="majorHAnsi"/>
                <w:color w:val="000000"/>
                <w:sz w:val="16"/>
              </w:rPr>
            </w:pPr>
          </w:p>
        </w:tc>
        <w:tc>
          <w:tcPr>
            <w:tcW w:w="390" w:type="pct"/>
            <w:tcBorders>
              <w:top w:val="nil"/>
              <w:left w:val="nil"/>
              <w:bottom w:val="nil"/>
              <w:right w:val="nil"/>
              <w:tl2br w:val="nil"/>
              <w:tr2bl w:val="nil"/>
            </w:tcBorders>
            <w:shd w:val="clear" w:color="auto" w:fill="auto"/>
            <w:vAlign w:val="bottom"/>
          </w:tcPr>
          <w:p w:rsidR="009534E2" w:rsidRDefault="009534E2">
            <w:pPr>
              <w:spacing w:after="1"/>
              <w:rPr>
                <w:rFonts w:asciiTheme="majorHAnsi" w:hAnsiTheme="majorHAnsi" w:cstheme="majorHAnsi"/>
                <w:color w:val="000000"/>
                <w:sz w:val="16"/>
              </w:rPr>
            </w:pPr>
          </w:p>
        </w:tc>
        <w:tc>
          <w:tcPr>
            <w:tcW w:w="83" w:type="pct"/>
            <w:tcBorders>
              <w:top w:val="nil"/>
              <w:left w:val="nil"/>
              <w:bottom w:val="nil"/>
              <w:right w:val="nil"/>
              <w:tl2br w:val="nil"/>
              <w:tr2bl w:val="nil"/>
            </w:tcBorders>
            <w:shd w:val="clear" w:color="auto" w:fill="auto"/>
            <w:noWrap/>
            <w:vAlign w:val="bottom"/>
          </w:tcPr>
          <w:p w:rsidR="009534E2" w:rsidRDefault="009534E2">
            <w:pPr>
              <w:spacing w:after="1"/>
              <w:jc w:val="center"/>
              <w:rPr>
                <w:rFonts w:asciiTheme="majorHAnsi" w:hAnsiTheme="majorHAnsi" w:cstheme="majorHAnsi"/>
                <w:b/>
                <w:color w:val="000000"/>
                <w:sz w:val="16"/>
              </w:rPr>
            </w:pPr>
          </w:p>
        </w:tc>
        <w:tc>
          <w:tcPr>
            <w:tcW w:w="864" w:type="pct"/>
            <w:gridSpan w:val="3"/>
            <w:tcBorders>
              <w:top w:val="nil"/>
              <w:left w:val="nil"/>
              <w:bottom w:val="nil"/>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 December 31, 2022</w:t>
            </w:r>
          </w:p>
        </w:tc>
        <w:tc>
          <w:tcPr>
            <w:tcW w:w="83" w:type="pct"/>
            <w:tcBorders>
              <w:top w:val="nil"/>
              <w:left w:val="nil"/>
              <w:bottom w:val="nil"/>
              <w:right w:val="nil"/>
              <w:tl2br w:val="nil"/>
              <w:tr2bl w:val="nil"/>
            </w:tcBorders>
            <w:shd w:val="clear" w:color="auto" w:fill="auto"/>
            <w:noWrap/>
            <w:vAlign w:val="bottom"/>
          </w:tcPr>
          <w:p w:rsidR="009534E2" w:rsidRDefault="009534E2">
            <w:pPr>
              <w:spacing w:after="1"/>
              <w:jc w:val="center"/>
              <w:rPr>
                <w:rFonts w:asciiTheme="majorHAnsi" w:hAnsiTheme="majorHAnsi" w:cstheme="majorHAnsi"/>
                <w:b/>
                <w:color w:val="000000"/>
                <w:sz w:val="16"/>
              </w:rPr>
            </w:pPr>
          </w:p>
        </w:tc>
        <w:tc>
          <w:tcPr>
            <w:tcW w:w="864" w:type="pct"/>
            <w:gridSpan w:val="3"/>
            <w:tcBorders>
              <w:top w:val="nil"/>
              <w:left w:val="nil"/>
              <w:bottom w:val="nil"/>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 December 31, 2021</w:t>
            </w:r>
          </w:p>
        </w:tc>
      </w:tr>
      <w:tr w:rsidR="009534E2">
        <w:tc>
          <w:tcPr>
            <w:tcW w:w="2633" w:type="pct"/>
            <w:tcBorders>
              <w:top w:val="nil"/>
              <w:left w:val="nil"/>
              <w:bottom w:val="nil"/>
              <w:right w:val="nil"/>
              <w:tl2br w:val="nil"/>
              <w:tr2bl w:val="nil"/>
            </w:tcBorders>
            <w:shd w:val="clear" w:color="auto" w:fill="auto"/>
            <w:vAlign w:val="bottom"/>
          </w:tcPr>
          <w:p w:rsidR="009534E2" w:rsidRDefault="009534E2">
            <w:pPr>
              <w:spacing w:after="1"/>
              <w:rPr>
                <w:rFonts w:asciiTheme="majorHAnsi" w:hAnsiTheme="majorHAnsi" w:cstheme="majorHAnsi"/>
                <w:color w:val="000000"/>
                <w:sz w:val="16"/>
              </w:rPr>
            </w:pPr>
            <w:bookmarkStart w:name="_8fa3edb8_af68_4cb5_9c09_ad454f046abb" w:id="1934"/>
            <w:bookmarkEnd w:id="1933"/>
          </w:p>
        </w:tc>
        <w:tc>
          <w:tcPr>
            <w:tcW w:w="83" w:type="pct"/>
            <w:tcBorders>
              <w:top w:val="nil"/>
              <w:left w:val="nil"/>
              <w:bottom w:val="nil"/>
              <w:right w:val="nil"/>
              <w:tl2br w:val="nil"/>
              <w:tr2bl w:val="nil"/>
            </w:tcBorders>
            <w:shd w:val="clear" w:color="auto" w:fill="auto"/>
            <w:vAlign w:val="bottom"/>
          </w:tcPr>
          <w:p w:rsidR="009534E2" w:rsidRDefault="009534E2">
            <w:pPr>
              <w:spacing w:after="1"/>
              <w:rPr>
                <w:rFonts w:asciiTheme="majorHAnsi" w:hAnsiTheme="majorHAnsi" w:cstheme="majorHAnsi"/>
                <w:color w:val="000000"/>
                <w:sz w:val="16"/>
              </w:rPr>
            </w:pPr>
          </w:p>
        </w:tc>
        <w:tc>
          <w:tcPr>
            <w:tcW w:w="390" w:type="pct"/>
            <w:tcBorders>
              <w:top w:val="nil"/>
              <w:left w:val="nil"/>
              <w:bottom w:val="nil"/>
              <w:right w:val="nil"/>
              <w:tl2br w:val="nil"/>
              <w:tr2bl w:val="nil"/>
            </w:tcBorders>
            <w:shd w:val="clear" w:color="auto" w:fill="auto"/>
            <w:vAlign w:val="bottom"/>
          </w:tcPr>
          <w:p w:rsidR="009534E2" w:rsidRDefault="009534E2">
            <w:pPr>
              <w:spacing w:after="1"/>
              <w:rPr>
                <w:rFonts w:asciiTheme="majorHAnsi" w:hAnsiTheme="majorHAnsi" w:cstheme="majorHAnsi"/>
                <w:color w:val="000000"/>
                <w:sz w:val="16"/>
              </w:rPr>
            </w:pPr>
          </w:p>
        </w:tc>
        <w:tc>
          <w:tcPr>
            <w:tcW w:w="83" w:type="pct"/>
            <w:tcBorders>
              <w:top w:val="nil"/>
              <w:left w:val="nil"/>
              <w:bottom w:val="nil"/>
              <w:right w:val="nil"/>
              <w:tl2br w:val="nil"/>
              <w:tr2bl w:val="nil"/>
            </w:tcBorders>
            <w:shd w:val="clear" w:color="auto" w:fill="auto"/>
            <w:noWrap/>
            <w:vAlign w:val="bottom"/>
          </w:tcPr>
          <w:p w:rsidR="009534E2" w:rsidRDefault="009534E2">
            <w:pPr>
              <w:spacing w:after="1"/>
              <w:jc w:val="center"/>
              <w:rPr>
                <w:rFonts w:asciiTheme="majorHAnsi" w:hAnsiTheme="majorHAnsi" w:cstheme="majorHAnsi"/>
                <w:b/>
                <w:color w:val="000000"/>
                <w:sz w:val="16"/>
              </w:rPr>
            </w:pPr>
          </w:p>
        </w:tc>
        <w:tc>
          <w:tcPr>
            <w:tcW w:w="390" w:type="pct"/>
            <w:tcBorders>
              <w:top w:val="nil"/>
              <w:left w:val="nil"/>
              <w:bottom w:val="nil"/>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Gross</w:t>
            </w:r>
          </w:p>
        </w:tc>
        <w:tc>
          <w:tcPr>
            <w:tcW w:w="83" w:type="pct"/>
            <w:tcBorders>
              <w:top w:val="nil"/>
              <w:left w:val="nil"/>
              <w:bottom w:val="nil"/>
              <w:right w:val="nil"/>
              <w:tl2br w:val="nil"/>
              <w:tr2bl w:val="nil"/>
            </w:tcBorders>
            <w:shd w:val="clear" w:color="auto" w:fill="auto"/>
            <w:noWrap/>
            <w:vAlign w:val="bottom"/>
          </w:tcPr>
          <w:p w:rsidR="009534E2" w:rsidRDefault="009534E2">
            <w:pPr>
              <w:spacing w:after="1"/>
              <w:jc w:val="center"/>
              <w:rPr>
                <w:rFonts w:asciiTheme="majorHAnsi" w:hAnsiTheme="majorHAnsi" w:cstheme="majorHAnsi"/>
                <w:b/>
                <w:color w:val="000000"/>
                <w:sz w:val="16"/>
              </w:rPr>
            </w:pPr>
          </w:p>
        </w:tc>
        <w:tc>
          <w:tcPr>
            <w:tcW w:w="391" w:type="pct"/>
            <w:tcBorders>
              <w:top w:val="nil"/>
              <w:left w:val="nil"/>
              <w:bottom w:val="nil"/>
              <w:right w:val="nil"/>
              <w:tl2br w:val="nil"/>
              <w:tr2bl w:val="nil"/>
            </w:tcBorders>
            <w:shd w:val="clear" w:color="auto" w:fill="auto"/>
            <w:noWrap/>
            <w:vAlign w:val="bottom"/>
          </w:tcPr>
          <w:p w:rsidR="009534E2" w:rsidRDefault="009534E2">
            <w:pPr>
              <w:spacing w:after="1"/>
              <w:jc w:val="center"/>
              <w:rPr>
                <w:rFonts w:asciiTheme="majorHAnsi" w:hAnsiTheme="majorHAnsi" w:cstheme="majorHAnsi"/>
                <w:b/>
                <w:color w:val="000000"/>
                <w:sz w:val="16"/>
              </w:rPr>
            </w:pPr>
          </w:p>
        </w:tc>
        <w:tc>
          <w:tcPr>
            <w:tcW w:w="83" w:type="pct"/>
            <w:tcBorders>
              <w:top w:val="nil"/>
              <w:left w:val="nil"/>
              <w:bottom w:val="nil"/>
              <w:right w:val="nil"/>
              <w:tl2br w:val="nil"/>
              <w:tr2bl w:val="nil"/>
            </w:tcBorders>
            <w:shd w:val="clear" w:color="auto" w:fill="auto"/>
            <w:noWrap/>
            <w:vAlign w:val="bottom"/>
          </w:tcPr>
          <w:p w:rsidR="009534E2" w:rsidRDefault="009534E2">
            <w:pPr>
              <w:spacing w:after="1"/>
              <w:jc w:val="center"/>
              <w:rPr>
                <w:rFonts w:asciiTheme="majorHAnsi" w:hAnsiTheme="majorHAnsi" w:cstheme="majorHAnsi"/>
                <w:b/>
                <w:color w:val="000000"/>
                <w:sz w:val="16"/>
              </w:rPr>
            </w:pPr>
          </w:p>
        </w:tc>
        <w:tc>
          <w:tcPr>
            <w:tcW w:w="390" w:type="pct"/>
            <w:tcBorders>
              <w:top w:val="nil"/>
              <w:left w:val="nil"/>
              <w:bottom w:val="nil"/>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Gross</w:t>
            </w:r>
          </w:p>
        </w:tc>
        <w:tc>
          <w:tcPr>
            <w:tcW w:w="83" w:type="pct"/>
            <w:tcBorders>
              <w:top w:val="nil"/>
              <w:left w:val="nil"/>
              <w:bottom w:val="nil"/>
              <w:right w:val="nil"/>
              <w:tl2br w:val="nil"/>
              <w:tr2bl w:val="nil"/>
            </w:tcBorders>
            <w:shd w:val="clear" w:color="auto" w:fill="auto"/>
            <w:noWrap/>
            <w:vAlign w:val="bottom"/>
          </w:tcPr>
          <w:p w:rsidR="009534E2" w:rsidRDefault="009534E2">
            <w:pPr>
              <w:spacing w:after="1"/>
              <w:jc w:val="center"/>
              <w:rPr>
                <w:rFonts w:asciiTheme="majorHAnsi" w:hAnsiTheme="majorHAnsi" w:cstheme="majorHAnsi"/>
                <w:b/>
                <w:color w:val="000000"/>
                <w:sz w:val="16"/>
              </w:rPr>
            </w:pPr>
          </w:p>
        </w:tc>
        <w:tc>
          <w:tcPr>
            <w:tcW w:w="391" w:type="pct"/>
            <w:tcBorders>
              <w:top w:val="nil"/>
              <w:left w:val="nil"/>
              <w:bottom w:val="nil"/>
              <w:right w:val="nil"/>
              <w:tl2br w:val="nil"/>
              <w:tr2bl w:val="nil"/>
            </w:tcBorders>
            <w:shd w:val="clear" w:color="auto" w:fill="auto"/>
            <w:noWrap/>
            <w:vAlign w:val="bottom"/>
          </w:tcPr>
          <w:p w:rsidR="009534E2" w:rsidRDefault="009534E2">
            <w:pPr>
              <w:spacing w:after="1"/>
              <w:jc w:val="center"/>
              <w:rPr>
                <w:rFonts w:asciiTheme="majorHAnsi" w:hAnsiTheme="majorHAnsi" w:cstheme="majorHAnsi"/>
                <w:b/>
                <w:color w:val="000000"/>
                <w:sz w:val="16"/>
              </w:rPr>
            </w:pPr>
          </w:p>
        </w:tc>
      </w:tr>
      <w:tr w:rsidR="009534E2">
        <w:tc>
          <w:tcPr>
            <w:tcW w:w="2633" w:type="pct"/>
            <w:tcBorders>
              <w:top w:val="nil"/>
              <w:left w:val="nil"/>
              <w:bottom w:val="nil"/>
              <w:right w:val="nil"/>
              <w:tl2br w:val="nil"/>
              <w:tr2bl w:val="nil"/>
            </w:tcBorders>
            <w:shd w:val="clear" w:color="auto" w:fill="auto"/>
            <w:vAlign w:val="bottom"/>
          </w:tcPr>
          <w:p w:rsidR="009534E2" w:rsidRDefault="009534E2">
            <w:pPr>
              <w:spacing w:after="1"/>
              <w:rPr>
                <w:rFonts w:asciiTheme="majorHAnsi" w:hAnsiTheme="majorHAnsi" w:cstheme="majorHAnsi"/>
                <w:color w:val="000000"/>
                <w:sz w:val="16"/>
              </w:rPr>
            </w:pPr>
            <w:bookmarkStart w:name="_defca333_4c83_4d32_ac19_b0cbb9ff92e5" w:id="1935"/>
            <w:bookmarkEnd w:id="1934"/>
          </w:p>
        </w:tc>
        <w:tc>
          <w:tcPr>
            <w:tcW w:w="83" w:type="pct"/>
            <w:tcBorders>
              <w:top w:val="nil"/>
              <w:left w:val="nil"/>
              <w:bottom w:val="nil"/>
              <w:right w:val="nil"/>
              <w:tl2br w:val="nil"/>
              <w:tr2bl w:val="nil"/>
            </w:tcBorders>
            <w:shd w:val="clear" w:color="auto" w:fill="auto"/>
            <w:vAlign w:val="bottom"/>
          </w:tcPr>
          <w:p w:rsidR="009534E2" w:rsidRDefault="009534E2">
            <w:pPr>
              <w:spacing w:after="1"/>
              <w:rPr>
                <w:rFonts w:asciiTheme="majorHAnsi" w:hAnsiTheme="majorHAnsi" w:cstheme="majorHAnsi"/>
                <w:color w:val="000000"/>
                <w:sz w:val="16"/>
              </w:rPr>
            </w:pPr>
          </w:p>
        </w:tc>
        <w:tc>
          <w:tcPr>
            <w:tcW w:w="390" w:type="pct"/>
            <w:tcBorders>
              <w:top w:val="nil"/>
              <w:left w:val="nil"/>
              <w:bottom w:val="nil"/>
              <w:right w:val="nil"/>
              <w:tl2br w:val="nil"/>
              <w:tr2bl w:val="nil"/>
            </w:tcBorders>
            <w:shd w:val="clear" w:color="auto" w:fill="auto"/>
            <w:vAlign w:val="bottom"/>
          </w:tcPr>
          <w:p w:rsidR="009534E2" w:rsidRDefault="009534E2">
            <w:pPr>
              <w:spacing w:after="1"/>
              <w:rPr>
                <w:rFonts w:asciiTheme="majorHAnsi" w:hAnsiTheme="majorHAnsi" w:cstheme="majorHAnsi"/>
                <w:color w:val="000000"/>
                <w:sz w:val="16"/>
              </w:rPr>
            </w:pPr>
          </w:p>
        </w:tc>
        <w:tc>
          <w:tcPr>
            <w:tcW w:w="83" w:type="pct"/>
            <w:tcBorders>
              <w:top w:val="nil"/>
              <w:left w:val="nil"/>
              <w:bottom w:val="nil"/>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90"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xml:space="preserve"> amount</w:t>
            </w:r>
          </w:p>
        </w:tc>
        <w:tc>
          <w:tcPr>
            <w:tcW w:w="83" w:type="pct"/>
            <w:tcBorders>
              <w:top w:val="nil"/>
              <w:left w:val="nil"/>
              <w:bottom w:val="nil"/>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91"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ECL</w:t>
            </w:r>
          </w:p>
        </w:tc>
        <w:tc>
          <w:tcPr>
            <w:tcW w:w="83" w:type="pct"/>
            <w:tcBorders>
              <w:top w:val="nil"/>
              <w:left w:val="nil"/>
              <w:bottom w:val="nil"/>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90"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xml:space="preserve"> amount</w:t>
            </w:r>
          </w:p>
        </w:tc>
        <w:tc>
          <w:tcPr>
            <w:tcW w:w="83" w:type="pct"/>
            <w:tcBorders>
              <w:top w:val="nil"/>
              <w:left w:val="nil"/>
              <w:bottom w:val="nil"/>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91"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ECL</w:t>
            </w:r>
          </w:p>
        </w:tc>
      </w:tr>
      <w:tr w:rsidR="009534E2">
        <w:tc>
          <w:tcPr>
            <w:tcW w:w="2633" w:type="pct"/>
            <w:tcBorders>
              <w:top w:val="nil"/>
              <w:left w:val="nil"/>
              <w:bottom w:val="nil"/>
              <w:right w:val="nil"/>
              <w:tl2br w:val="nil"/>
              <w:tr2bl w:val="nil"/>
            </w:tcBorders>
            <w:shd w:val="clear" w:color="auto" w:fill="CCEEFF"/>
            <w:vAlign w:val="bottom"/>
          </w:tcPr>
          <w:p w:rsidR="009534E2" w:rsidRDefault="003369EB">
            <w:pPr>
              <w:spacing w:after="1"/>
              <w:rPr>
                <w:rFonts w:asciiTheme="majorHAnsi" w:hAnsiTheme="majorHAnsi" w:cstheme="majorHAnsi"/>
                <w:i/>
                <w:color w:val="000000"/>
              </w:rPr>
            </w:pPr>
            <w:bookmarkStart w:name="_ac39f46c_f700_4315_9931_6c5598a0a77e" w:id="1936"/>
            <w:bookmarkEnd w:id="1935"/>
            <w:r>
              <w:rPr>
                <w:rFonts w:eastAsia="Times New Roman" w:asciiTheme="majorHAnsi" w:hAnsiTheme="majorHAnsi" w:cstheme="majorHAnsi"/>
                <w:i/>
                <w:color w:val="000000"/>
              </w:rPr>
              <w:t>Not overdue</w:t>
            </w:r>
          </w:p>
        </w:tc>
        <w:tc>
          <w:tcPr>
            <w:tcW w:w="83" w:type="pct"/>
            <w:tcBorders>
              <w:top w:val="nil"/>
              <w:left w:val="nil"/>
              <w:bottom w:val="nil"/>
              <w:right w:val="nil"/>
              <w:tl2br w:val="nil"/>
              <w:tr2bl w:val="nil"/>
            </w:tcBorders>
            <w:shd w:val="clear" w:color="auto" w:fill="CCEEFF"/>
            <w:vAlign w:val="bottom"/>
          </w:tcPr>
          <w:p w:rsidR="009534E2" w:rsidRDefault="009534E2">
            <w:pPr>
              <w:spacing w:after="1"/>
              <w:rPr>
                <w:rFonts w:asciiTheme="majorHAnsi" w:hAnsiTheme="majorHAnsi" w:cstheme="majorHAnsi"/>
                <w:i/>
                <w:color w:val="000000"/>
              </w:rPr>
            </w:pPr>
          </w:p>
        </w:tc>
        <w:tc>
          <w:tcPr>
            <w:tcW w:w="390" w:type="pct"/>
            <w:tcBorders>
              <w:top w:val="nil"/>
              <w:left w:val="nil"/>
              <w:bottom w:val="nil"/>
              <w:right w:val="nil"/>
              <w:tl2br w:val="nil"/>
              <w:tr2bl w:val="nil"/>
            </w:tcBorders>
            <w:shd w:val="clear" w:color="auto" w:fill="CCEEFF"/>
            <w:vAlign w:val="bottom"/>
          </w:tcPr>
          <w:p w:rsidR="009534E2" w:rsidRDefault="003369EB">
            <w:pPr>
              <w:spacing w:after="1"/>
              <w:jc w:val="center"/>
              <w:rPr>
                <w:rFonts w:asciiTheme="majorHAnsi" w:hAnsiTheme="majorHAnsi" w:cstheme="majorHAnsi"/>
                <w:i/>
                <w:color w:val="000000"/>
              </w:rPr>
            </w:pPr>
            <w:r>
              <w:rPr>
                <w:rFonts w:eastAsia="Times New Roman" w:asciiTheme="majorHAnsi" w:hAnsiTheme="majorHAnsi" w:cstheme="majorHAnsi"/>
                <w:i/>
                <w:color w:val="000000"/>
              </w:rPr>
              <w:t>Stage 1</w:t>
            </w:r>
          </w:p>
        </w:tc>
        <w:tc>
          <w:tcPr>
            <w:tcW w:w="83" w:type="pct"/>
            <w:tcBorders>
              <w:top w:val="nil"/>
              <w:left w:val="nil"/>
              <w:bottom w:val="nil"/>
              <w:right w:val="nil"/>
              <w:tl2br w:val="nil"/>
              <w:tr2bl w:val="nil"/>
            </w:tcBorders>
            <w:shd w:val="clear" w:color="auto" w:fill="CCEEFF"/>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0" w:type="pct"/>
            <w:tcBorders>
              <w:top w:val="nil"/>
              <w:left w:val="nil"/>
              <w:bottom w:val="nil"/>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14,860</w:t>
            </w:r>
          </w:p>
        </w:tc>
        <w:tc>
          <w:tcPr>
            <w:tcW w:w="83" w:type="pct"/>
            <w:tcBorders>
              <w:top w:val="nil"/>
              <w:left w:val="nil"/>
              <w:bottom w:val="nil"/>
              <w:right w:val="nil"/>
              <w:tl2br w:val="nil"/>
              <w:tr2bl w:val="nil"/>
            </w:tcBorders>
            <w:shd w:val="clear" w:color="auto" w:fill="CCEEFF"/>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1"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(22)</w:t>
            </w:r>
          </w:p>
        </w:tc>
        <w:tc>
          <w:tcPr>
            <w:tcW w:w="83" w:type="pct"/>
            <w:tcBorders>
              <w:top w:val="nil"/>
              <w:left w:val="nil"/>
              <w:bottom w:val="nil"/>
              <w:right w:val="nil"/>
              <w:tl2br w:val="nil"/>
              <w:tr2bl w:val="nil"/>
            </w:tcBorders>
            <w:shd w:val="clear" w:color="auto" w:fill="CCEEFF"/>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0" w:type="pct"/>
            <w:tcBorders>
              <w:top w:val="nil"/>
              <w:left w:val="nil"/>
              <w:bottom w:val="nil"/>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11,519</w:t>
            </w:r>
          </w:p>
        </w:tc>
        <w:tc>
          <w:tcPr>
            <w:tcW w:w="83" w:type="pct"/>
            <w:tcBorders>
              <w:top w:val="nil"/>
              <w:left w:val="nil"/>
              <w:bottom w:val="nil"/>
              <w:right w:val="nil"/>
              <w:tl2br w:val="nil"/>
              <w:tr2bl w:val="nil"/>
            </w:tcBorders>
            <w:shd w:val="clear" w:color="auto" w:fill="CCEEFF"/>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1"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(21)</w:t>
            </w:r>
          </w:p>
        </w:tc>
      </w:tr>
      <w:tr w:rsidR="009534E2">
        <w:tc>
          <w:tcPr>
            <w:tcW w:w="2633" w:type="pct"/>
            <w:tcBorders>
              <w:top w:val="nil"/>
              <w:left w:val="nil"/>
              <w:bottom w:val="nil"/>
              <w:right w:val="nil"/>
              <w:tl2br w:val="nil"/>
              <w:tr2bl w:val="nil"/>
            </w:tcBorders>
            <w:vAlign w:val="bottom"/>
          </w:tcPr>
          <w:p w:rsidR="009534E2" w:rsidRDefault="003369EB">
            <w:pPr>
              <w:spacing w:after="1"/>
              <w:rPr>
                <w:rFonts w:asciiTheme="majorHAnsi" w:hAnsiTheme="majorHAnsi" w:cstheme="majorHAnsi"/>
                <w:i/>
                <w:color w:val="000000"/>
              </w:rPr>
            </w:pPr>
            <w:bookmarkStart w:name="_e335f610_bc6d_4159_a574_8a3696751085" w:id="1937"/>
            <w:bookmarkEnd w:id="1936"/>
            <w:r>
              <w:rPr>
                <w:rFonts w:eastAsia="Times New Roman" w:asciiTheme="majorHAnsi" w:hAnsiTheme="majorHAnsi" w:cstheme="majorHAnsi"/>
                <w:i/>
                <w:color w:val="000000"/>
              </w:rPr>
              <w:t>Up to 30 days overdue</w:t>
            </w:r>
          </w:p>
        </w:tc>
        <w:tc>
          <w:tcPr>
            <w:tcW w:w="83" w:type="pct"/>
            <w:tcBorders>
              <w:top w:val="nil"/>
              <w:left w:val="nil"/>
              <w:bottom w:val="nil"/>
              <w:right w:val="nil"/>
              <w:tl2br w:val="nil"/>
              <w:tr2bl w:val="nil"/>
            </w:tcBorders>
            <w:vAlign w:val="bottom"/>
          </w:tcPr>
          <w:p w:rsidR="009534E2" w:rsidRDefault="009534E2">
            <w:pPr>
              <w:spacing w:after="1"/>
              <w:rPr>
                <w:rFonts w:asciiTheme="majorHAnsi" w:hAnsiTheme="majorHAnsi" w:cstheme="majorHAnsi"/>
                <w:i/>
                <w:color w:val="000000"/>
              </w:rPr>
            </w:pPr>
          </w:p>
        </w:tc>
        <w:tc>
          <w:tcPr>
            <w:tcW w:w="390" w:type="pct"/>
            <w:tcBorders>
              <w:top w:val="nil"/>
              <w:left w:val="nil"/>
              <w:bottom w:val="nil"/>
              <w:right w:val="nil"/>
              <w:tl2br w:val="nil"/>
              <w:tr2bl w:val="nil"/>
            </w:tcBorders>
            <w:vAlign w:val="bottom"/>
          </w:tcPr>
          <w:p w:rsidR="009534E2" w:rsidRDefault="009534E2">
            <w:pPr>
              <w:spacing w:after="1"/>
              <w:jc w:val="center"/>
              <w:rPr>
                <w:rFonts w:asciiTheme="majorHAnsi" w:hAnsiTheme="majorHAnsi" w:cstheme="majorHAnsi"/>
                <w:i/>
                <w:color w:val="000000"/>
              </w:rPr>
            </w:pPr>
          </w:p>
        </w:tc>
        <w:tc>
          <w:tcPr>
            <w:tcW w:w="83" w:type="pct"/>
            <w:tcBorders>
              <w:top w:val="nil"/>
              <w:left w:val="nil"/>
              <w:bottom w:val="nil"/>
              <w:right w:val="nil"/>
              <w:tl2br w:val="nil"/>
              <w:tr2bl w:val="nil"/>
            </w:tcBorders>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0" w:type="pct"/>
            <w:tcBorders>
              <w:top w:val="nil"/>
              <w:left w:val="nil"/>
              <w:bottom w:val="nil"/>
              <w:right w:val="nil"/>
              <w:tl2br w:val="nil"/>
              <w:tr2bl w:val="nil"/>
            </w:tcBorders>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112</w:t>
            </w:r>
          </w:p>
        </w:tc>
        <w:tc>
          <w:tcPr>
            <w:tcW w:w="83" w:type="pct"/>
            <w:tcBorders>
              <w:top w:val="nil"/>
              <w:left w:val="nil"/>
              <w:bottom w:val="nil"/>
              <w:right w:val="nil"/>
              <w:tl2br w:val="nil"/>
              <w:tr2bl w:val="nil"/>
            </w:tcBorders>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1"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w:t>
            </w:r>
          </w:p>
        </w:tc>
        <w:tc>
          <w:tcPr>
            <w:tcW w:w="83" w:type="pct"/>
            <w:tcBorders>
              <w:top w:val="nil"/>
              <w:left w:val="nil"/>
              <w:bottom w:val="nil"/>
              <w:right w:val="nil"/>
              <w:tl2br w:val="nil"/>
              <w:tr2bl w:val="nil"/>
            </w:tcBorders>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0" w:type="pct"/>
            <w:tcBorders>
              <w:top w:val="nil"/>
              <w:left w:val="nil"/>
              <w:bottom w:val="nil"/>
              <w:right w:val="nil"/>
              <w:tl2br w:val="nil"/>
              <w:tr2bl w:val="nil"/>
            </w:tcBorders>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40</w:t>
            </w:r>
          </w:p>
        </w:tc>
        <w:tc>
          <w:tcPr>
            <w:tcW w:w="83" w:type="pct"/>
            <w:tcBorders>
              <w:top w:val="nil"/>
              <w:left w:val="nil"/>
              <w:bottom w:val="nil"/>
              <w:right w:val="nil"/>
              <w:tl2br w:val="nil"/>
              <w:tr2bl w:val="nil"/>
            </w:tcBorders>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1"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(13)</w:t>
            </w:r>
          </w:p>
        </w:tc>
      </w:tr>
      <w:tr w:rsidR="009534E2">
        <w:tc>
          <w:tcPr>
            <w:tcW w:w="2633" w:type="pct"/>
            <w:tcBorders>
              <w:top w:val="nil"/>
              <w:left w:val="nil"/>
              <w:bottom w:val="nil"/>
              <w:right w:val="nil"/>
              <w:tl2br w:val="nil"/>
              <w:tr2bl w:val="nil"/>
            </w:tcBorders>
            <w:shd w:val="clear" w:color="auto" w:fill="CCEEFF"/>
            <w:vAlign w:val="bottom"/>
          </w:tcPr>
          <w:p w:rsidR="009534E2" w:rsidRDefault="003369EB">
            <w:pPr>
              <w:spacing w:after="1"/>
              <w:rPr>
                <w:rFonts w:asciiTheme="majorHAnsi" w:hAnsiTheme="majorHAnsi" w:cstheme="majorHAnsi"/>
                <w:i/>
                <w:color w:val="000000"/>
              </w:rPr>
            </w:pPr>
            <w:bookmarkStart w:name="_147305da_c16c_4a2b_ac3e_fa283d3eb56a" w:id="1938"/>
            <w:bookmarkEnd w:id="1937"/>
            <w:r>
              <w:rPr>
                <w:rFonts w:eastAsia="Times New Roman" w:asciiTheme="majorHAnsi" w:hAnsiTheme="majorHAnsi" w:cstheme="majorHAnsi"/>
                <w:i/>
                <w:color w:val="000000"/>
              </w:rPr>
              <w:t>30-60 days overdue</w:t>
            </w:r>
          </w:p>
        </w:tc>
        <w:tc>
          <w:tcPr>
            <w:tcW w:w="83" w:type="pct"/>
            <w:tcBorders>
              <w:top w:val="nil"/>
              <w:left w:val="nil"/>
              <w:bottom w:val="nil"/>
              <w:right w:val="nil"/>
              <w:tl2br w:val="nil"/>
              <w:tr2bl w:val="nil"/>
            </w:tcBorders>
            <w:shd w:val="clear" w:color="auto" w:fill="CCEEFF"/>
            <w:vAlign w:val="bottom"/>
          </w:tcPr>
          <w:p w:rsidR="009534E2" w:rsidRDefault="009534E2">
            <w:pPr>
              <w:spacing w:after="1"/>
              <w:rPr>
                <w:rFonts w:asciiTheme="majorHAnsi" w:hAnsiTheme="majorHAnsi" w:cstheme="majorHAnsi"/>
                <w:i/>
                <w:color w:val="000000"/>
              </w:rPr>
            </w:pPr>
          </w:p>
        </w:tc>
        <w:tc>
          <w:tcPr>
            <w:tcW w:w="390" w:type="pct"/>
            <w:tcBorders>
              <w:top w:val="nil"/>
              <w:left w:val="nil"/>
              <w:bottom w:val="nil"/>
              <w:right w:val="nil"/>
              <w:tl2br w:val="nil"/>
              <w:tr2bl w:val="nil"/>
            </w:tcBorders>
            <w:shd w:val="clear" w:color="auto" w:fill="CCEEFF"/>
            <w:vAlign w:val="bottom"/>
          </w:tcPr>
          <w:p w:rsidR="009534E2" w:rsidRDefault="003369EB">
            <w:pPr>
              <w:spacing w:after="1"/>
              <w:jc w:val="center"/>
              <w:rPr>
                <w:rFonts w:asciiTheme="majorHAnsi" w:hAnsiTheme="majorHAnsi" w:cstheme="majorHAnsi"/>
                <w:i/>
                <w:color w:val="000000"/>
              </w:rPr>
            </w:pPr>
            <w:r>
              <w:rPr>
                <w:rFonts w:eastAsia="Times New Roman" w:asciiTheme="majorHAnsi" w:hAnsiTheme="majorHAnsi" w:cstheme="majorHAnsi"/>
                <w:i/>
                <w:color w:val="000000"/>
              </w:rPr>
              <w:t>Stage 2</w:t>
            </w:r>
          </w:p>
        </w:tc>
        <w:tc>
          <w:tcPr>
            <w:tcW w:w="83" w:type="pct"/>
            <w:tcBorders>
              <w:top w:val="nil"/>
              <w:left w:val="nil"/>
              <w:bottom w:val="nil"/>
              <w:right w:val="nil"/>
              <w:tl2br w:val="nil"/>
              <w:tr2bl w:val="nil"/>
            </w:tcBorders>
            <w:shd w:val="clear" w:color="auto" w:fill="CCEEFF"/>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0" w:type="pct"/>
            <w:tcBorders>
              <w:top w:val="nil"/>
              <w:left w:val="nil"/>
              <w:bottom w:val="nil"/>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180</w:t>
            </w:r>
          </w:p>
        </w:tc>
        <w:tc>
          <w:tcPr>
            <w:tcW w:w="83" w:type="pct"/>
            <w:tcBorders>
              <w:top w:val="nil"/>
              <w:left w:val="nil"/>
              <w:bottom w:val="nil"/>
              <w:right w:val="nil"/>
              <w:tl2br w:val="nil"/>
              <w:tr2bl w:val="nil"/>
            </w:tcBorders>
            <w:shd w:val="clear" w:color="auto" w:fill="CCEEFF"/>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1"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(118)</w:t>
            </w:r>
          </w:p>
        </w:tc>
        <w:tc>
          <w:tcPr>
            <w:tcW w:w="83" w:type="pct"/>
            <w:tcBorders>
              <w:top w:val="nil"/>
              <w:left w:val="nil"/>
              <w:bottom w:val="nil"/>
              <w:right w:val="nil"/>
              <w:tl2br w:val="nil"/>
              <w:tr2bl w:val="nil"/>
            </w:tcBorders>
            <w:shd w:val="clear" w:color="auto" w:fill="CCEEFF"/>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0" w:type="pct"/>
            <w:tcBorders>
              <w:top w:val="nil"/>
              <w:left w:val="nil"/>
              <w:bottom w:val="nil"/>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w:t>
            </w:r>
          </w:p>
        </w:tc>
        <w:tc>
          <w:tcPr>
            <w:tcW w:w="83" w:type="pct"/>
            <w:tcBorders>
              <w:top w:val="nil"/>
              <w:left w:val="nil"/>
              <w:bottom w:val="nil"/>
              <w:right w:val="nil"/>
              <w:tl2br w:val="nil"/>
              <w:tr2bl w:val="nil"/>
            </w:tcBorders>
            <w:shd w:val="clear" w:color="auto" w:fill="CCEEFF"/>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1"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(4)</w:t>
            </w:r>
          </w:p>
        </w:tc>
      </w:tr>
      <w:tr w:rsidR="009534E2">
        <w:tc>
          <w:tcPr>
            <w:tcW w:w="2633" w:type="pct"/>
            <w:tcBorders>
              <w:top w:val="nil"/>
              <w:left w:val="nil"/>
              <w:bottom w:val="nil"/>
              <w:right w:val="nil"/>
              <w:tl2br w:val="nil"/>
              <w:tr2bl w:val="nil"/>
            </w:tcBorders>
            <w:vAlign w:val="bottom"/>
          </w:tcPr>
          <w:p w:rsidR="009534E2" w:rsidRDefault="003369EB">
            <w:pPr>
              <w:spacing w:after="1"/>
              <w:rPr>
                <w:rFonts w:asciiTheme="majorHAnsi" w:hAnsiTheme="majorHAnsi" w:cstheme="majorHAnsi"/>
                <w:i/>
                <w:color w:val="000000"/>
              </w:rPr>
            </w:pPr>
            <w:bookmarkStart w:name="_887811ab_db71_43d8_836b_c9a6aa31a3c6" w:id="1939"/>
            <w:bookmarkEnd w:id="1938"/>
            <w:r>
              <w:rPr>
                <w:rFonts w:eastAsia="Times New Roman" w:asciiTheme="majorHAnsi" w:hAnsiTheme="majorHAnsi" w:cstheme="majorHAnsi"/>
                <w:i/>
                <w:color w:val="000000"/>
              </w:rPr>
              <w:t>60-90 days overdue</w:t>
            </w:r>
          </w:p>
        </w:tc>
        <w:tc>
          <w:tcPr>
            <w:tcW w:w="83" w:type="pct"/>
            <w:tcBorders>
              <w:top w:val="nil"/>
              <w:left w:val="nil"/>
              <w:bottom w:val="nil"/>
              <w:right w:val="nil"/>
              <w:tl2br w:val="nil"/>
              <w:tr2bl w:val="nil"/>
            </w:tcBorders>
            <w:vAlign w:val="bottom"/>
          </w:tcPr>
          <w:p w:rsidR="009534E2" w:rsidRDefault="009534E2">
            <w:pPr>
              <w:spacing w:after="1"/>
              <w:rPr>
                <w:rFonts w:asciiTheme="majorHAnsi" w:hAnsiTheme="majorHAnsi" w:cstheme="majorHAnsi"/>
                <w:i/>
                <w:color w:val="000000"/>
              </w:rPr>
            </w:pPr>
          </w:p>
        </w:tc>
        <w:tc>
          <w:tcPr>
            <w:tcW w:w="390" w:type="pct"/>
            <w:tcBorders>
              <w:top w:val="nil"/>
              <w:left w:val="nil"/>
              <w:bottom w:val="nil"/>
              <w:right w:val="nil"/>
              <w:tl2br w:val="nil"/>
              <w:tr2bl w:val="nil"/>
            </w:tcBorders>
            <w:vAlign w:val="bottom"/>
          </w:tcPr>
          <w:p w:rsidR="009534E2" w:rsidRDefault="009534E2">
            <w:pPr>
              <w:spacing w:after="1"/>
              <w:jc w:val="center"/>
              <w:rPr>
                <w:rFonts w:asciiTheme="majorHAnsi" w:hAnsiTheme="majorHAnsi" w:cstheme="majorHAnsi"/>
                <w:i/>
                <w:color w:val="000000"/>
              </w:rPr>
            </w:pPr>
          </w:p>
        </w:tc>
        <w:tc>
          <w:tcPr>
            <w:tcW w:w="83" w:type="pct"/>
            <w:tcBorders>
              <w:top w:val="nil"/>
              <w:left w:val="nil"/>
              <w:bottom w:val="nil"/>
              <w:right w:val="nil"/>
              <w:tl2br w:val="nil"/>
              <w:tr2bl w:val="nil"/>
            </w:tcBorders>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0" w:type="pct"/>
            <w:tcBorders>
              <w:top w:val="nil"/>
              <w:left w:val="nil"/>
              <w:bottom w:val="nil"/>
              <w:right w:val="nil"/>
              <w:tl2br w:val="nil"/>
              <w:tr2bl w:val="nil"/>
            </w:tcBorders>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18</w:t>
            </w:r>
          </w:p>
        </w:tc>
        <w:tc>
          <w:tcPr>
            <w:tcW w:w="83" w:type="pct"/>
            <w:tcBorders>
              <w:top w:val="nil"/>
              <w:left w:val="nil"/>
              <w:bottom w:val="nil"/>
              <w:right w:val="nil"/>
              <w:tl2br w:val="nil"/>
              <w:tr2bl w:val="nil"/>
            </w:tcBorders>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1"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w:t>
            </w:r>
          </w:p>
        </w:tc>
        <w:tc>
          <w:tcPr>
            <w:tcW w:w="83" w:type="pct"/>
            <w:tcBorders>
              <w:top w:val="nil"/>
              <w:left w:val="nil"/>
              <w:bottom w:val="nil"/>
              <w:right w:val="nil"/>
              <w:tl2br w:val="nil"/>
              <w:tr2bl w:val="nil"/>
            </w:tcBorders>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0" w:type="pct"/>
            <w:tcBorders>
              <w:top w:val="nil"/>
              <w:left w:val="nil"/>
              <w:bottom w:val="nil"/>
              <w:right w:val="nil"/>
              <w:tl2br w:val="nil"/>
              <w:tr2bl w:val="nil"/>
            </w:tcBorders>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w:t>
            </w:r>
          </w:p>
        </w:tc>
        <w:tc>
          <w:tcPr>
            <w:tcW w:w="83" w:type="pct"/>
            <w:tcBorders>
              <w:top w:val="nil"/>
              <w:left w:val="nil"/>
              <w:bottom w:val="nil"/>
              <w:right w:val="nil"/>
              <w:tl2br w:val="nil"/>
              <w:tr2bl w:val="nil"/>
            </w:tcBorders>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1"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w:t>
            </w:r>
          </w:p>
        </w:tc>
      </w:tr>
      <w:tr w:rsidR="009534E2">
        <w:tc>
          <w:tcPr>
            <w:tcW w:w="2633" w:type="pct"/>
            <w:tcBorders>
              <w:top w:val="nil"/>
              <w:left w:val="nil"/>
              <w:bottom w:val="nil"/>
              <w:right w:val="nil"/>
              <w:tl2br w:val="nil"/>
              <w:tr2bl w:val="nil"/>
            </w:tcBorders>
            <w:shd w:val="clear" w:color="auto" w:fill="CCEEFF"/>
            <w:vAlign w:val="bottom"/>
          </w:tcPr>
          <w:p w:rsidR="009534E2" w:rsidRDefault="003369EB">
            <w:pPr>
              <w:spacing w:after="1"/>
              <w:rPr>
                <w:rFonts w:asciiTheme="majorHAnsi" w:hAnsiTheme="majorHAnsi" w:cstheme="majorHAnsi"/>
                <w:i/>
                <w:color w:val="000000"/>
              </w:rPr>
            </w:pPr>
            <w:bookmarkStart w:name="_6cafe875_fa96_4449_9126_f57d2b8aa02a" w:id="1940"/>
            <w:bookmarkEnd w:id="1939"/>
            <w:r>
              <w:rPr>
                <w:rFonts w:eastAsia="Times New Roman" w:asciiTheme="majorHAnsi" w:hAnsiTheme="majorHAnsi" w:cstheme="majorHAnsi"/>
                <w:i/>
                <w:color w:val="000000"/>
              </w:rPr>
              <w:t>90+ days overdue</w:t>
            </w:r>
          </w:p>
        </w:tc>
        <w:tc>
          <w:tcPr>
            <w:tcW w:w="83" w:type="pct"/>
            <w:tcBorders>
              <w:top w:val="nil"/>
              <w:left w:val="nil"/>
              <w:bottom w:val="nil"/>
              <w:right w:val="nil"/>
              <w:tl2br w:val="nil"/>
              <w:tr2bl w:val="nil"/>
            </w:tcBorders>
            <w:shd w:val="clear" w:color="auto" w:fill="CCEEFF"/>
            <w:vAlign w:val="bottom"/>
          </w:tcPr>
          <w:p w:rsidR="009534E2" w:rsidRDefault="009534E2">
            <w:pPr>
              <w:spacing w:after="1"/>
              <w:rPr>
                <w:rFonts w:asciiTheme="majorHAnsi" w:hAnsiTheme="majorHAnsi" w:cstheme="majorHAnsi"/>
                <w:i/>
                <w:color w:val="000000"/>
              </w:rPr>
            </w:pPr>
          </w:p>
        </w:tc>
        <w:tc>
          <w:tcPr>
            <w:tcW w:w="390" w:type="pct"/>
            <w:tcBorders>
              <w:top w:val="nil"/>
              <w:left w:val="nil"/>
              <w:bottom w:val="nil"/>
              <w:right w:val="nil"/>
              <w:tl2br w:val="nil"/>
              <w:tr2bl w:val="nil"/>
            </w:tcBorders>
            <w:shd w:val="clear" w:color="auto" w:fill="CCEEFF"/>
            <w:vAlign w:val="bottom"/>
          </w:tcPr>
          <w:p w:rsidR="009534E2" w:rsidRDefault="003369EB">
            <w:pPr>
              <w:spacing w:after="1"/>
              <w:jc w:val="center"/>
              <w:rPr>
                <w:rFonts w:asciiTheme="majorHAnsi" w:hAnsiTheme="majorHAnsi" w:cstheme="majorHAnsi"/>
                <w:i/>
                <w:color w:val="000000"/>
              </w:rPr>
            </w:pPr>
            <w:r>
              <w:rPr>
                <w:rFonts w:eastAsia="Times New Roman" w:asciiTheme="majorHAnsi" w:hAnsiTheme="majorHAnsi" w:cstheme="majorHAnsi"/>
                <w:i/>
                <w:color w:val="000000"/>
              </w:rPr>
              <w:t>Stage 3</w:t>
            </w:r>
          </w:p>
        </w:tc>
        <w:tc>
          <w:tcPr>
            <w:tcW w:w="83" w:type="pct"/>
            <w:tcBorders>
              <w:top w:val="nil"/>
              <w:left w:val="nil"/>
              <w:bottom w:val="nil"/>
              <w:right w:val="nil"/>
              <w:tl2br w:val="nil"/>
              <w:tr2bl w:val="nil"/>
            </w:tcBorders>
            <w:shd w:val="clear" w:color="auto" w:fill="CCEEFF"/>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294</w:t>
            </w:r>
          </w:p>
        </w:tc>
        <w:tc>
          <w:tcPr>
            <w:tcW w:w="83" w:type="pct"/>
            <w:tcBorders>
              <w:top w:val="nil"/>
              <w:left w:val="nil"/>
              <w:bottom w:val="nil"/>
              <w:right w:val="nil"/>
              <w:tl2br w:val="nil"/>
              <w:tr2bl w:val="nil"/>
            </w:tcBorders>
            <w:shd w:val="clear" w:color="auto" w:fill="CCEEFF"/>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1" w:type="pct"/>
            <w:tcBorders>
              <w:top w:val="nil"/>
              <w:left w:val="nil"/>
              <w:bottom w:val="single" w:color="000000" w:sz="4" w:space="0"/>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(277)</w:t>
            </w:r>
          </w:p>
        </w:tc>
        <w:tc>
          <w:tcPr>
            <w:tcW w:w="83" w:type="pct"/>
            <w:tcBorders>
              <w:top w:val="nil"/>
              <w:left w:val="nil"/>
              <w:bottom w:val="nil"/>
              <w:right w:val="nil"/>
              <w:tl2br w:val="nil"/>
              <w:tr2bl w:val="nil"/>
            </w:tcBorders>
            <w:shd w:val="clear" w:color="auto" w:fill="CCEEFF"/>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0" w:type="pct"/>
            <w:tcBorders>
              <w:top w:val="nil"/>
              <w:left w:val="nil"/>
              <w:bottom w:val="single" w:color="000000" w:sz="4" w:space="0"/>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55</w:t>
            </w:r>
          </w:p>
        </w:tc>
        <w:tc>
          <w:tcPr>
            <w:tcW w:w="83" w:type="pct"/>
            <w:tcBorders>
              <w:top w:val="nil"/>
              <w:left w:val="nil"/>
              <w:bottom w:val="nil"/>
              <w:right w:val="nil"/>
              <w:tl2br w:val="nil"/>
              <w:tr2bl w:val="nil"/>
            </w:tcBorders>
            <w:shd w:val="clear" w:color="auto" w:fill="CCEEFF"/>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1" w:type="pct"/>
            <w:tcBorders>
              <w:top w:val="nil"/>
              <w:left w:val="nil"/>
              <w:bottom w:val="single" w:color="000000" w:sz="4" w:space="0"/>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(53)</w:t>
            </w:r>
          </w:p>
        </w:tc>
      </w:tr>
      <w:tr w:rsidR="009534E2">
        <w:tc>
          <w:tcPr>
            <w:tcW w:w="2633" w:type="pct"/>
            <w:tcBorders>
              <w:top w:val="nil"/>
              <w:left w:val="nil"/>
              <w:bottom w:val="nil"/>
              <w:right w:val="nil"/>
              <w:tl2br w:val="nil"/>
              <w:tr2bl w:val="nil"/>
            </w:tcBorders>
            <w:vAlign w:val="bottom"/>
          </w:tcPr>
          <w:p w:rsidR="009534E2" w:rsidRDefault="003369EB">
            <w:pPr>
              <w:spacing w:after="1"/>
              <w:rPr>
                <w:rFonts w:asciiTheme="majorHAnsi" w:hAnsiTheme="majorHAnsi" w:cstheme="majorHAnsi"/>
                <w:b/>
                <w:color w:val="000000"/>
              </w:rPr>
            </w:pPr>
            <w:bookmarkStart w:name="_44edd4a5_8214_42c5_8c32_8c8176ed26f5" w:id="1941"/>
            <w:bookmarkEnd w:id="1940"/>
            <w:r>
              <w:rPr>
                <w:rFonts w:eastAsia="Times New Roman" w:asciiTheme="majorHAnsi" w:hAnsiTheme="majorHAnsi" w:cstheme="majorHAnsi"/>
                <w:b/>
                <w:color w:val="000000"/>
              </w:rPr>
              <w:t>Total</w:t>
            </w:r>
          </w:p>
        </w:tc>
        <w:tc>
          <w:tcPr>
            <w:tcW w:w="83" w:type="pct"/>
            <w:tcBorders>
              <w:top w:val="nil"/>
              <w:left w:val="nil"/>
              <w:bottom w:val="nil"/>
              <w:right w:val="nil"/>
              <w:tl2br w:val="nil"/>
              <w:tr2bl w:val="nil"/>
            </w:tcBorders>
            <w:vAlign w:val="bottom"/>
          </w:tcPr>
          <w:p w:rsidR="009534E2" w:rsidRDefault="009534E2">
            <w:pPr>
              <w:spacing w:after="1"/>
              <w:rPr>
                <w:rFonts w:asciiTheme="majorHAnsi" w:hAnsiTheme="majorHAnsi" w:cstheme="majorHAnsi"/>
                <w:b/>
                <w:color w:val="000000"/>
              </w:rPr>
            </w:pPr>
          </w:p>
        </w:tc>
        <w:tc>
          <w:tcPr>
            <w:tcW w:w="390" w:type="pct"/>
            <w:tcBorders>
              <w:top w:val="nil"/>
              <w:left w:val="nil"/>
              <w:bottom w:val="nil"/>
              <w:right w:val="nil"/>
              <w:tl2br w:val="nil"/>
              <w:tr2bl w:val="nil"/>
            </w:tcBorders>
            <w:vAlign w:val="bottom"/>
          </w:tcPr>
          <w:p w:rsidR="009534E2" w:rsidRDefault="009534E2">
            <w:pPr>
              <w:spacing w:after="1"/>
              <w:rPr>
                <w:rFonts w:asciiTheme="majorHAnsi" w:hAnsiTheme="majorHAnsi" w:cstheme="majorHAnsi"/>
                <w:b/>
                <w:color w:val="000000"/>
              </w:rPr>
            </w:pPr>
          </w:p>
        </w:tc>
        <w:tc>
          <w:tcPr>
            <w:tcW w:w="83" w:type="pct"/>
            <w:tcBorders>
              <w:top w:val="nil"/>
              <w:left w:val="nil"/>
              <w:bottom w:val="nil"/>
              <w:right w:val="nil"/>
              <w:tl2br w:val="nil"/>
              <w:tr2bl w:val="nil"/>
            </w:tcBorders>
            <w:noWrap/>
            <w:vAlign w:val="bottom"/>
          </w:tcPr>
          <w:p w:rsidR="009534E2" w:rsidRDefault="003369EB">
            <w:pPr>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90" w:type="pct"/>
            <w:tcBorders>
              <w:top w:val="nil"/>
              <w:left w:val="nil"/>
              <w:bottom w:val="double" w:color="000000" w:sz="4" w:space="0"/>
              <w:right w:val="nil"/>
              <w:tl2br w:val="nil"/>
              <w:tr2bl w:val="nil"/>
            </w:tcBorders>
            <w:noWrap/>
            <w:vAlign w:val="bottom"/>
          </w:tcPr>
          <w:p w:rsidR="009534E2" w:rsidRDefault="003369EB">
            <w:pPr>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15,464</w:t>
            </w:r>
          </w:p>
        </w:tc>
        <w:tc>
          <w:tcPr>
            <w:tcW w:w="83" w:type="pct"/>
            <w:tcBorders>
              <w:top w:val="nil"/>
              <w:left w:val="nil"/>
              <w:bottom w:val="nil"/>
              <w:right w:val="nil"/>
              <w:tl2br w:val="nil"/>
              <w:tr2bl w:val="nil"/>
            </w:tcBorders>
            <w:noWrap/>
            <w:vAlign w:val="bottom"/>
          </w:tcPr>
          <w:p w:rsidR="009534E2" w:rsidRDefault="003369EB">
            <w:pPr>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91" w:type="pct"/>
            <w:tcBorders>
              <w:top w:val="nil"/>
              <w:left w:val="nil"/>
              <w:bottom w:val="double" w:color="000000" w:sz="4" w:space="0"/>
              <w:right w:val="nil"/>
              <w:tl2br w:val="nil"/>
              <w:tr2bl w:val="nil"/>
            </w:tcBorders>
            <w:noWrap/>
            <w:vAlign w:val="bottom"/>
          </w:tcPr>
          <w:p w:rsidR="009534E2" w:rsidRDefault="003369EB">
            <w:pPr>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(421)</w:t>
            </w:r>
          </w:p>
        </w:tc>
        <w:tc>
          <w:tcPr>
            <w:tcW w:w="83" w:type="pct"/>
            <w:tcBorders>
              <w:top w:val="nil"/>
              <w:left w:val="nil"/>
              <w:bottom w:val="nil"/>
              <w:right w:val="nil"/>
              <w:tl2br w:val="nil"/>
              <w:tr2bl w:val="nil"/>
            </w:tcBorders>
            <w:noWrap/>
            <w:vAlign w:val="bottom"/>
          </w:tcPr>
          <w:p w:rsidR="009534E2" w:rsidRDefault="003369EB">
            <w:pPr>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90" w:type="pct"/>
            <w:tcBorders>
              <w:top w:val="nil"/>
              <w:left w:val="nil"/>
              <w:bottom w:val="double" w:color="000000" w:sz="4" w:space="0"/>
              <w:right w:val="nil"/>
              <w:tl2br w:val="nil"/>
              <w:tr2bl w:val="nil"/>
            </w:tcBorders>
            <w:noWrap/>
            <w:vAlign w:val="bottom"/>
          </w:tcPr>
          <w:p w:rsidR="009534E2" w:rsidRDefault="003369EB">
            <w:pPr>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11,629</w:t>
            </w:r>
          </w:p>
        </w:tc>
        <w:tc>
          <w:tcPr>
            <w:tcW w:w="83" w:type="pct"/>
            <w:tcBorders>
              <w:top w:val="nil"/>
              <w:left w:val="nil"/>
              <w:bottom w:val="nil"/>
              <w:right w:val="nil"/>
              <w:tl2br w:val="nil"/>
              <w:tr2bl w:val="nil"/>
            </w:tcBorders>
            <w:noWrap/>
            <w:vAlign w:val="bottom"/>
          </w:tcPr>
          <w:p w:rsidR="009534E2" w:rsidRDefault="003369EB">
            <w:pPr>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91" w:type="pct"/>
            <w:tcBorders>
              <w:top w:val="nil"/>
              <w:left w:val="nil"/>
              <w:bottom w:val="double" w:color="000000" w:sz="4" w:space="0"/>
              <w:right w:val="nil"/>
              <w:tl2br w:val="nil"/>
              <w:tr2bl w:val="nil"/>
            </w:tcBorders>
            <w:noWrap/>
            <w:vAlign w:val="bottom"/>
          </w:tcPr>
          <w:p w:rsidR="009534E2" w:rsidRDefault="003369EB">
            <w:pPr>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(92)</w:t>
            </w:r>
          </w:p>
        </w:tc>
      </w:tr>
      <w:bookmarkEnd w:id="1932"/>
      <w:bookmarkEnd w:id="1941"/>
    </w:tbl>
    <w:p w:rsidR="009534E2" w:rsidRDefault="009534E2">
      <w:pPr>
        <w:pStyle w:val="BodyText"/>
        <w:spacing w:after="0"/>
        <w:rPr>
          <w:rFonts w:eastAsia="Times New Roman" w:asciiTheme="majorHAnsi" w:hAnsiTheme="majorHAnsi" w:cstheme="majorHAnsi"/>
          <w:lang w:eastAsia="ru-RU"/>
        </w:rPr>
      </w:pP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Loans issued within the factoring scheme are collateralized with the accounts receivable of the debtor in full amount. The other loans issued are not collateralized.</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BodyText"/>
        <w:keepNext/>
        <w:ind w:left="360" w:hanging="360"/>
        <w:rPr>
          <w:rFonts w:eastAsia="Times New Roman" w:asciiTheme="majorHAnsi" w:hAnsiTheme="majorHAnsi" w:cstheme="majorHAnsi"/>
          <w:b/>
          <w:bCs/>
          <w:lang w:eastAsia="ru-RU"/>
        </w:rPr>
      </w:pPr>
      <w:bookmarkStart w:name="_6050fbdd_65fa_40be_a6b7_e978f6878bf4" w:id="1942"/>
      <w:bookmarkStart w:name="_91b1f15b_dec2_47bf_921d_fe85bf136c5b" w:id="1943"/>
      <w:r>
        <w:rPr>
          <w:rFonts w:eastAsia="Times New Roman" w:asciiTheme="majorHAnsi" w:hAnsiTheme="majorHAnsi" w:cstheme="majorHAnsi"/>
          <w:b/>
          <w:bCs/>
          <w:lang w:eastAsia="ru-RU"/>
        </w:rPr>
        <w:t>12.</w:t>
      </w:r>
      <w:r>
        <w:rPr>
          <w:rFonts w:eastAsia="Times New Roman" w:asciiTheme="majorHAnsi" w:hAnsiTheme="majorHAnsi" w:cstheme="majorHAnsi"/>
          <w:b/>
          <w:bCs/>
          <w:lang w:eastAsia="ru-RU"/>
        </w:rPr>
        <w:tab/>
        <w:t>Long-term and short-term loans issued (continued)</w:t>
      </w:r>
    </w:p>
    <w:p w:rsidR="009534E2" w:rsidRDefault="003369EB">
      <w:pPr>
        <w:pStyle w:val="BodyText"/>
        <w:keepNext/>
        <w:spacing w:after="0"/>
        <w:rPr>
          <w:rFonts w:eastAsia="Times New Roman" w:asciiTheme="majorHAnsi" w:hAnsiTheme="majorHAnsi" w:cstheme="majorHAnsi"/>
          <w:lang w:eastAsia="ru-RU"/>
        </w:rPr>
      </w:pPr>
      <w:bookmarkStart w:name="_43cc56dc_9c8b_4125_b512_37e14c68ba45" w:id="1944"/>
      <w:r>
        <w:rPr>
          <w:rFonts w:eastAsia="Times New Roman" w:asciiTheme="majorHAnsi" w:hAnsiTheme="majorHAnsi" w:cstheme="majorHAnsi"/>
          <w:lang w:eastAsia="ru-RU"/>
        </w:rPr>
        <w:t xml:space="preserve">An analysis of the changes in the ECL allowances due to changes in corresponding gross carrying amounts for the year ended December 31, 2022, was the following: </w:t>
      </w:r>
    </w:p>
    <w:p w:rsidR="009534E2" w:rsidRDefault="009534E2">
      <w:pPr>
        <w:pStyle w:val="BodyText"/>
        <w:keepNext/>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642"/>
        <w:gridCol w:w="212"/>
        <w:gridCol w:w="829"/>
        <w:gridCol w:w="210"/>
        <w:gridCol w:w="829"/>
        <w:gridCol w:w="210"/>
        <w:gridCol w:w="829"/>
        <w:gridCol w:w="210"/>
        <w:gridCol w:w="829"/>
      </w:tblGrid>
      <w:tr w:rsidR="009534E2">
        <w:trPr>
          <w:trHeight w:val="20" w:hRule="exact"/>
          <w:jc w:val="center"/>
        </w:trPr>
        <w:tc>
          <w:tcPr>
            <w:tcW w:w="3075"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b2620bea_73e1_4521_aec7_ac5bc413b414" w:colFirst="0" w:colLast="0" w:id="1945"/>
            <w:bookmarkStart w:name="_0eca5e86_df3c_447f_8f84_da768803fcc5" w:colFirst="1" w:colLast="1" w:id="1946"/>
            <w:bookmarkStart w:name="_be864dc1_f0d7_400d_b841_16252cf98f3c" w:colFirst="2" w:colLast="2" w:id="1947"/>
            <w:bookmarkStart w:name="_198d5daa_f3e1_4cb6_9d70_37656cff308f" w:colFirst="3" w:colLast="3" w:id="1948"/>
            <w:bookmarkStart w:name="_804b206b_fa41_4b88_b22d_9a50abc15588" w:colFirst="4" w:colLast="4" w:id="1949"/>
            <w:bookmarkStart w:name="_eed9cef4_d015_40bd_8d04_e276131ed990" w:colFirst="5" w:colLast="5" w:id="1950"/>
            <w:bookmarkStart w:name="_d6cae5a3_605e_40bb_8a71_054ef025c684" w:colFirst="6" w:colLast="6" w:id="1951"/>
            <w:bookmarkStart w:name="_d5bfd0ce_1a59_4a95_a597_0d40a51e435a" w:colFirst="7" w:colLast="7" w:id="1952"/>
            <w:bookmarkStart w:name="_1cfb09f2_fa21_4daa_9371_5b162f272d68" w:colFirst="8" w:colLast="8" w:id="1953"/>
            <w:bookmarkStart w:name="_8dea2e32_8ce9_4c99_b9ca_e8a6b01d24b7" w:id="1954"/>
          </w:p>
        </w:tc>
        <w:tc>
          <w:tcPr>
            <w:tcW w:w="98"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8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8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8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8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9534E2">
        <w:trPr>
          <w:jc w:val="center"/>
        </w:trPr>
        <w:tc>
          <w:tcPr>
            <w:tcW w:w="3075"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899961eb_ea59_4831_8b49_d6d73edc8845" w:id="1955"/>
            <w:bookmarkEnd w:id="1945"/>
            <w:bookmarkEnd w:id="1946"/>
            <w:bookmarkEnd w:id="1947"/>
            <w:bookmarkEnd w:id="1948"/>
            <w:bookmarkEnd w:id="1949"/>
            <w:bookmarkEnd w:id="1950"/>
            <w:bookmarkEnd w:id="1951"/>
            <w:bookmarkEnd w:id="1952"/>
            <w:bookmarkEnd w:id="1953"/>
          </w:p>
        </w:tc>
        <w:tc>
          <w:tcPr>
            <w:tcW w:w="9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384"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Stage 1</w:t>
            </w:r>
          </w:p>
        </w:tc>
        <w:tc>
          <w:tcPr>
            <w:tcW w:w="9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4"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Stage 2 </w:t>
            </w:r>
          </w:p>
        </w:tc>
        <w:tc>
          <w:tcPr>
            <w:tcW w:w="9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4"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Stage 3</w:t>
            </w:r>
          </w:p>
        </w:tc>
        <w:tc>
          <w:tcPr>
            <w:tcW w:w="9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4"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w:t>
            </w:r>
          </w:p>
        </w:tc>
      </w:tr>
      <w:tr w:rsidR="009534E2">
        <w:trPr>
          <w:jc w:val="center"/>
        </w:trPr>
        <w:tc>
          <w:tcPr>
            <w:tcW w:w="3075"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e78efc2e_2c38_4440_8649_40eb613a2080" w:id="1956"/>
            <w:bookmarkEnd w:id="1955"/>
          </w:p>
        </w:tc>
        <w:tc>
          <w:tcPr>
            <w:tcW w:w="98"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4"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r>
              <w:rPr>
                <w:rFonts w:eastAsia="Times New Roman" w:asciiTheme="majorHAnsi" w:hAnsiTheme="majorHAnsi" w:cstheme="majorHAnsi"/>
                <w:color w:val="000000"/>
                <w:sz w:val="16"/>
              </w:rPr>
              <w:t>Collective</w:t>
            </w:r>
          </w:p>
        </w:tc>
        <w:tc>
          <w:tcPr>
            <w:tcW w:w="9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384"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color w:val="000000"/>
                <w:sz w:val="16"/>
              </w:rPr>
            </w:pPr>
            <w:r>
              <w:rPr>
                <w:rFonts w:eastAsia="Times New Roman" w:asciiTheme="majorHAnsi" w:hAnsiTheme="majorHAnsi" w:cstheme="majorHAnsi"/>
                <w:color w:val="000000"/>
                <w:sz w:val="16"/>
              </w:rPr>
              <w:t>Collective</w:t>
            </w:r>
          </w:p>
        </w:tc>
        <w:tc>
          <w:tcPr>
            <w:tcW w:w="9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384" w:type="pct"/>
            <w:tcBorders>
              <w:top w:val="nil"/>
              <w:left w:val="nil"/>
              <w:bottom w:val="single" w:color="000000" w:sz="4" w:space="0"/>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9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384" w:type="pct"/>
            <w:tcBorders>
              <w:top w:val="nil"/>
              <w:left w:val="nil"/>
              <w:bottom w:val="single" w:color="000000" w:sz="4" w:space="0"/>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r>
      <w:tr w:rsidR="009534E2">
        <w:trPr>
          <w:jc w:val="center"/>
        </w:trPr>
        <w:tc>
          <w:tcPr>
            <w:tcW w:w="3075"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b/>
                <w:color w:val="000000"/>
              </w:rPr>
            </w:pPr>
            <w:bookmarkStart w:name="_308f3b73_ce7b_4066_bd34_0e9f15e8fa41" w:id="1957"/>
            <w:bookmarkEnd w:id="1956"/>
            <w:r>
              <w:rPr>
                <w:rFonts w:eastAsia="Times New Roman" w:asciiTheme="majorHAnsi" w:hAnsiTheme="majorHAnsi" w:cstheme="majorHAnsi"/>
                <w:b/>
                <w:color w:val="000000"/>
              </w:rPr>
              <w:t>ECL allowance as of January 1, 2022</w:t>
            </w:r>
          </w:p>
        </w:tc>
        <w:tc>
          <w:tcPr>
            <w:tcW w:w="98"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(34)</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(5)</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(53)</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(92)</w:t>
            </w:r>
          </w:p>
        </w:tc>
      </w:tr>
      <w:tr w:rsidR="009534E2">
        <w:trPr>
          <w:jc w:val="center"/>
        </w:trPr>
        <w:tc>
          <w:tcPr>
            <w:tcW w:w="3075" w:type="pct"/>
            <w:tcBorders>
              <w:top w:val="nil"/>
              <w:left w:val="nil"/>
              <w:bottom w:val="nil"/>
              <w:right w:val="nil"/>
              <w:tl2br w:val="nil"/>
              <w:tr2bl w:val="nil"/>
            </w:tcBorders>
            <w:vAlign w:val="bottom"/>
          </w:tcPr>
          <w:p w:rsidR="009534E2" w:rsidRDefault="003369EB">
            <w:pPr>
              <w:keepNext/>
              <w:spacing w:after="1"/>
              <w:ind w:left="120"/>
              <w:rPr>
                <w:rFonts w:asciiTheme="majorHAnsi" w:hAnsiTheme="majorHAnsi" w:cstheme="majorHAnsi"/>
                <w:color w:val="000000"/>
              </w:rPr>
            </w:pPr>
            <w:bookmarkStart w:name="_4105e345_64e2_4f3a_a0bd_f0688460fbe7" w:id="1958"/>
            <w:bookmarkEnd w:id="1957"/>
            <w:r>
              <w:rPr>
                <w:rFonts w:eastAsia="Times New Roman" w:asciiTheme="majorHAnsi" w:hAnsiTheme="majorHAnsi" w:cstheme="majorHAnsi"/>
                <w:color w:val="000000"/>
              </w:rPr>
              <w:t>Changes because of financial instruments (originated or acquired)/derecognized during the reporting period</w:t>
            </w:r>
          </w:p>
        </w:tc>
        <w:tc>
          <w:tcPr>
            <w:tcW w:w="98"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(112)</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(228)</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(340)</w:t>
            </w:r>
          </w:p>
        </w:tc>
      </w:tr>
      <w:tr w:rsidR="009534E2">
        <w:trPr>
          <w:jc w:val="center"/>
        </w:trPr>
        <w:tc>
          <w:tcPr>
            <w:tcW w:w="3075"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df36900a_b4df_4e81_82ec_423117d6165a" w:id="1959"/>
            <w:bookmarkEnd w:id="1958"/>
            <w:r>
              <w:rPr>
                <w:rFonts w:eastAsia="Times New Roman" w:asciiTheme="majorHAnsi" w:hAnsiTheme="majorHAnsi" w:cstheme="majorHAnsi"/>
                <w:color w:val="000000"/>
              </w:rPr>
              <w:t>Transfers between stages</w:t>
            </w:r>
          </w:p>
        </w:tc>
        <w:tc>
          <w:tcPr>
            <w:tcW w:w="98"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(3)</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(7)</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w:t>
            </w:r>
          </w:p>
        </w:tc>
      </w:tr>
      <w:tr w:rsidR="009534E2">
        <w:trPr>
          <w:jc w:val="center"/>
        </w:trPr>
        <w:tc>
          <w:tcPr>
            <w:tcW w:w="3075" w:type="pct"/>
            <w:tcBorders>
              <w:top w:val="nil"/>
              <w:left w:val="nil"/>
              <w:bottom w:val="nil"/>
              <w:right w:val="nil"/>
              <w:tl2br w:val="nil"/>
              <w:tr2bl w:val="nil"/>
            </w:tcBorders>
            <w:vAlign w:val="bottom"/>
          </w:tcPr>
          <w:p w:rsidR="009534E2" w:rsidRDefault="003369EB">
            <w:pPr>
              <w:keepNext/>
              <w:spacing w:after="1"/>
              <w:ind w:left="120"/>
              <w:rPr>
                <w:rFonts w:asciiTheme="majorHAnsi" w:hAnsiTheme="majorHAnsi" w:cstheme="majorHAnsi"/>
                <w:color w:val="000000"/>
              </w:rPr>
            </w:pPr>
            <w:bookmarkStart w:name="_303e1915_a8c5_4e73_a69a_7a1d6b0e3b8a" w:id="1960"/>
            <w:bookmarkEnd w:id="1959"/>
            <w:r>
              <w:rPr>
                <w:rFonts w:eastAsia="Times New Roman" w:asciiTheme="majorHAnsi" w:hAnsiTheme="majorHAnsi" w:cstheme="majorHAnsi"/>
                <w:color w:val="000000"/>
              </w:rPr>
              <w:t>Amounts written off</w:t>
            </w:r>
          </w:p>
        </w:tc>
        <w:tc>
          <w:tcPr>
            <w:tcW w:w="98"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11</w:t>
            </w:r>
          </w:p>
        </w:tc>
      </w:tr>
      <w:tr w:rsidR="009534E2">
        <w:trPr>
          <w:jc w:val="center"/>
        </w:trPr>
        <w:tc>
          <w:tcPr>
            <w:tcW w:w="3075"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b/>
                <w:color w:val="000000"/>
              </w:rPr>
            </w:pPr>
            <w:bookmarkStart w:name="_71708f93_6681_475d_8cee_2ee4056dbe2f" w:id="1961"/>
            <w:bookmarkEnd w:id="1960"/>
            <w:r>
              <w:rPr>
                <w:rFonts w:eastAsia="Times New Roman" w:asciiTheme="majorHAnsi" w:hAnsiTheme="majorHAnsi" w:cstheme="majorHAnsi"/>
                <w:b/>
                <w:color w:val="000000"/>
              </w:rPr>
              <w:t>ECL allowance as of December 31, 2022</w:t>
            </w:r>
          </w:p>
        </w:tc>
        <w:tc>
          <w:tcPr>
            <w:tcW w:w="98"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(24)</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(120)</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(277)</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(421)</w:t>
            </w:r>
          </w:p>
        </w:tc>
      </w:tr>
      <w:bookmarkEnd w:id="1954"/>
      <w:bookmarkEnd w:id="1961"/>
    </w:tbl>
    <w:p w:rsidR="009534E2" w:rsidRDefault="009534E2">
      <w:pPr>
        <w:pStyle w:val="BodyText"/>
        <w:spacing w:after="0"/>
        <w:rPr>
          <w:rFonts w:eastAsia="Times New Roman" w:asciiTheme="majorHAnsi" w:hAnsiTheme="majorHAnsi" w:cstheme="majorHAnsi"/>
          <w:lang w:eastAsia="ru-RU"/>
        </w:rPr>
      </w:pP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An analysis of the changes in the ECL allowances due to changes in corresponding gross carrying amounts for the year ended December 31, 2021, was the following:</w:t>
      </w:r>
    </w:p>
    <w:p w:rsidR="009534E2" w:rsidRDefault="009534E2">
      <w:pPr>
        <w:pStyle w:val="BodyText"/>
        <w:keepNext/>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642"/>
        <w:gridCol w:w="212"/>
        <w:gridCol w:w="829"/>
        <w:gridCol w:w="210"/>
        <w:gridCol w:w="829"/>
        <w:gridCol w:w="210"/>
        <w:gridCol w:w="829"/>
        <w:gridCol w:w="210"/>
        <w:gridCol w:w="829"/>
      </w:tblGrid>
      <w:tr w:rsidR="009534E2">
        <w:trPr>
          <w:trHeight w:val="20" w:hRule="exact"/>
          <w:jc w:val="center"/>
        </w:trPr>
        <w:tc>
          <w:tcPr>
            <w:tcW w:w="3075"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574f8a2c_f9b2_47ac_9c95_b322ce61a8c3" w:colFirst="0" w:colLast="0" w:id="1962"/>
            <w:bookmarkStart w:name="_fdc34350_3c15_4cd9_80bb_72de7c7a10f9" w:colFirst="1" w:colLast="1" w:id="1963"/>
            <w:bookmarkStart w:name="_2cf7e504_94e0_485c_b29a_b223602898cd" w:colFirst="2" w:colLast="2" w:id="1964"/>
            <w:bookmarkStart w:name="_d35f8362_42b4_44c0_bf93_03a418f96f76" w:colFirst="3" w:colLast="3" w:id="1965"/>
            <w:bookmarkStart w:name="_f8aa9caf_a725_489c_870c_6b4da0dcb7a9" w:colFirst="4" w:colLast="4" w:id="1966"/>
            <w:bookmarkStart w:name="_5fb4fa5d_dd51_4fff_a0f3_e7363bf50138" w:colFirst="5" w:colLast="5" w:id="1967"/>
            <w:bookmarkStart w:name="_28d6d665_60f0_4660_8a4e_d9cc16d9b72f" w:colFirst="6" w:colLast="6" w:id="1968"/>
            <w:bookmarkStart w:name="_9180b45a_e9d1_434f_b6f9_28e5693ae4d3" w:colFirst="7" w:colLast="7" w:id="1969"/>
            <w:bookmarkStart w:name="_cd4b1d4f_82d6_469f_9464_06b4590f11eb" w:colFirst="8" w:colLast="8" w:id="1970"/>
            <w:bookmarkStart w:name="_710d10a0_55ba_415d_84d8_d4dfc8961050" w:id="1971"/>
          </w:p>
        </w:tc>
        <w:tc>
          <w:tcPr>
            <w:tcW w:w="98"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8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8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8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8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9534E2">
        <w:trPr>
          <w:jc w:val="center"/>
        </w:trPr>
        <w:tc>
          <w:tcPr>
            <w:tcW w:w="3075"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a73c616b_c30b_41b8_a7a6_9bfe16701c8c" w:id="1972"/>
            <w:bookmarkEnd w:id="1962"/>
            <w:bookmarkEnd w:id="1963"/>
            <w:bookmarkEnd w:id="1964"/>
            <w:bookmarkEnd w:id="1965"/>
            <w:bookmarkEnd w:id="1966"/>
            <w:bookmarkEnd w:id="1967"/>
            <w:bookmarkEnd w:id="1968"/>
            <w:bookmarkEnd w:id="1969"/>
            <w:bookmarkEnd w:id="1970"/>
          </w:p>
        </w:tc>
        <w:tc>
          <w:tcPr>
            <w:tcW w:w="98"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4"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Stage 1</w:t>
            </w:r>
          </w:p>
        </w:tc>
        <w:tc>
          <w:tcPr>
            <w:tcW w:w="9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4"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Stage 2 </w:t>
            </w:r>
          </w:p>
        </w:tc>
        <w:tc>
          <w:tcPr>
            <w:tcW w:w="9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4"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Stage 3</w:t>
            </w:r>
          </w:p>
        </w:tc>
        <w:tc>
          <w:tcPr>
            <w:tcW w:w="9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4"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w:t>
            </w:r>
          </w:p>
        </w:tc>
      </w:tr>
      <w:tr w:rsidR="009534E2">
        <w:trPr>
          <w:jc w:val="center"/>
        </w:trPr>
        <w:tc>
          <w:tcPr>
            <w:tcW w:w="3075"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55a907fd_f7ed_4347_a9ec_67d8b8d93dfa" w:id="1973"/>
            <w:bookmarkEnd w:id="1972"/>
          </w:p>
        </w:tc>
        <w:tc>
          <w:tcPr>
            <w:tcW w:w="9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384"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r>
              <w:rPr>
                <w:rFonts w:eastAsia="Times New Roman" w:asciiTheme="majorHAnsi" w:hAnsiTheme="majorHAnsi" w:cstheme="majorHAnsi"/>
                <w:color w:val="000000"/>
                <w:sz w:val="16"/>
              </w:rPr>
              <w:t>Collective</w:t>
            </w:r>
          </w:p>
        </w:tc>
        <w:tc>
          <w:tcPr>
            <w:tcW w:w="9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384"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color w:val="000000"/>
                <w:sz w:val="16"/>
              </w:rPr>
            </w:pPr>
            <w:r>
              <w:rPr>
                <w:rFonts w:eastAsia="Times New Roman" w:asciiTheme="majorHAnsi" w:hAnsiTheme="majorHAnsi" w:cstheme="majorHAnsi"/>
                <w:color w:val="000000"/>
                <w:sz w:val="16"/>
              </w:rPr>
              <w:t>Collective</w:t>
            </w:r>
          </w:p>
        </w:tc>
        <w:tc>
          <w:tcPr>
            <w:tcW w:w="9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384" w:type="pct"/>
            <w:tcBorders>
              <w:top w:val="nil"/>
              <w:left w:val="nil"/>
              <w:bottom w:val="single" w:color="000000" w:sz="4" w:space="0"/>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9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384" w:type="pct"/>
            <w:tcBorders>
              <w:top w:val="nil"/>
              <w:left w:val="nil"/>
              <w:bottom w:val="single" w:color="000000" w:sz="4" w:space="0"/>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r>
      <w:tr w:rsidR="009534E2">
        <w:trPr>
          <w:jc w:val="center"/>
        </w:trPr>
        <w:tc>
          <w:tcPr>
            <w:tcW w:w="3075"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b/>
                <w:color w:val="000000"/>
              </w:rPr>
            </w:pPr>
            <w:bookmarkStart w:name="_a7f3f8ad_50ff_490f_89cd_79206fa60fb2" w:id="1974"/>
            <w:bookmarkStart w:name="_57b670e5_fd25_4afb_9a78_bd522e8d5b27" w:colFirst="2" w:colLast="2" w:id="1975"/>
            <w:bookmarkStart w:name="_69ef5424_65d4_4372_b747_1670a959be5e" w:colFirst="4" w:colLast="4" w:id="1976"/>
            <w:bookmarkStart w:name="_7c76e942_fc9b_48f3_8f39_87384b718427" w:colFirst="6" w:colLast="6" w:id="1977"/>
            <w:bookmarkStart w:name="_b6dbb201_7a46_4f08_984f_bd3edceb6a06" w:colFirst="8" w:colLast="8" w:id="1978"/>
            <w:bookmarkEnd w:id="1973"/>
            <w:r>
              <w:rPr>
                <w:rFonts w:eastAsia="Times New Roman" w:asciiTheme="majorHAnsi" w:hAnsiTheme="majorHAnsi" w:cstheme="majorHAnsi"/>
                <w:b/>
                <w:color w:val="000000"/>
              </w:rPr>
              <w:t>ECL allowance as of January 1, 2021</w:t>
            </w:r>
          </w:p>
        </w:tc>
        <w:tc>
          <w:tcPr>
            <w:tcW w:w="98"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(5)</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(1)</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(31)</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(37)</w:t>
            </w:r>
          </w:p>
        </w:tc>
      </w:tr>
      <w:tr w:rsidR="009534E2">
        <w:trPr>
          <w:jc w:val="center"/>
        </w:trPr>
        <w:tc>
          <w:tcPr>
            <w:tcW w:w="3075" w:type="pct"/>
            <w:tcBorders>
              <w:top w:val="nil"/>
              <w:left w:val="nil"/>
              <w:bottom w:val="nil"/>
              <w:right w:val="nil"/>
              <w:tl2br w:val="nil"/>
              <w:tr2bl w:val="nil"/>
            </w:tcBorders>
            <w:vAlign w:val="bottom"/>
          </w:tcPr>
          <w:p w:rsidR="009534E2" w:rsidRDefault="003369EB">
            <w:pPr>
              <w:keepNext/>
              <w:spacing w:after="1"/>
              <w:ind w:left="120"/>
              <w:rPr>
                <w:rFonts w:asciiTheme="majorHAnsi" w:hAnsiTheme="majorHAnsi" w:cstheme="majorHAnsi"/>
                <w:color w:val="000000"/>
              </w:rPr>
            </w:pPr>
            <w:bookmarkStart w:name="_a7759c4b_2035_4231_a8b2_8e935a6ac226" w:id="1979"/>
            <w:bookmarkEnd w:id="1974"/>
            <w:bookmarkEnd w:id="1975"/>
            <w:bookmarkEnd w:id="1976"/>
            <w:bookmarkEnd w:id="1977"/>
            <w:bookmarkEnd w:id="1978"/>
            <w:r>
              <w:rPr>
                <w:rFonts w:eastAsia="Times New Roman" w:asciiTheme="majorHAnsi" w:hAnsiTheme="majorHAnsi" w:cstheme="majorHAnsi"/>
                <w:color w:val="000000"/>
              </w:rPr>
              <w:t>Changes because of financial instruments (originated or acquired)/derecognized during the reporting period</w:t>
            </w:r>
          </w:p>
        </w:tc>
        <w:tc>
          <w:tcPr>
            <w:tcW w:w="98"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(29)</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(4)</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(30)</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(63)</w:t>
            </w:r>
          </w:p>
        </w:tc>
      </w:tr>
      <w:tr w:rsidR="009534E2">
        <w:trPr>
          <w:jc w:val="center"/>
        </w:trPr>
        <w:tc>
          <w:tcPr>
            <w:tcW w:w="3075"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d8860b9c_6544_49fe_9799_f3f421acba4c" w:id="1980"/>
            <w:bookmarkEnd w:id="1979"/>
            <w:r>
              <w:rPr>
                <w:rFonts w:eastAsia="Times New Roman" w:asciiTheme="majorHAnsi" w:hAnsiTheme="majorHAnsi" w:cstheme="majorHAnsi"/>
                <w:color w:val="000000"/>
              </w:rPr>
              <w:t>Transfers between stages</w:t>
            </w:r>
          </w:p>
        </w:tc>
        <w:tc>
          <w:tcPr>
            <w:tcW w:w="98"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w:t>
            </w:r>
          </w:p>
        </w:tc>
      </w:tr>
      <w:tr w:rsidR="009534E2">
        <w:trPr>
          <w:jc w:val="center"/>
        </w:trPr>
        <w:tc>
          <w:tcPr>
            <w:tcW w:w="3075" w:type="pct"/>
            <w:tcBorders>
              <w:top w:val="nil"/>
              <w:left w:val="nil"/>
              <w:bottom w:val="nil"/>
              <w:right w:val="nil"/>
              <w:tl2br w:val="nil"/>
              <w:tr2bl w:val="nil"/>
            </w:tcBorders>
            <w:vAlign w:val="bottom"/>
          </w:tcPr>
          <w:p w:rsidR="009534E2" w:rsidRDefault="003369EB">
            <w:pPr>
              <w:keepNext/>
              <w:spacing w:after="1"/>
              <w:ind w:left="120"/>
              <w:rPr>
                <w:rFonts w:asciiTheme="majorHAnsi" w:hAnsiTheme="majorHAnsi" w:cstheme="majorHAnsi"/>
                <w:color w:val="000000"/>
              </w:rPr>
            </w:pPr>
            <w:bookmarkStart w:name="_698e8d38_e95a_4a55_bcf6_f1e2c25da73a" w:id="1981"/>
            <w:bookmarkEnd w:id="1980"/>
            <w:r>
              <w:rPr>
                <w:rFonts w:eastAsia="Times New Roman" w:asciiTheme="majorHAnsi" w:hAnsiTheme="majorHAnsi" w:cstheme="majorHAnsi"/>
                <w:color w:val="000000"/>
              </w:rPr>
              <w:t>Amounts written off</w:t>
            </w:r>
          </w:p>
        </w:tc>
        <w:tc>
          <w:tcPr>
            <w:tcW w:w="98"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8</w:t>
            </w:r>
          </w:p>
        </w:tc>
      </w:tr>
      <w:tr w:rsidR="009534E2">
        <w:trPr>
          <w:jc w:val="center"/>
        </w:trPr>
        <w:tc>
          <w:tcPr>
            <w:tcW w:w="3075"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b/>
                <w:color w:val="000000"/>
              </w:rPr>
            </w:pPr>
            <w:bookmarkStart w:name="_71e40288_207e_409e_aeee_a41a3675df20" w:id="1982"/>
            <w:bookmarkEnd w:id="1981"/>
            <w:r>
              <w:rPr>
                <w:rFonts w:eastAsia="Times New Roman" w:asciiTheme="majorHAnsi" w:hAnsiTheme="majorHAnsi" w:cstheme="majorHAnsi"/>
                <w:b/>
                <w:color w:val="000000"/>
              </w:rPr>
              <w:t>ECL allowance as of December 31, 2021</w:t>
            </w:r>
          </w:p>
        </w:tc>
        <w:tc>
          <w:tcPr>
            <w:tcW w:w="98"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(34)</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(5)</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(53)</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(92)</w:t>
            </w:r>
          </w:p>
        </w:tc>
      </w:tr>
      <w:bookmarkEnd w:id="1942"/>
      <w:bookmarkEnd w:id="1971"/>
      <w:bookmarkEnd w:id="1982"/>
    </w:tbl>
    <w:p w:rsidR="009534E2" w:rsidRDefault="009534E2">
      <w:pPr>
        <w:pStyle w:val="BodyText"/>
        <w:spacing w:after="0"/>
        <w:rPr>
          <w:rFonts w:eastAsia="Times New Roman" w:asciiTheme="majorHAnsi" w:hAnsiTheme="majorHAnsi" w:cstheme="majorHAnsi"/>
          <w:lang w:eastAsia="ru-RU"/>
        </w:rPr>
      </w:pPr>
    </w:p>
    <w:p w:rsidR="009534E2" w:rsidRDefault="003369EB">
      <w:pPr>
        <w:pStyle w:val="BodyText"/>
        <w:keepNext/>
        <w:spacing w:after="0"/>
        <w:rPr>
          <w:rFonts w:eastAsia="Times New Roman" w:asciiTheme="majorHAnsi" w:hAnsiTheme="majorHAnsi" w:cstheme="majorHAnsi"/>
        </w:rPr>
      </w:pPr>
      <w:bookmarkStart w:name="_5e838241_da97_436a_9d31_9f8a209703c1" w:id="1983"/>
      <w:r>
        <w:rPr>
          <w:rFonts w:eastAsia="Times New Roman" w:asciiTheme="majorHAnsi" w:hAnsiTheme="majorHAnsi" w:cstheme="majorHAnsi"/>
        </w:rPr>
        <w:t xml:space="preserve">An analysis of the changes in the ECL allowances due to changes in corresponding gross carrying amounts </w:t>
      </w:r>
      <w:r>
        <w:rPr>
          <w:rFonts w:eastAsia="Times New Roman" w:asciiTheme="majorHAnsi" w:hAnsiTheme="majorHAnsi" w:cstheme="majorHAnsi"/>
          <w:lang w:eastAsia="ru-RU"/>
        </w:rPr>
        <w:t>for the year ended December 31, 2020, was the following</w:t>
      </w:r>
      <w:r>
        <w:rPr>
          <w:rFonts w:eastAsia="Times New Roman" w:asciiTheme="majorHAnsi" w:hAnsiTheme="majorHAnsi" w:cstheme="majorHAnsi"/>
        </w:rPr>
        <w:t>:</w:t>
      </w:r>
    </w:p>
    <w:p w:rsidR="009534E2" w:rsidRDefault="009534E2">
      <w:pPr>
        <w:pStyle w:val="BodyText"/>
        <w:keepNext/>
        <w:spacing w:after="0"/>
        <w:rPr>
          <w:rFonts w:eastAsia="Times New Roman" w:asciiTheme="majorHAnsi" w:hAnsiTheme="majorHAnsi" w:cstheme="majorHAnsi"/>
        </w:rPr>
      </w:pPr>
      <w:bookmarkStart w:name="_dc75e603_63cf_4c9a_95e3_07baf30cc1ff" w:id="1984"/>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642"/>
        <w:gridCol w:w="212"/>
        <w:gridCol w:w="829"/>
        <w:gridCol w:w="210"/>
        <w:gridCol w:w="829"/>
        <w:gridCol w:w="210"/>
        <w:gridCol w:w="829"/>
        <w:gridCol w:w="210"/>
        <w:gridCol w:w="829"/>
      </w:tblGrid>
      <w:tr w:rsidR="009534E2">
        <w:trPr>
          <w:trHeight w:val="20" w:hRule="exact"/>
          <w:jc w:val="center"/>
        </w:trPr>
        <w:tc>
          <w:tcPr>
            <w:tcW w:w="3075"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ac3825b4_0d09_458d_a604_7a27a53e5e45" w:colFirst="0" w:colLast="0" w:id="1985"/>
            <w:bookmarkStart w:name="_2735df29_830e_464a_9348_7a00fb911396" w:colFirst="1" w:colLast="1" w:id="1986"/>
            <w:bookmarkStart w:name="_d473db0c_866f_49c8_baa6_f533e59d5ad1" w:colFirst="2" w:colLast="2" w:id="1987"/>
            <w:bookmarkStart w:name="_8110adf6_cfe5_4020_82ee_c8e1e0f406d0" w:colFirst="3" w:colLast="3" w:id="1988"/>
            <w:bookmarkStart w:name="_f8dbe0cc_790f_4fff_9f26_ee776d4ef0b6" w:colFirst="4" w:colLast="4" w:id="1989"/>
            <w:bookmarkStart w:name="_5c7945bf_a696_4148_bb3d_881179bab9b0" w:colFirst="5" w:colLast="5" w:id="1990"/>
            <w:bookmarkStart w:name="_0832bc14_baaa_4359_bb33_960931de91ce" w:colFirst="6" w:colLast="6" w:id="1991"/>
            <w:bookmarkStart w:name="_fe39288b_2a5d_4030_b2a0_ee62e81b1eed" w:colFirst="7" w:colLast="7" w:id="1992"/>
            <w:bookmarkStart w:name="_d64e1de6_525b_43fd_82d2_1650632b07d6" w:colFirst="8" w:colLast="8" w:id="1993"/>
            <w:bookmarkStart w:name="_59ea94ba_b47e_47c2_853b_2e0a36b27f84" w:id="1994"/>
          </w:p>
        </w:tc>
        <w:tc>
          <w:tcPr>
            <w:tcW w:w="98"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8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8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8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8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9534E2">
        <w:trPr>
          <w:jc w:val="center"/>
        </w:trPr>
        <w:tc>
          <w:tcPr>
            <w:tcW w:w="3075"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5d579851_8069_42d5_8402_81a5b8b08663" w:id="1995"/>
            <w:bookmarkEnd w:id="1985"/>
            <w:bookmarkEnd w:id="1986"/>
            <w:bookmarkEnd w:id="1987"/>
            <w:bookmarkEnd w:id="1988"/>
            <w:bookmarkEnd w:id="1989"/>
            <w:bookmarkEnd w:id="1990"/>
            <w:bookmarkEnd w:id="1991"/>
            <w:bookmarkEnd w:id="1992"/>
            <w:bookmarkEnd w:id="1993"/>
          </w:p>
        </w:tc>
        <w:tc>
          <w:tcPr>
            <w:tcW w:w="98"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4"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Stage 1</w:t>
            </w:r>
          </w:p>
        </w:tc>
        <w:tc>
          <w:tcPr>
            <w:tcW w:w="97"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4"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Stage 2</w:t>
            </w:r>
          </w:p>
        </w:tc>
        <w:tc>
          <w:tcPr>
            <w:tcW w:w="97"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4"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Stage 3</w:t>
            </w:r>
          </w:p>
        </w:tc>
        <w:tc>
          <w:tcPr>
            <w:tcW w:w="97"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4"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w:t>
            </w:r>
          </w:p>
        </w:tc>
      </w:tr>
      <w:tr w:rsidR="009534E2">
        <w:trPr>
          <w:jc w:val="center"/>
        </w:trPr>
        <w:tc>
          <w:tcPr>
            <w:tcW w:w="3075"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e563ca32_1830_4319_890a_55eb01b5aa71" w:id="1996"/>
            <w:bookmarkEnd w:id="1995"/>
          </w:p>
        </w:tc>
        <w:tc>
          <w:tcPr>
            <w:tcW w:w="98"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4"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color w:val="000000"/>
                <w:sz w:val="16"/>
              </w:rPr>
            </w:pPr>
            <w:r>
              <w:rPr>
                <w:rFonts w:eastAsia="Times New Roman" w:asciiTheme="majorHAnsi" w:hAnsiTheme="majorHAnsi" w:cstheme="majorHAnsi"/>
                <w:color w:val="000000"/>
                <w:sz w:val="16"/>
              </w:rPr>
              <w:t>Collective</w:t>
            </w:r>
          </w:p>
        </w:tc>
        <w:tc>
          <w:tcPr>
            <w:tcW w:w="97"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4"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color w:val="000000"/>
                <w:sz w:val="16"/>
              </w:rPr>
            </w:pPr>
            <w:r>
              <w:rPr>
                <w:rFonts w:eastAsia="Times New Roman" w:asciiTheme="majorHAnsi" w:hAnsiTheme="majorHAnsi" w:cstheme="majorHAnsi"/>
                <w:color w:val="000000"/>
                <w:sz w:val="16"/>
              </w:rPr>
              <w:t>Collective</w:t>
            </w:r>
          </w:p>
        </w:tc>
        <w:tc>
          <w:tcPr>
            <w:tcW w:w="97"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4" w:type="pct"/>
            <w:tcBorders>
              <w:top w:val="nil"/>
              <w:left w:val="nil"/>
              <w:bottom w:val="single" w:color="000000" w:sz="4" w:space="0"/>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97"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84" w:type="pct"/>
            <w:tcBorders>
              <w:top w:val="nil"/>
              <w:left w:val="nil"/>
              <w:bottom w:val="single" w:color="000000" w:sz="4" w:space="0"/>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r>
      <w:tr w:rsidR="009534E2">
        <w:trPr>
          <w:jc w:val="center"/>
        </w:trPr>
        <w:tc>
          <w:tcPr>
            <w:tcW w:w="3075"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b/>
                <w:color w:val="000000"/>
              </w:rPr>
            </w:pPr>
            <w:bookmarkStart w:name="_4d617999_1ef5_4956_94e2_235247adcf98" w:id="1997"/>
            <w:bookmarkEnd w:id="1996"/>
            <w:r>
              <w:rPr>
                <w:rFonts w:eastAsia="Times New Roman" w:asciiTheme="majorHAnsi" w:hAnsiTheme="majorHAnsi" w:cstheme="majorHAnsi"/>
                <w:b/>
                <w:color w:val="000000"/>
              </w:rPr>
              <w:t>ECL allowance as of January 1, 2020</w:t>
            </w:r>
          </w:p>
        </w:tc>
        <w:tc>
          <w:tcPr>
            <w:tcW w:w="98"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(229)</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(120)</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(494)</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(843)</w:t>
            </w:r>
          </w:p>
        </w:tc>
      </w:tr>
      <w:tr w:rsidR="009534E2">
        <w:trPr>
          <w:jc w:val="center"/>
        </w:trPr>
        <w:tc>
          <w:tcPr>
            <w:tcW w:w="3075" w:type="pct"/>
            <w:tcBorders>
              <w:top w:val="nil"/>
              <w:left w:val="nil"/>
              <w:bottom w:val="nil"/>
              <w:right w:val="nil"/>
              <w:tl2br w:val="nil"/>
              <w:tr2bl w:val="nil"/>
            </w:tcBorders>
            <w:vAlign w:val="bottom"/>
          </w:tcPr>
          <w:p w:rsidR="009534E2" w:rsidRDefault="003369EB">
            <w:pPr>
              <w:keepNext/>
              <w:spacing w:after="1"/>
              <w:ind w:left="120"/>
              <w:rPr>
                <w:rFonts w:asciiTheme="majorHAnsi" w:hAnsiTheme="majorHAnsi" w:cstheme="majorHAnsi"/>
                <w:color w:val="000000"/>
              </w:rPr>
            </w:pPr>
            <w:bookmarkStart w:name="_e1c75149_dfc5_4643_9883_871f0ee4368c" w:id="1998"/>
            <w:bookmarkEnd w:id="1997"/>
            <w:r>
              <w:rPr>
                <w:rFonts w:eastAsia="Times New Roman" w:asciiTheme="majorHAnsi" w:hAnsiTheme="majorHAnsi" w:cstheme="majorHAnsi"/>
                <w:color w:val="000000"/>
              </w:rPr>
              <w:t>Changes because of financial instruments (originated or acquired)/derecognized during the reporting period</w:t>
            </w:r>
          </w:p>
        </w:tc>
        <w:tc>
          <w:tcPr>
            <w:tcW w:w="98"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(128)</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(211)</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(498)</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(837)</w:t>
            </w:r>
          </w:p>
        </w:tc>
      </w:tr>
      <w:tr w:rsidR="009534E2">
        <w:trPr>
          <w:jc w:val="center"/>
        </w:trPr>
        <w:tc>
          <w:tcPr>
            <w:tcW w:w="3075"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e4747667_f799_4323_a62e_b696cb8b1665" w:id="1999"/>
            <w:bookmarkEnd w:id="1998"/>
            <w:r>
              <w:rPr>
                <w:rFonts w:eastAsia="Times New Roman" w:asciiTheme="majorHAnsi" w:hAnsiTheme="majorHAnsi" w:cstheme="majorHAnsi"/>
                <w:color w:val="000000"/>
              </w:rPr>
              <w:t>Transfers between stages</w:t>
            </w:r>
          </w:p>
        </w:tc>
        <w:tc>
          <w:tcPr>
            <w:tcW w:w="98"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140</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(8)</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(132)</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w:t>
            </w:r>
          </w:p>
        </w:tc>
      </w:tr>
      <w:tr w:rsidR="009534E2">
        <w:trPr>
          <w:jc w:val="center"/>
        </w:trPr>
        <w:tc>
          <w:tcPr>
            <w:tcW w:w="3075" w:type="pct"/>
            <w:tcBorders>
              <w:top w:val="nil"/>
              <w:left w:val="nil"/>
              <w:bottom w:val="nil"/>
              <w:right w:val="nil"/>
              <w:tl2br w:val="nil"/>
              <w:tr2bl w:val="nil"/>
            </w:tcBorders>
            <w:vAlign w:val="bottom"/>
          </w:tcPr>
          <w:p w:rsidR="009534E2" w:rsidRDefault="003369EB">
            <w:pPr>
              <w:keepNext/>
              <w:spacing w:after="1"/>
              <w:ind w:left="120"/>
              <w:rPr>
                <w:rFonts w:asciiTheme="majorHAnsi" w:hAnsiTheme="majorHAnsi" w:cstheme="majorHAnsi"/>
                <w:color w:val="000000"/>
              </w:rPr>
            </w:pPr>
            <w:bookmarkStart w:name="_399c34d9_d061_44a1_b722_a9a3dd5a32cc" w:id="2000"/>
            <w:bookmarkEnd w:id="1999"/>
            <w:r>
              <w:rPr>
                <w:rFonts w:eastAsia="Times New Roman" w:asciiTheme="majorHAnsi" w:hAnsiTheme="majorHAnsi" w:cstheme="majorHAnsi"/>
                <w:color w:val="000000"/>
              </w:rPr>
              <w:t>Amounts sold and written off</w:t>
            </w:r>
          </w:p>
        </w:tc>
        <w:tc>
          <w:tcPr>
            <w:tcW w:w="98"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212</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338</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8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1,093</w:t>
            </w:r>
          </w:p>
        </w:tc>
        <w:tc>
          <w:tcPr>
            <w:tcW w:w="9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1,643</w:t>
            </w:r>
          </w:p>
        </w:tc>
      </w:tr>
      <w:tr w:rsidR="009534E2">
        <w:trPr>
          <w:jc w:val="center"/>
        </w:trPr>
        <w:tc>
          <w:tcPr>
            <w:tcW w:w="3075"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b/>
                <w:color w:val="000000"/>
              </w:rPr>
            </w:pPr>
            <w:bookmarkStart w:name="_1bfc0dda_b893_4d13_80c6_b17bd7af8573" w:id="2001"/>
            <w:bookmarkEnd w:id="2000"/>
            <w:r>
              <w:rPr>
                <w:rFonts w:eastAsia="Times New Roman" w:asciiTheme="majorHAnsi" w:hAnsiTheme="majorHAnsi" w:cstheme="majorHAnsi"/>
                <w:b/>
                <w:color w:val="000000"/>
              </w:rPr>
              <w:t>ECL allowance as of December 31, 2020</w:t>
            </w:r>
          </w:p>
        </w:tc>
        <w:tc>
          <w:tcPr>
            <w:tcW w:w="98"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(5)</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(1)</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(31)</w:t>
            </w:r>
          </w:p>
        </w:tc>
        <w:tc>
          <w:tcPr>
            <w:tcW w:w="9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84"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(37)</w:t>
            </w:r>
          </w:p>
        </w:tc>
      </w:tr>
      <w:bookmarkEnd w:id="1943"/>
      <w:bookmarkEnd w:id="1944"/>
      <w:bookmarkEnd w:id="1983"/>
      <w:bookmarkEnd w:id="1984"/>
      <w:bookmarkEnd w:id="1994"/>
      <w:bookmarkEnd w:id="2001"/>
    </w:tbl>
    <w:p w:rsidR="009534E2" w:rsidRDefault="009534E2">
      <w:pPr>
        <w:pStyle w:val="BodyText"/>
        <w:spacing w:after="0"/>
        <w:rPr>
          <w:rFonts w:eastAsia="Times New Roman" w:asciiTheme="majorHAnsi" w:hAnsiTheme="majorHAnsi" w:cstheme="majorHAnsi"/>
        </w:rPr>
      </w:pP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9534E2">
      <w:pPr>
        <w:rPr>
          <w:rFonts w:asciiTheme="majorHAnsi" w:hAnsiTheme="majorHAnsi" w:cstheme="majorHAnsi"/>
          <w:sz w:val="2"/>
        </w:rPr>
      </w:pPr>
    </w:p>
    <w:p w:rsidR="009534E2" w:rsidRDefault="009534E2">
      <w:pPr>
        <w:rPr>
          <w:rFonts w:asciiTheme="majorHAnsi" w:hAnsiTheme="majorHAnsi" w:cstheme="majorHAnsi"/>
          <w:sz w:val="2"/>
        </w:rPr>
      </w:pPr>
    </w:p>
    <w:p w:rsidR="009534E2" w:rsidRDefault="003369EB">
      <w:pPr>
        <w:pStyle w:val="Heading1"/>
        <w:keepLines w:val="0"/>
        <w:ind w:left="360" w:hanging="360"/>
        <w:rPr>
          <w:lang w:val="ru-RU" w:eastAsia="ru-RU"/>
        </w:rPr>
      </w:pPr>
      <w:r>
        <w:rPr>
          <w:lang w:eastAsia="ru-RU"/>
        </w:rPr>
        <w:t>13.</w:t>
      </w:r>
      <w:r>
        <w:rPr>
          <w:lang w:eastAsia="ru-RU"/>
        </w:rPr>
        <w:tab/>
      </w:r>
      <w:r>
        <w:rPr>
          <w:lang w:val="ru-RU" w:eastAsia="ru-RU"/>
        </w:rPr>
        <w:t>Trade and other</w:t>
      </w:r>
      <w:r>
        <w:rPr>
          <w:lang w:eastAsia="ru-RU"/>
        </w:rPr>
        <w:t xml:space="preserve"> </w:t>
      </w:r>
      <w:r>
        <w:rPr>
          <w:lang w:val="ru-RU" w:eastAsia="ru-RU"/>
        </w:rPr>
        <w:t>receivables</w:t>
      </w:r>
    </w:p>
    <w:p w:rsidR="009534E2" w:rsidRDefault="003369EB">
      <w:pPr>
        <w:pStyle w:val="BodyText"/>
        <w:keepNext/>
        <w:spacing w:after="0"/>
        <w:rPr>
          <w:rFonts w:eastAsia="Times New Roman" w:asciiTheme="majorHAnsi" w:hAnsiTheme="majorHAnsi" w:cstheme="majorHAnsi"/>
          <w:lang w:eastAsia="ru-RU"/>
        </w:rPr>
      </w:pPr>
      <w:bookmarkStart w:name="_9b01fea8_b983_4311_8f71_4e51e4eeeb2f" w:id="2002"/>
      <w:bookmarkStart w:name="_5273eac1_2d3e_4db8_b06a_cc2b96fe54ae" w:id="2003"/>
      <w:r>
        <w:rPr>
          <w:rFonts w:eastAsia="Times New Roman" w:asciiTheme="majorHAnsi" w:hAnsiTheme="majorHAnsi" w:cstheme="majorHAnsi"/>
          <w:lang w:eastAsia="ru-RU"/>
        </w:rPr>
        <w:t>As of December 31, 2022, trade and other receivables consisted of the following:</w:t>
      </w:r>
    </w:p>
    <w:p w:rsidR="009534E2" w:rsidRDefault="009534E2">
      <w:pPr>
        <w:pStyle w:val="BodyText"/>
        <w:keepNext/>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297"/>
        <w:gridCol w:w="199"/>
        <w:gridCol w:w="1302"/>
        <w:gridCol w:w="199"/>
        <w:gridCol w:w="1302"/>
        <w:gridCol w:w="199"/>
        <w:gridCol w:w="1302"/>
      </w:tblGrid>
      <w:tr w:rsidR="009534E2">
        <w:trPr>
          <w:trHeight w:val="20" w:hRule="exact"/>
          <w:jc w:val="center"/>
        </w:trPr>
        <w:tc>
          <w:tcPr>
            <w:tcW w:w="2915"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d400471c_f959_43cb_9704_5fcdacaa8485" w:id="2004"/>
            <w:bookmarkStart w:name="_056eee33_1194_4efa_af76_a31f78966ddc" w:colFirst="0" w:colLast="0" w:id="2005"/>
            <w:bookmarkStart w:name="_31b7d634_22e4_4123_a48a_68e8e4c4a82b" w:colFirst="1" w:colLast="1" w:id="2006"/>
            <w:bookmarkStart w:name="_6626ca19_27cb_44f4_a70b_35b29033eb28" w:colFirst="2" w:colLast="2" w:id="2007"/>
            <w:bookmarkStart w:name="_06aee545_f82c_41ec_80f2_4062d226769d" w:colFirst="3" w:colLast="3" w:id="2008"/>
            <w:bookmarkStart w:name="_1ca2aa72_9179_4732_a6b4_7c5c7cab9dfa" w:colFirst="4" w:colLast="4" w:id="2009"/>
            <w:bookmarkStart w:name="_c4ebb4f7_8b20_442b_ab35_b465ef9a042d" w:colFirst="5" w:colLast="5" w:id="2010"/>
            <w:bookmarkStart w:name="_7fc3fe59_cb48_4a83_a6e7_bb8b00f9dbcf" w:colFirst="6" w:colLast="6" w:id="2011"/>
            <w:bookmarkStart w:name="_5746978b_ea90_496d_b457_644efd9b0df3" w:id="2012"/>
            <w:bookmarkEnd w:id="2004"/>
          </w:p>
        </w:tc>
        <w:tc>
          <w:tcPr>
            <w:tcW w:w="92"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60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2"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60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2"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60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9534E2">
        <w:trPr>
          <w:jc w:val="center"/>
        </w:trPr>
        <w:tc>
          <w:tcPr>
            <w:tcW w:w="2915"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abc9e0a0_c7d9_4367_9d19_ce6cb8578a72" w:id="2013"/>
            <w:bookmarkEnd w:id="2005"/>
            <w:bookmarkEnd w:id="2006"/>
            <w:bookmarkEnd w:id="2007"/>
            <w:bookmarkEnd w:id="2008"/>
            <w:bookmarkEnd w:id="2009"/>
            <w:bookmarkEnd w:id="2010"/>
            <w:bookmarkEnd w:id="2011"/>
          </w:p>
        </w:tc>
        <w:tc>
          <w:tcPr>
            <w:tcW w:w="92"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0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 as of</w:t>
            </w:r>
          </w:p>
        </w:tc>
        <w:tc>
          <w:tcPr>
            <w:tcW w:w="92"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0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92"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0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Net as of</w:t>
            </w:r>
          </w:p>
        </w:tc>
      </w:tr>
      <w:tr w:rsidR="009534E2">
        <w:trPr>
          <w:jc w:val="center"/>
        </w:trPr>
        <w:tc>
          <w:tcPr>
            <w:tcW w:w="2915"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ed390ae4_e3b8_426b_a308_98f1cbcdddf5" w:id="2014"/>
            <w:bookmarkEnd w:id="2013"/>
          </w:p>
        </w:tc>
        <w:tc>
          <w:tcPr>
            <w:tcW w:w="92"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60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w:t>
            </w:r>
          </w:p>
        </w:tc>
        <w:tc>
          <w:tcPr>
            <w:tcW w:w="92"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60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xml:space="preserve">Expected credit  </w:t>
            </w:r>
          </w:p>
        </w:tc>
        <w:tc>
          <w:tcPr>
            <w:tcW w:w="92"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603"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w:t>
            </w:r>
          </w:p>
        </w:tc>
      </w:tr>
      <w:tr w:rsidR="009534E2">
        <w:trPr>
          <w:jc w:val="center"/>
        </w:trPr>
        <w:tc>
          <w:tcPr>
            <w:tcW w:w="2915"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68b54c7c_280c_4c71_8e94_ba0f7f315027" w:id="2015"/>
            <w:bookmarkEnd w:id="2014"/>
          </w:p>
        </w:tc>
        <w:tc>
          <w:tcPr>
            <w:tcW w:w="92"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0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c>
          <w:tcPr>
            <w:tcW w:w="92"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0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loss allowance</w:t>
            </w:r>
          </w:p>
        </w:tc>
        <w:tc>
          <w:tcPr>
            <w:tcW w:w="92"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0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2915"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deaf17e7_178f_4268_946b_6dbf66d48f57" w:id="2016"/>
            <w:bookmarkEnd w:id="2015"/>
            <w:r>
              <w:rPr>
                <w:rFonts w:eastAsia="Times New Roman" w:asciiTheme="majorHAnsi" w:hAnsiTheme="majorHAnsi" w:cstheme="majorHAnsi"/>
                <w:color w:val="000000"/>
              </w:rPr>
              <w:t>Cash receivable from agents</w:t>
            </w:r>
          </w:p>
        </w:tc>
        <w:tc>
          <w:tcPr>
            <w:tcW w:w="92"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4,385</w:t>
            </w:r>
          </w:p>
        </w:tc>
        <w:tc>
          <w:tcPr>
            <w:tcW w:w="92"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(325)</w:t>
            </w:r>
          </w:p>
        </w:tc>
        <w:tc>
          <w:tcPr>
            <w:tcW w:w="92"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4,060</w:t>
            </w:r>
          </w:p>
        </w:tc>
      </w:tr>
      <w:tr w:rsidR="009534E2">
        <w:trPr>
          <w:jc w:val="center"/>
        </w:trPr>
        <w:tc>
          <w:tcPr>
            <w:tcW w:w="2915" w:type="pct"/>
            <w:tcBorders>
              <w:top w:val="nil"/>
              <w:left w:val="nil"/>
              <w:bottom w:val="nil"/>
              <w:right w:val="nil"/>
              <w:tl2br w:val="nil"/>
              <w:tr2bl w:val="nil"/>
            </w:tcBorders>
            <w:vAlign w:val="bottom"/>
          </w:tcPr>
          <w:p w:rsidR="009534E2" w:rsidRDefault="003369EB">
            <w:pPr>
              <w:keepNext/>
              <w:spacing w:after="1"/>
              <w:ind w:left="120"/>
              <w:rPr>
                <w:rFonts w:asciiTheme="majorHAnsi" w:hAnsiTheme="majorHAnsi" w:cstheme="majorHAnsi"/>
                <w:color w:val="000000"/>
              </w:rPr>
            </w:pPr>
            <w:bookmarkStart w:name="_30cb388d_cf90_4aaf_81f3_8be520d3c09e" w:id="2017"/>
            <w:bookmarkEnd w:id="2016"/>
            <w:r>
              <w:rPr>
                <w:rFonts w:eastAsia="Times New Roman" w:asciiTheme="majorHAnsi" w:hAnsiTheme="majorHAnsi" w:cstheme="majorHAnsi"/>
                <w:color w:val="000000"/>
              </w:rPr>
              <w:t>Deposits issued to merchants</w:t>
            </w:r>
          </w:p>
        </w:tc>
        <w:tc>
          <w:tcPr>
            <w:tcW w:w="92"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6,771</w:t>
            </w:r>
          </w:p>
        </w:tc>
        <w:tc>
          <w:tcPr>
            <w:tcW w:w="92"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(15)</w:t>
            </w:r>
          </w:p>
        </w:tc>
        <w:tc>
          <w:tcPr>
            <w:tcW w:w="92"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6,756</w:t>
            </w:r>
          </w:p>
        </w:tc>
      </w:tr>
      <w:tr w:rsidR="009534E2">
        <w:trPr>
          <w:jc w:val="center"/>
        </w:trPr>
        <w:tc>
          <w:tcPr>
            <w:tcW w:w="2915"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160b5235_6dc2_4208_a8b9_bb5083bc4534" w:id="2018"/>
            <w:bookmarkEnd w:id="2017"/>
            <w:r>
              <w:rPr>
                <w:rFonts w:eastAsia="Times New Roman" w:asciiTheme="majorHAnsi" w:hAnsiTheme="majorHAnsi" w:cstheme="majorHAnsi"/>
                <w:color w:val="000000"/>
              </w:rPr>
              <w:t>Receivables related to marketing activity</w:t>
            </w:r>
          </w:p>
        </w:tc>
        <w:tc>
          <w:tcPr>
            <w:tcW w:w="92"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60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3,422</w:t>
            </w:r>
          </w:p>
        </w:tc>
        <w:tc>
          <w:tcPr>
            <w:tcW w:w="92"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603"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(20)</w:t>
            </w:r>
          </w:p>
        </w:tc>
        <w:tc>
          <w:tcPr>
            <w:tcW w:w="92"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603"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3,402</w:t>
            </w:r>
          </w:p>
        </w:tc>
      </w:tr>
      <w:tr w:rsidR="009534E2">
        <w:trPr>
          <w:jc w:val="center"/>
        </w:trPr>
        <w:tc>
          <w:tcPr>
            <w:tcW w:w="2915" w:type="pct"/>
            <w:tcBorders>
              <w:top w:val="nil"/>
              <w:left w:val="nil"/>
              <w:bottom w:val="nil"/>
              <w:right w:val="nil"/>
              <w:tl2br w:val="nil"/>
              <w:tr2bl w:val="nil"/>
            </w:tcBorders>
            <w:vAlign w:val="bottom"/>
          </w:tcPr>
          <w:p w:rsidR="009534E2" w:rsidRDefault="003369EB">
            <w:pPr>
              <w:keepNext/>
              <w:spacing w:after="1"/>
              <w:ind w:left="120"/>
              <w:rPr>
                <w:rFonts w:asciiTheme="majorHAnsi" w:hAnsiTheme="majorHAnsi" w:cstheme="majorHAnsi"/>
                <w:color w:val="000000"/>
              </w:rPr>
            </w:pPr>
            <w:bookmarkStart w:name="_500276dd_a800_41d1_a8ec_a907e88de62b" w:id="2019"/>
            <w:bookmarkEnd w:id="2018"/>
            <w:r>
              <w:rPr>
                <w:rFonts w:eastAsia="Times New Roman" w:asciiTheme="majorHAnsi" w:hAnsiTheme="majorHAnsi" w:cstheme="majorHAnsi"/>
                <w:color w:val="000000"/>
              </w:rPr>
              <w:t xml:space="preserve">Commissions receivable </w:t>
            </w:r>
          </w:p>
        </w:tc>
        <w:tc>
          <w:tcPr>
            <w:tcW w:w="92"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394</w:t>
            </w:r>
          </w:p>
        </w:tc>
        <w:tc>
          <w:tcPr>
            <w:tcW w:w="92"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(30)</w:t>
            </w:r>
          </w:p>
        </w:tc>
        <w:tc>
          <w:tcPr>
            <w:tcW w:w="92"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364</w:t>
            </w:r>
          </w:p>
        </w:tc>
      </w:tr>
      <w:tr w:rsidR="009534E2">
        <w:trPr>
          <w:jc w:val="center"/>
        </w:trPr>
        <w:tc>
          <w:tcPr>
            <w:tcW w:w="2915"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2632b7e1_2e6c_46e0_930f_f002f84050b5" w:id="2020"/>
            <w:bookmarkEnd w:id="2019"/>
            <w:r>
              <w:rPr>
                <w:rFonts w:eastAsia="Times New Roman" w:asciiTheme="majorHAnsi" w:hAnsiTheme="majorHAnsi" w:cstheme="majorHAnsi"/>
                <w:color w:val="000000"/>
              </w:rPr>
              <w:t>Other receivables</w:t>
            </w:r>
          </w:p>
        </w:tc>
        <w:tc>
          <w:tcPr>
            <w:tcW w:w="92"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912</w:t>
            </w:r>
          </w:p>
        </w:tc>
        <w:tc>
          <w:tcPr>
            <w:tcW w:w="92"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(626)</w:t>
            </w:r>
          </w:p>
        </w:tc>
        <w:tc>
          <w:tcPr>
            <w:tcW w:w="92"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286</w:t>
            </w:r>
          </w:p>
        </w:tc>
      </w:tr>
      <w:tr w:rsidR="009534E2">
        <w:trPr>
          <w:jc w:val="center"/>
        </w:trPr>
        <w:tc>
          <w:tcPr>
            <w:tcW w:w="2915"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b/>
                <w:color w:val="000000"/>
              </w:rPr>
            </w:pPr>
            <w:bookmarkStart w:name="_bcecdd92_5d9f_455c_9175_d07a3a964083" w:id="2021"/>
            <w:bookmarkEnd w:id="2020"/>
            <w:r>
              <w:rPr>
                <w:rFonts w:eastAsia="Times New Roman" w:asciiTheme="majorHAnsi" w:hAnsiTheme="majorHAnsi" w:cstheme="majorHAnsi"/>
                <w:b/>
                <w:color w:val="000000"/>
              </w:rPr>
              <w:t>Total financial assets</w:t>
            </w:r>
          </w:p>
        </w:tc>
        <w:tc>
          <w:tcPr>
            <w:tcW w:w="92"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60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15,884</w:t>
            </w:r>
          </w:p>
        </w:tc>
        <w:tc>
          <w:tcPr>
            <w:tcW w:w="92"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b/>
                <w:color w:val="000000"/>
              </w:rPr>
            </w:pPr>
          </w:p>
        </w:tc>
        <w:tc>
          <w:tcPr>
            <w:tcW w:w="603" w:type="pct"/>
            <w:tcBorders>
              <w:top w:val="nil"/>
              <w:left w:val="nil"/>
              <w:bottom w:val="single" w:color="000000" w:sz="4" w:space="0"/>
              <w:right w:val="nil"/>
              <w:tl2br w:val="nil"/>
              <w:tr2bl w:val="nil"/>
            </w:tcBorders>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(1,016)</w:t>
            </w:r>
          </w:p>
        </w:tc>
        <w:tc>
          <w:tcPr>
            <w:tcW w:w="92"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b/>
                <w:color w:val="000000"/>
              </w:rPr>
            </w:pPr>
          </w:p>
        </w:tc>
        <w:tc>
          <w:tcPr>
            <w:tcW w:w="603"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14,868</w:t>
            </w:r>
          </w:p>
        </w:tc>
      </w:tr>
      <w:tr w:rsidR="009534E2">
        <w:trPr>
          <w:jc w:val="center"/>
        </w:trPr>
        <w:tc>
          <w:tcPr>
            <w:tcW w:w="2915"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d345c4fd_2fea_4ca0_a1dd_9f31d7bc49ed" w:id="2022"/>
            <w:bookmarkEnd w:id="2021"/>
            <w:r>
              <w:rPr>
                <w:rFonts w:eastAsia="Times New Roman" w:asciiTheme="majorHAnsi" w:hAnsiTheme="majorHAnsi" w:cstheme="majorHAnsi"/>
                <w:color w:val="000000"/>
              </w:rPr>
              <w:t xml:space="preserve">Advances issued </w:t>
            </w:r>
          </w:p>
        </w:tc>
        <w:tc>
          <w:tcPr>
            <w:tcW w:w="92"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326</w:t>
            </w:r>
          </w:p>
        </w:tc>
        <w:tc>
          <w:tcPr>
            <w:tcW w:w="92"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92"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326</w:t>
            </w:r>
          </w:p>
        </w:tc>
      </w:tr>
      <w:tr w:rsidR="009534E2">
        <w:trPr>
          <w:jc w:val="center"/>
        </w:trPr>
        <w:tc>
          <w:tcPr>
            <w:tcW w:w="2915"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b/>
                <w:color w:val="000000"/>
              </w:rPr>
            </w:pPr>
            <w:bookmarkStart w:name="_e75cbf6a_96ee_450e_b268_8f3054d654f5" w:id="2023"/>
            <w:bookmarkEnd w:id="2022"/>
            <w:r>
              <w:rPr>
                <w:rFonts w:eastAsia="Times New Roman" w:asciiTheme="majorHAnsi" w:hAnsiTheme="majorHAnsi" w:cstheme="majorHAnsi"/>
                <w:b/>
                <w:color w:val="000000"/>
              </w:rPr>
              <w:t>Total trade and other receivables</w:t>
            </w:r>
          </w:p>
        </w:tc>
        <w:tc>
          <w:tcPr>
            <w:tcW w:w="92"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603"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16,210</w:t>
            </w:r>
          </w:p>
        </w:tc>
        <w:tc>
          <w:tcPr>
            <w:tcW w:w="92"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603" w:type="pct"/>
            <w:tcBorders>
              <w:top w:val="nil"/>
              <w:left w:val="nil"/>
              <w:bottom w:val="double" w:color="000000" w:sz="4" w:space="0"/>
              <w:right w:val="nil"/>
              <w:tl2br w:val="nil"/>
              <w:tr2bl w:val="nil"/>
            </w:tcBorders>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(1,016)</w:t>
            </w:r>
          </w:p>
        </w:tc>
        <w:tc>
          <w:tcPr>
            <w:tcW w:w="92"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603"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15,194</w:t>
            </w:r>
          </w:p>
        </w:tc>
      </w:tr>
      <w:bookmarkEnd w:id="2012"/>
      <w:bookmarkEnd w:id="2023"/>
    </w:tbl>
    <w:p w:rsidR="009534E2" w:rsidRDefault="009534E2">
      <w:pPr>
        <w:pStyle w:val="BodyText"/>
        <w:spacing w:after="0"/>
        <w:rPr>
          <w:rFonts w:eastAsia="Times New Roman" w:asciiTheme="majorHAnsi" w:hAnsiTheme="majorHAnsi" w:cstheme="majorHAnsi"/>
          <w:lang w:eastAsia="ru-RU"/>
        </w:rPr>
      </w:pP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As of December 31, 2021, trade and other receivables consisted of the following:</w:t>
      </w:r>
    </w:p>
    <w:p w:rsidR="009534E2" w:rsidRDefault="009534E2">
      <w:pPr>
        <w:pStyle w:val="BodyText"/>
        <w:keepNext/>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297"/>
        <w:gridCol w:w="199"/>
        <w:gridCol w:w="1302"/>
        <w:gridCol w:w="199"/>
        <w:gridCol w:w="1302"/>
        <w:gridCol w:w="199"/>
        <w:gridCol w:w="1302"/>
      </w:tblGrid>
      <w:tr w:rsidR="009534E2">
        <w:trPr>
          <w:trHeight w:val="20" w:hRule="exact"/>
          <w:jc w:val="center"/>
        </w:trPr>
        <w:tc>
          <w:tcPr>
            <w:tcW w:w="2915"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06168272_5832_4ff0_b90f_4b9ba79b43d3" w:id="2024"/>
            <w:bookmarkStart w:name="_a3140c14_2079_4cce_b750_ecabd24fdfae" w:colFirst="0" w:colLast="0" w:id="2025"/>
            <w:bookmarkStart w:name="_c6d2931e_f425_4d36_bd52_6f60b98d9c02" w:colFirst="1" w:colLast="1" w:id="2026"/>
            <w:bookmarkStart w:name="_23922b58_0713_4cf8_9111_f3d9e1eba9f5" w:colFirst="2" w:colLast="2" w:id="2027"/>
            <w:bookmarkStart w:name="_8a7ecbc6_db22_4133_b717_edf3960ba66a" w:colFirst="3" w:colLast="3" w:id="2028"/>
            <w:bookmarkStart w:name="_0fb886a3_278e_4573_a2a5_be007945c721" w:colFirst="4" w:colLast="4" w:id="2029"/>
            <w:bookmarkStart w:name="_81770e5e_4b64_4480_b605_e31cdcbf2f7e" w:colFirst="5" w:colLast="5" w:id="2030"/>
            <w:bookmarkStart w:name="_43f78107_7353_41cd_81bf_3ea947bb099a" w:colFirst="6" w:colLast="6" w:id="2031"/>
            <w:bookmarkStart w:name="_ee3814f6_4a72_4667_88a8_4354380f5fbe" w:id="2032"/>
            <w:bookmarkEnd w:id="2024"/>
          </w:p>
        </w:tc>
        <w:tc>
          <w:tcPr>
            <w:tcW w:w="9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6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9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6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9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6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2915"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84da60b7_5150_4d20_9457_64b51a1b9120" w:id="2033"/>
            <w:bookmarkEnd w:id="2025"/>
            <w:bookmarkEnd w:id="2026"/>
            <w:bookmarkEnd w:id="2027"/>
            <w:bookmarkEnd w:id="2028"/>
            <w:bookmarkEnd w:id="2029"/>
            <w:bookmarkEnd w:id="2030"/>
            <w:bookmarkEnd w:id="2031"/>
          </w:p>
        </w:tc>
        <w:tc>
          <w:tcPr>
            <w:tcW w:w="92"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 as of</w:t>
            </w:r>
          </w:p>
        </w:tc>
        <w:tc>
          <w:tcPr>
            <w:tcW w:w="92"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03"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92"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Net as of</w:t>
            </w:r>
          </w:p>
        </w:tc>
      </w:tr>
      <w:tr w:rsidR="009534E2">
        <w:trPr>
          <w:jc w:val="center"/>
        </w:trPr>
        <w:tc>
          <w:tcPr>
            <w:tcW w:w="2915"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dfad4a8e_e521_4af7_a3b2_c023bcfbec53" w:id="2034"/>
            <w:bookmarkEnd w:id="2033"/>
          </w:p>
        </w:tc>
        <w:tc>
          <w:tcPr>
            <w:tcW w:w="92"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6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w:t>
            </w:r>
          </w:p>
        </w:tc>
        <w:tc>
          <w:tcPr>
            <w:tcW w:w="92"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6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xml:space="preserve">Expected credit  </w:t>
            </w:r>
          </w:p>
        </w:tc>
        <w:tc>
          <w:tcPr>
            <w:tcW w:w="92"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60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w:t>
            </w:r>
          </w:p>
        </w:tc>
      </w:tr>
      <w:tr w:rsidR="009534E2">
        <w:trPr>
          <w:jc w:val="center"/>
        </w:trPr>
        <w:tc>
          <w:tcPr>
            <w:tcW w:w="2915"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88d32cfa_d270_4de8_894a_876c0372a228" w:id="2035"/>
            <w:bookmarkEnd w:id="2034"/>
          </w:p>
        </w:tc>
        <w:tc>
          <w:tcPr>
            <w:tcW w:w="92"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92"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loss allowance</w:t>
            </w:r>
          </w:p>
        </w:tc>
        <w:tc>
          <w:tcPr>
            <w:tcW w:w="92"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0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r>
      <w:tr w:rsidR="009534E2">
        <w:trPr>
          <w:jc w:val="center"/>
        </w:trPr>
        <w:tc>
          <w:tcPr>
            <w:tcW w:w="2915"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062885cc_a9e2_4f35_bf1a_c8e4dfa6d360" w:id="2036"/>
            <w:bookmarkEnd w:id="2035"/>
            <w:r>
              <w:rPr>
                <w:rFonts w:eastAsia="Times New Roman" w:asciiTheme="majorHAnsi" w:hAnsiTheme="majorHAnsi" w:cstheme="majorHAnsi"/>
                <w:color w:val="000000"/>
              </w:rPr>
              <w:t>Cash receivable from agents</w:t>
            </w:r>
          </w:p>
        </w:tc>
        <w:tc>
          <w:tcPr>
            <w:tcW w:w="9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3,295</w:t>
            </w:r>
          </w:p>
        </w:tc>
        <w:tc>
          <w:tcPr>
            <w:tcW w:w="9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(251)</w:t>
            </w:r>
          </w:p>
        </w:tc>
        <w:tc>
          <w:tcPr>
            <w:tcW w:w="9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3,044</w:t>
            </w:r>
          </w:p>
        </w:tc>
      </w:tr>
      <w:tr w:rsidR="009534E2">
        <w:trPr>
          <w:jc w:val="center"/>
        </w:trPr>
        <w:tc>
          <w:tcPr>
            <w:tcW w:w="2915"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fd4d277f_3b3b_488f_88dd_3c0c6448ae31" w:id="2037"/>
            <w:bookmarkEnd w:id="2036"/>
            <w:r>
              <w:rPr>
                <w:rFonts w:eastAsia="Times New Roman" w:asciiTheme="majorHAnsi" w:hAnsiTheme="majorHAnsi" w:cstheme="majorHAnsi"/>
                <w:color w:val="000000"/>
              </w:rPr>
              <w:t>Deposits issued to merchants</w:t>
            </w:r>
          </w:p>
        </w:tc>
        <w:tc>
          <w:tcPr>
            <w:tcW w:w="9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3,162</w:t>
            </w:r>
          </w:p>
        </w:tc>
        <w:tc>
          <w:tcPr>
            <w:tcW w:w="9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(16)</w:t>
            </w:r>
          </w:p>
        </w:tc>
        <w:tc>
          <w:tcPr>
            <w:tcW w:w="9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3,146</w:t>
            </w:r>
          </w:p>
        </w:tc>
      </w:tr>
      <w:tr w:rsidR="009534E2">
        <w:trPr>
          <w:jc w:val="center"/>
        </w:trPr>
        <w:tc>
          <w:tcPr>
            <w:tcW w:w="2915"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f5c2ae1e_888f_4cf4_9458_40d7df365143" w:id="2038"/>
            <w:bookmarkEnd w:id="2037"/>
            <w:r>
              <w:rPr>
                <w:rFonts w:eastAsia="Times New Roman" w:asciiTheme="majorHAnsi" w:hAnsiTheme="majorHAnsi" w:cstheme="majorHAnsi"/>
                <w:color w:val="000000"/>
              </w:rPr>
              <w:t>Commissions receivable</w:t>
            </w:r>
          </w:p>
        </w:tc>
        <w:tc>
          <w:tcPr>
            <w:tcW w:w="9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138</w:t>
            </w:r>
          </w:p>
        </w:tc>
        <w:tc>
          <w:tcPr>
            <w:tcW w:w="9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(11)</w:t>
            </w:r>
          </w:p>
        </w:tc>
        <w:tc>
          <w:tcPr>
            <w:tcW w:w="9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127</w:t>
            </w:r>
          </w:p>
        </w:tc>
      </w:tr>
      <w:tr w:rsidR="009534E2">
        <w:trPr>
          <w:jc w:val="center"/>
        </w:trPr>
        <w:tc>
          <w:tcPr>
            <w:tcW w:w="2915"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53842d5e_0501_4028_a0e3_b835fe2ec844" w:id="2039"/>
            <w:bookmarkEnd w:id="2038"/>
            <w:r>
              <w:rPr>
                <w:rFonts w:eastAsia="Times New Roman" w:asciiTheme="majorHAnsi" w:hAnsiTheme="majorHAnsi" w:cstheme="majorHAnsi"/>
                <w:color w:val="000000"/>
              </w:rPr>
              <w:t>Other receivables*</w:t>
            </w:r>
          </w:p>
        </w:tc>
        <w:tc>
          <w:tcPr>
            <w:tcW w:w="9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5,236</w:t>
            </w:r>
          </w:p>
        </w:tc>
        <w:tc>
          <w:tcPr>
            <w:tcW w:w="9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single" w:color="000000" w:sz="4" w:space="0"/>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(231)</w:t>
            </w:r>
          </w:p>
        </w:tc>
        <w:tc>
          <w:tcPr>
            <w:tcW w:w="9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5,005</w:t>
            </w:r>
          </w:p>
        </w:tc>
      </w:tr>
      <w:tr w:rsidR="009534E2">
        <w:trPr>
          <w:jc w:val="center"/>
        </w:trPr>
        <w:tc>
          <w:tcPr>
            <w:tcW w:w="2915"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91f51c57_1c81_4e75_b42e_a396ddbc0750" w:id="2040"/>
            <w:bookmarkEnd w:id="2039"/>
            <w:r>
              <w:rPr>
                <w:rFonts w:eastAsia="Times New Roman" w:asciiTheme="majorHAnsi" w:hAnsiTheme="majorHAnsi" w:cstheme="majorHAnsi"/>
                <w:b/>
                <w:color w:val="000000"/>
              </w:rPr>
              <w:t>Total financial assets</w:t>
            </w:r>
          </w:p>
        </w:tc>
        <w:tc>
          <w:tcPr>
            <w:tcW w:w="9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603"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11,831</w:t>
            </w:r>
          </w:p>
        </w:tc>
        <w:tc>
          <w:tcPr>
            <w:tcW w:w="9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603"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(509)</w:t>
            </w:r>
          </w:p>
        </w:tc>
        <w:tc>
          <w:tcPr>
            <w:tcW w:w="92"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603"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11,322</w:t>
            </w:r>
          </w:p>
        </w:tc>
      </w:tr>
      <w:tr w:rsidR="009534E2">
        <w:trPr>
          <w:jc w:val="center"/>
        </w:trPr>
        <w:tc>
          <w:tcPr>
            <w:tcW w:w="2915"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87892b5a_7913_42c3_aa01_f957f3072fd6" w:id="2041"/>
            <w:bookmarkEnd w:id="2040"/>
            <w:r>
              <w:rPr>
                <w:rFonts w:eastAsia="Times New Roman" w:asciiTheme="majorHAnsi" w:hAnsiTheme="majorHAnsi" w:cstheme="majorHAnsi"/>
                <w:color w:val="000000"/>
              </w:rPr>
              <w:t>Advances issued</w:t>
            </w:r>
          </w:p>
        </w:tc>
        <w:tc>
          <w:tcPr>
            <w:tcW w:w="9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254</w:t>
            </w:r>
          </w:p>
        </w:tc>
        <w:tc>
          <w:tcPr>
            <w:tcW w:w="9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92"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03"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254</w:t>
            </w:r>
          </w:p>
        </w:tc>
      </w:tr>
      <w:tr w:rsidR="009534E2">
        <w:trPr>
          <w:jc w:val="center"/>
        </w:trPr>
        <w:tc>
          <w:tcPr>
            <w:tcW w:w="2915"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3063b325_9e6e_492b_96ab_8f1c82c37b7b" w:id="2042"/>
            <w:bookmarkEnd w:id="2041"/>
            <w:r>
              <w:rPr>
                <w:rFonts w:eastAsia="Times New Roman" w:asciiTheme="majorHAnsi" w:hAnsiTheme="majorHAnsi" w:cstheme="majorHAnsi"/>
                <w:b/>
                <w:color w:val="000000"/>
              </w:rPr>
              <w:t>Total trade and other receivables</w:t>
            </w:r>
          </w:p>
        </w:tc>
        <w:tc>
          <w:tcPr>
            <w:tcW w:w="9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603"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12,085</w:t>
            </w:r>
          </w:p>
        </w:tc>
        <w:tc>
          <w:tcPr>
            <w:tcW w:w="9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603" w:type="pct"/>
            <w:tcBorders>
              <w:top w:val="nil"/>
              <w:left w:val="nil"/>
              <w:bottom w:val="doub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(509)</w:t>
            </w:r>
          </w:p>
        </w:tc>
        <w:tc>
          <w:tcPr>
            <w:tcW w:w="92"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603"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11,576</w:t>
            </w:r>
          </w:p>
        </w:tc>
      </w:tr>
    </w:tbl>
    <w:bookmarkEnd w:id="2002"/>
    <w:bookmarkEnd w:id="2032"/>
    <w:bookmarkEnd w:id="2042"/>
    <w:p w:rsidR="009534E2" w:rsidRDefault="00EC0AE1">
      <w:pPr>
        <w:rPr>
          <w:rFonts w:asciiTheme="majorHAnsi" w:hAnsiTheme="majorHAnsi" w:cstheme="majorHAnsi"/>
        </w:rPr>
      </w:pPr>
      <w:r>
        <w:rPr>
          <w:rFonts w:eastAsia="Times New Roman" w:asciiTheme="majorHAnsi" w:hAnsiTheme="majorHAnsi" w:cstheme="majorHAnsi"/>
          <w:sz w:val="8"/>
          <w:szCs w:val="8"/>
          <w:lang w:eastAsia="ru-RU"/>
        </w:rPr>
        <w:pict w14:anchorId="6AAEB4C9">
          <v:rect id="_x0000_i1049" style="width:135pt;height:1pt" o:hr="t" o:hrstd="t" o:hrnoshade="t" o:hrpct="250" fillcolor="black" stroked="f"/>
        </w:pict>
      </w:r>
    </w:p>
    <w:p w:rsidR="009534E2" w:rsidRDefault="003369EB">
      <w:pPr>
        <w:pStyle w:val="ListParagraph"/>
        <w:numPr>
          <w:ilvl w:val="0"/>
          <w:numId w:val="36"/>
        </w:numPr>
        <w:spacing w:after="200"/>
        <w:ind w:left="360"/>
        <w:rPr>
          <w:rFonts w:asciiTheme="majorHAnsi" w:hAnsiTheme="majorHAnsi" w:cstheme="majorHAnsi"/>
        </w:rPr>
      </w:pPr>
      <w:r>
        <w:rPr>
          <w:rFonts w:asciiTheme="majorHAnsi" w:hAnsiTheme="majorHAnsi" w:cstheme="majorHAnsi"/>
        </w:rPr>
        <w:t xml:space="preserve">Other receivables include receivables from sale of Tochka associate in the amount of </w:t>
      </w:r>
      <w:bookmarkStart w:name="_d4027041_9182_4633_8e42_0dc5faee1b73" w:id="2043"/>
      <w:r>
        <w:rPr>
          <w:rFonts w:asciiTheme="majorHAnsi" w:hAnsiTheme="majorHAnsi" w:cstheme="majorHAnsi"/>
        </w:rPr>
        <w:t>4,757</w:t>
      </w:r>
      <w:bookmarkEnd w:id="2043"/>
    </w:p>
    <w:bookmarkEnd w:id="2003"/>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amounts in the tables show the maximum exposure to credit risk regarding Trade and other receivables.  An impairment analysis is performed at each reporting date using a provision matrix to measure expected credit losses. The provision rates are based on days past due for groupings of various customer segments with similar loss patterns.</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Set out below is the information about the credit risk exposure on the Group’s trade and other receivables (except for advances issued) using a provision matrix:</w:t>
      </w:r>
    </w:p>
    <w:p w:rsidR="009534E2" w:rsidRDefault="009534E2">
      <w:pPr>
        <w:pStyle w:val="BodyText"/>
        <w:keepNext/>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598"/>
        <w:gridCol w:w="201"/>
        <w:gridCol w:w="899"/>
        <w:gridCol w:w="268"/>
        <w:gridCol w:w="756"/>
        <w:gridCol w:w="268"/>
        <w:gridCol w:w="756"/>
        <w:gridCol w:w="268"/>
        <w:gridCol w:w="756"/>
        <w:gridCol w:w="268"/>
        <w:gridCol w:w="762"/>
      </w:tblGrid>
      <w:tr w:rsidR="009534E2">
        <w:trPr>
          <w:trHeight w:val="20" w:hRule="exact"/>
          <w:jc w:val="center"/>
        </w:trPr>
        <w:tc>
          <w:tcPr>
            <w:tcW w:w="2592"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bookmarkStart w:name="_667d2900_8981_4526_b887_f2c244239f0a" w:colFirst="0" w:colLast="0" w:id="2044"/>
            <w:bookmarkStart w:name="_bcce86e2_ca64_4bd7_a5f9_44664f3da3ad" w:colFirst="1" w:colLast="1" w:id="2045"/>
            <w:bookmarkStart w:name="_e2c950a5_7204_4661_9470_014bd545083e" w:colFirst="2" w:colLast="2" w:id="2046"/>
            <w:bookmarkStart w:name="_c767027e_757c_4f95_a63f_ef5cb73b0675" w:colFirst="3" w:colLast="3" w:id="2047"/>
            <w:bookmarkStart w:name="_d8cb994b_6c95_4e79_978f_5d22dcad5400" w:colFirst="4" w:colLast="4" w:id="2048"/>
            <w:bookmarkStart w:name="_34e654dc_3314_45e5_a0d1_84e07fa19196" w:colFirst="5" w:colLast="5" w:id="2049"/>
            <w:bookmarkStart w:name="_f00eaba9_d863_4a83_9a3e_490f6b936306" w:colFirst="6" w:colLast="6" w:id="2050"/>
            <w:bookmarkStart w:name="_92fb2913_ce10_4e5e_9e40_00d2203b23ca" w:colFirst="7" w:colLast="7" w:id="2051"/>
            <w:bookmarkStart w:name="_929e0d6e_f797_4117_a114_39ca3a81bd6f" w:colFirst="8" w:colLast="8" w:id="2052"/>
            <w:bookmarkStart w:name="_54c2d928_d44a_4292_9dc9_fc8018d55659" w:colFirst="9" w:colLast="9" w:id="2053"/>
            <w:bookmarkStart w:name="_ed0f7d23_3819_4736_8b9a_e1a59b130c25" w:colFirst="10" w:colLast="10" w:id="2054"/>
            <w:bookmarkStart w:name="_00a54b2a_3973_4bf3_b91b_613de0b7224d" w:id="2055"/>
            <w:bookmarkStart w:name="_c07f7407_e0d5_49b7_900c_1cd666c38506" w:id="2056"/>
          </w:p>
        </w:tc>
        <w:tc>
          <w:tcPr>
            <w:tcW w:w="9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41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12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50"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12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50"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12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50"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12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5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9534E2">
        <w:trPr>
          <w:jc w:val="center"/>
        </w:trPr>
        <w:tc>
          <w:tcPr>
            <w:tcW w:w="2592" w:type="pct"/>
            <w:tcBorders>
              <w:top w:val="nil"/>
              <w:left w:val="nil"/>
              <w:bottom w:val="nil"/>
              <w:right w:val="nil"/>
              <w:tl2br w:val="nil"/>
              <w:tr2bl w:val="nil"/>
            </w:tcBorders>
            <w:shd w:val="clear" w:color="auto" w:fill="auto"/>
            <w:vAlign w:val="bottom"/>
          </w:tcPr>
          <w:p w:rsidR="009534E2" w:rsidRDefault="003369EB">
            <w:pPr>
              <w:keepNext/>
              <w:spacing w:after="1"/>
              <w:rPr>
                <w:rFonts w:asciiTheme="majorHAnsi" w:hAnsiTheme="majorHAnsi" w:cstheme="majorHAnsi"/>
                <w:b/>
                <w:color w:val="000000"/>
                <w:sz w:val="16"/>
              </w:rPr>
            </w:pPr>
            <w:bookmarkStart w:name="_f1ddb3de_bc8f_45db_9727_5a802730513a" w:id="2057"/>
            <w:bookmarkEnd w:id="2044"/>
            <w:bookmarkEnd w:id="2045"/>
            <w:bookmarkEnd w:id="2046"/>
            <w:bookmarkEnd w:id="2047"/>
            <w:bookmarkEnd w:id="2048"/>
            <w:bookmarkEnd w:id="2049"/>
            <w:bookmarkEnd w:id="2050"/>
            <w:bookmarkEnd w:id="2051"/>
            <w:bookmarkEnd w:id="2052"/>
            <w:bookmarkEnd w:id="2053"/>
            <w:bookmarkEnd w:id="2054"/>
            <w:r>
              <w:rPr>
                <w:rFonts w:eastAsia="Times New Roman" w:asciiTheme="majorHAnsi" w:hAnsiTheme="majorHAnsi" w:cstheme="majorHAnsi"/>
                <w:b/>
                <w:color w:val="000000"/>
                <w:sz w:val="16"/>
              </w:rPr>
              <w:t>December 31, 2022</w:t>
            </w:r>
          </w:p>
        </w:tc>
        <w:tc>
          <w:tcPr>
            <w:tcW w:w="93"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color w:val="000000"/>
                <w:sz w:val="16"/>
              </w:rPr>
            </w:pPr>
          </w:p>
        </w:tc>
        <w:tc>
          <w:tcPr>
            <w:tcW w:w="2315" w:type="pct"/>
            <w:gridSpan w:val="9"/>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xml:space="preserve">Days past due </w:t>
            </w:r>
          </w:p>
        </w:tc>
      </w:tr>
      <w:tr w:rsidR="009534E2">
        <w:trPr>
          <w:jc w:val="center"/>
        </w:trPr>
        <w:tc>
          <w:tcPr>
            <w:tcW w:w="2592"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563C1"/>
                <w:sz w:val="16"/>
                <w:u w:val="single"/>
              </w:rPr>
            </w:pPr>
            <w:bookmarkStart w:name="_aa51028e_6cde_4703_b317_e9e878aadb3d" w:id="2058"/>
            <w:bookmarkEnd w:id="2057"/>
          </w:p>
        </w:tc>
        <w:tc>
          <w:tcPr>
            <w:tcW w:w="93"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color w:val="000000"/>
                <w:sz w:val="16"/>
              </w:rPr>
            </w:pPr>
          </w:p>
        </w:tc>
        <w:tc>
          <w:tcPr>
            <w:tcW w:w="41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Current  and</w:t>
            </w:r>
          </w:p>
        </w:tc>
        <w:tc>
          <w:tcPr>
            <w:tcW w:w="12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color w:val="000000"/>
                <w:sz w:val="16"/>
              </w:rPr>
            </w:pPr>
          </w:p>
        </w:tc>
        <w:tc>
          <w:tcPr>
            <w:tcW w:w="350"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color w:val="000000"/>
                <w:sz w:val="16"/>
              </w:rPr>
            </w:pPr>
          </w:p>
        </w:tc>
        <w:tc>
          <w:tcPr>
            <w:tcW w:w="12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color w:val="000000"/>
                <w:sz w:val="16"/>
              </w:rPr>
            </w:pPr>
          </w:p>
        </w:tc>
        <w:tc>
          <w:tcPr>
            <w:tcW w:w="350"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color w:val="000000"/>
                <w:sz w:val="16"/>
              </w:rPr>
            </w:pPr>
          </w:p>
        </w:tc>
        <w:tc>
          <w:tcPr>
            <w:tcW w:w="12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color w:val="000000"/>
                <w:sz w:val="16"/>
              </w:rPr>
            </w:pPr>
          </w:p>
        </w:tc>
        <w:tc>
          <w:tcPr>
            <w:tcW w:w="350"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color w:val="000000"/>
                <w:sz w:val="16"/>
              </w:rPr>
            </w:pPr>
          </w:p>
        </w:tc>
        <w:tc>
          <w:tcPr>
            <w:tcW w:w="12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color w:val="000000"/>
                <w:sz w:val="16"/>
              </w:rPr>
            </w:pPr>
          </w:p>
        </w:tc>
        <w:tc>
          <w:tcPr>
            <w:tcW w:w="353"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color w:val="000000"/>
                <w:sz w:val="16"/>
              </w:rPr>
            </w:pPr>
          </w:p>
        </w:tc>
      </w:tr>
      <w:tr w:rsidR="009534E2">
        <w:trPr>
          <w:jc w:val="center"/>
        </w:trPr>
        <w:tc>
          <w:tcPr>
            <w:tcW w:w="2592"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b8f7d09f_25bd_4263_81d1_71ad61199d4f" w:id="2059"/>
            <w:bookmarkEnd w:id="2058"/>
          </w:p>
        </w:tc>
        <w:tc>
          <w:tcPr>
            <w:tcW w:w="93"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16"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&lt;30 days</w:t>
            </w:r>
          </w:p>
        </w:tc>
        <w:tc>
          <w:tcPr>
            <w:tcW w:w="124"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50"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30-60 days</w:t>
            </w:r>
          </w:p>
        </w:tc>
        <w:tc>
          <w:tcPr>
            <w:tcW w:w="124"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50"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61-90 days</w:t>
            </w:r>
          </w:p>
        </w:tc>
        <w:tc>
          <w:tcPr>
            <w:tcW w:w="124"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50"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&gt;91 days</w:t>
            </w:r>
          </w:p>
        </w:tc>
        <w:tc>
          <w:tcPr>
            <w:tcW w:w="124"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53"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w:t>
            </w:r>
          </w:p>
        </w:tc>
      </w:tr>
      <w:tr w:rsidR="009534E2">
        <w:trPr>
          <w:jc w:val="center"/>
        </w:trPr>
        <w:tc>
          <w:tcPr>
            <w:tcW w:w="2592"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767cd748_764b_430c_bc29_4b453349ea98" w:id="2060"/>
            <w:bookmarkStart w:name="_e7fad04c_8bfd_40c7_9843_d950eed83263" w:colFirst="2" w:colLast="2" w:id="2061"/>
            <w:bookmarkEnd w:id="2059"/>
            <w:r>
              <w:rPr>
                <w:rFonts w:eastAsia="Times New Roman" w:asciiTheme="majorHAnsi" w:hAnsiTheme="majorHAnsi" w:cstheme="majorHAnsi"/>
                <w:color w:val="000000"/>
              </w:rPr>
              <w:t xml:space="preserve">Expected credit loss rate </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416"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1.8</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47</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0"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81</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3"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rFonts w:asciiTheme="majorHAnsi" w:hAnsiTheme="majorHAnsi" w:cstheme="majorHAnsi"/>
                <w:b/>
                <w:color w:val="000000"/>
              </w:rPr>
            </w:pPr>
            <w:r>
              <w:rPr>
                <w:rFonts w:eastAsia="Times New Roman" w:asciiTheme="majorHAnsi" w:hAnsiTheme="majorHAnsi" w:cstheme="majorHAnsi"/>
                <w:b/>
                <w:color w:val="000000"/>
              </w:rPr>
              <w:t>  </w:t>
            </w:r>
          </w:p>
        </w:tc>
      </w:tr>
      <w:tr w:rsidR="009534E2">
        <w:trPr>
          <w:jc w:val="center"/>
        </w:trPr>
        <w:tc>
          <w:tcPr>
            <w:tcW w:w="2592"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ddfd0654_d6f8_492a_b4b0_92655459ffde" w:id="2062"/>
            <w:bookmarkEnd w:id="2060"/>
            <w:bookmarkEnd w:id="2061"/>
            <w:r>
              <w:rPr>
                <w:rFonts w:eastAsia="Times New Roman" w:asciiTheme="majorHAnsi" w:hAnsiTheme="majorHAnsi" w:cstheme="majorHAnsi"/>
                <w:color w:val="000000"/>
              </w:rPr>
              <w:t>Exposure at default</w:t>
            </w:r>
          </w:p>
        </w:tc>
        <w:tc>
          <w:tcPr>
            <w:tcW w:w="93"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416"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14,694</w:t>
            </w:r>
          </w:p>
        </w:tc>
        <w:tc>
          <w:tcPr>
            <w:tcW w:w="12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0"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255</w:t>
            </w:r>
          </w:p>
        </w:tc>
        <w:tc>
          <w:tcPr>
            <w:tcW w:w="12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0"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125</w:t>
            </w:r>
          </w:p>
        </w:tc>
        <w:tc>
          <w:tcPr>
            <w:tcW w:w="12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0"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810</w:t>
            </w:r>
          </w:p>
        </w:tc>
        <w:tc>
          <w:tcPr>
            <w:tcW w:w="12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53"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15,884</w:t>
            </w:r>
          </w:p>
        </w:tc>
      </w:tr>
      <w:tr w:rsidR="009534E2">
        <w:trPr>
          <w:jc w:val="center"/>
        </w:trPr>
        <w:tc>
          <w:tcPr>
            <w:tcW w:w="2592"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e2db9423_73e0_49e3_9c87_ab57d0688f66" w:id="2063"/>
            <w:bookmarkEnd w:id="2062"/>
            <w:r>
              <w:rPr>
                <w:rFonts w:eastAsia="Times New Roman" w:asciiTheme="majorHAnsi" w:hAnsiTheme="majorHAnsi" w:cstheme="majorHAnsi"/>
                <w:color w:val="000000"/>
              </w:rPr>
              <w:t xml:space="preserve">Expected credit loss </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416"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(268)</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(29)</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(59)</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0"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(660)</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53"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(1,016)</w:t>
            </w:r>
          </w:p>
        </w:tc>
      </w:tr>
      <w:bookmarkEnd w:id="2055"/>
      <w:bookmarkEnd w:id="2063"/>
    </w:tbl>
    <w:p w:rsidR="009534E2" w:rsidRDefault="009534E2">
      <w:pPr>
        <w:pStyle w:val="BodyText"/>
        <w:keepNext/>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602"/>
        <w:gridCol w:w="200"/>
        <w:gridCol w:w="858"/>
        <w:gridCol w:w="268"/>
        <w:gridCol w:w="765"/>
        <w:gridCol w:w="268"/>
        <w:gridCol w:w="765"/>
        <w:gridCol w:w="268"/>
        <w:gridCol w:w="765"/>
        <w:gridCol w:w="268"/>
        <w:gridCol w:w="773"/>
      </w:tblGrid>
      <w:tr w:rsidR="009534E2">
        <w:trPr>
          <w:trHeight w:val="20" w:hRule="exact"/>
          <w:jc w:val="center"/>
        </w:trPr>
        <w:tc>
          <w:tcPr>
            <w:tcW w:w="2594"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e39398f2_82c0_4dcf_a434_2e8a2cd7a67d" w:colFirst="0" w:colLast="0" w:id="2064"/>
            <w:bookmarkStart w:name="_d3d986eb_68b7_4804_9b33_6555c3dd09af" w:colFirst="1" w:colLast="1" w:id="2065"/>
            <w:bookmarkStart w:name="_b89b8ea0_aba1_417c_87c3_77bf8f5796f5" w:colFirst="2" w:colLast="2" w:id="2066"/>
            <w:bookmarkStart w:name="_a9f2b814_6c6f_4c5f_9bc7_ab9fea2928cb" w:colFirst="3" w:colLast="3" w:id="2067"/>
            <w:bookmarkStart w:name="_ebd7d6ee_7c6b_4f25_be4a_72b72d3acdb9" w:colFirst="4" w:colLast="4" w:id="2068"/>
            <w:bookmarkStart w:name="_871963e4_9e35_45b1_b447_81e933386504" w:colFirst="5" w:colLast="5" w:id="2069"/>
            <w:bookmarkStart w:name="_49dfd69f_f34a_4cb6_84c0_90066f091169" w:colFirst="6" w:colLast="6" w:id="2070"/>
            <w:bookmarkStart w:name="_7bfb65d0_0d82_42ab_8a38_3ea219561b85" w:colFirst="7" w:colLast="7" w:id="2071"/>
            <w:bookmarkStart w:name="_a1a8e7c5_400b_4ba1_a509_3d5b6a6ec83d" w:colFirst="8" w:colLast="8" w:id="2072"/>
            <w:bookmarkStart w:name="_5531283d_d361_4262_81f0_c5aa5e34f9d1" w:colFirst="9" w:colLast="9" w:id="2073"/>
            <w:bookmarkStart w:name="_3ad88f9c_f549_4583_b51e_52b3a78b524f" w:colFirst="10" w:colLast="10" w:id="2074"/>
            <w:bookmarkStart w:name="_fe59ba46_ab6f_419b_96ca_3248a389b802" w:id="2075"/>
          </w:p>
        </w:tc>
        <w:tc>
          <w:tcPr>
            <w:tcW w:w="9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9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12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5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12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5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12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5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12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58"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9534E2">
        <w:trPr>
          <w:jc w:val="center"/>
        </w:trPr>
        <w:tc>
          <w:tcPr>
            <w:tcW w:w="2594" w:type="pct"/>
            <w:tcBorders>
              <w:top w:val="nil"/>
              <w:left w:val="nil"/>
              <w:bottom w:val="nil"/>
              <w:right w:val="nil"/>
              <w:tl2br w:val="nil"/>
              <w:tr2bl w:val="nil"/>
            </w:tcBorders>
            <w:shd w:val="clear" w:color="auto" w:fill="auto"/>
            <w:vAlign w:val="bottom"/>
          </w:tcPr>
          <w:p w:rsidR="009534E2" w:rsidRDefault="003369EB">
            <w:pPr>
              <w:keepNext/>
              <w:spacing w:after="1"/>
              <w:rPr>
                <w:rFonts w:asciiTheme="majorHAnsi" w:hAnsiTheme="majorHAnsi" w:cstheme="majorHAnsi"/>
                <w:b/>
                <w:color w:val="000000"/>
                <w:sz w:val="16"/>
              </w:rPr>
            </w:pPr>
            <w:bookmarkStart w:name="_8e477927_29f0_4683_b22b_f4888cdf297a" w:id="2076"/>
            <w:bookmarkEnd w:id="2064"/>
            <w:bookmarkEnd w:id="2065"/>
            <w:bookmarkEnd w:id="2066"/>
            <w:bookmarkEnd w:id="2067"/>
            <w:bookmarkEnd w:id="2068"/>
            <w:bookmarkEnd w:id="2069"/>
            <w:bookmarkEnd w:id="2070"/>
            <w:bookmarkEnd w:id="2071"/>
            <w:bookmarkEnd w:id="2072"/>
            <w:bookmarkEnd w:id="2073"/>
            <w:bookmarkEnd w:id="2074"/>
            <w:r>
              <w:rPr>
                <w:rFonts w:eastAsia="Times New Roman" w:asciiTheme="majorHAnsi" w:hAnsiTheme="majorHAnsi" w:cstheme="majorHAnsi"/>
                <w:b/>
                <w:color w:val="000000"/>
                <w:sz w:val="16"/>
              </w:rPr>
              <w:t>December 31, 2021</w:t>
            </w:r>
          </w:p>
        </w:tc>
        <w:tc>
          <w:tcPr>
            <w:tcW w:w="9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color w:val="000000"/>
                <w:sz w:val="16"/>
              </w:rPr>
            </w:pPr>
          </w:p>
        </w:tc>
        <w:tc>
          <w:tcPr>
            <w:tcW w:w="2314" w:type="pct"/>
            <w:gridSpan w:val="9"/>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Days past due</w:t>
            </w:r>
          </w:p>
        </w:tc>
      </w:tr>
      <w:tr w:rsidR="009534E2">
        <w:trPr>
          <w:jc w:val="center"/>
        </w:trPr>
        <w:tc>
          <w:tcPr>
            <w:tcW w:w="2594"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34443e84_0ac3_45cf_b64d_8f79e88a4b34" w:id="2077"/>
            <w:bookmarkEnd w:id="2076"/>
          </w:p>
        </w:tc>
        <w:tc>
          <w:tcPr>
            <w:tcW w:w="9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color w:val="000000"/>
                <w:sz w:val="16"/>
              </w:rPr>
            </w:pPr>
          </w:p>
        </w:tc>
        <w:tc>
          <w:tcPr>
            <w:tcW w:w="39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Current and</w:t>
            </w:r>
          </w:p>
        </w:tc>
        <w:tc>
          <w:tcPr>
            <w:tcW w:w="12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354"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12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color w:val="000000"/>
                <w:sz w:val="16"/>
              </w:rPr>
            </w:pPr>
          </w:p>
        </w:tc>
        <w:tc>
          <w:tcPr>
            <w:tcW w:w="354"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12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color w:val="000000"/>
                <w:sz w:val="16"/>
              </w:rPr>
            </w:pPr>
          </w:p>
        </w:tc>
        <w:tc>
          <w:tcPr>
            <w:tcW w:w="354"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12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color w:val="000000"/>
                <w:sz w:val="16"/>
              </w:rPr>
            </w:pPr>
          </w:p>
        </w:tc>
        <w:tc>
          <w:tcPr>
            <w:tcW w:w="35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r>
      <w:tr w:rsidR="009534E2">
        <w:trPr>
          <w:jc w:val="center"/>
        </w:trPr>
        <w:tc>
          <w:tcPr>
            <w:tcW w:w="2594"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d3fe7191_9450_4eb8_be76_9ce685ed7939" w:id="2078"/>
            <w:bookmarkEnd w:id="2077"/>
          </w:p>
        </w:tc>
        <w:tc>
          <w:tcPr>
            <w:tcW w:w="9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color w:val="000000"/>
                <w:sz w:val="16"/>
              </w:rPr>
            </w:pPr>
          </w:p>
        </w:tc>
        <w:tc>
          <w:tcPr>
            <w:tcW w:w="397"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&lt;30 days</w:t>
            </w:r>
          </w:p>
        </w:tc>
        <w:tc>
          <w:tcPr>
            <w:tcW w:w="124"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4"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xml:space="preserve">30-60 days </w:t>
            </w:r>
          </w:p>
        </w:tc>
        <w:tc>
          <w:tcPr>
            <w:tcW w:w="124"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4"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61-90 days</w:t>
            </w:r>
          </w:p>
        </w:tc>
        <w:tc>
          <w:tcPr>
            <w:tcW w:w="124"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4"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&gt;91 days</w:t>
            </w:r>
          </w:p>
        </w:tc>
        <w:tc>
          <w:tcPr>
            <w:tcW w:w="124"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8"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w:t>
            </w:r>
          </w:p>
        </w:tc>
      </w:tr>
      <w:tr w:rsidR="009534E2">
        <w:trPr>
          <w:jc w:val="center"/>
        </w:trPr>
        <w:tc>
          <w:tcPr>
            <w:tcW w:w="2594"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6dc4707b_e2f7_4653_8e67_c9eda1a727ff" w:id="2079"/>
            <w:bookmarkStart w:name="_4fe4382a_4433_4c5c_8f21_c7e47cf78d01" w:colFirst="2" w:colLast="2" w:id="2080"/>
            <w:bookmarkEnd w:id="2078"/>
            <w:r>
              <w:rPr>
                <w:rFonts w:eastAsia="Times New Roman" w:asciiTheme="majorHAnsi" w:hAnsiTheme="majorHAnsi" w:cstheme="majorHAnsi"/>
                <w:color w:val="000000"/>
              </w:rPr>
              <w:t xml:space="preserve">Expected credit loss rate </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7"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0.06</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4"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19</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4"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94</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4"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95</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8"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rFonts w:asciiTheme="majorHAnsi" w:hAnsiTheme="majorHAnsi" w:cstheme="majorHAnsi"/>
                <w:b/>
                <w:color w:val="000000"/>
              </w:rPr>
            </w:pPr>
            <w:r>
              <w:rPr>
                <w:rFonts w:eastAsia="Times New Roman" w:asciiTheme="majorHAnsi" w:hAnsiTheme="majorHAnsi" w:cstheme="majorHAnsi"/>
                <w:b/>
                <w:color w:val="000000"/>
              </w:rPr>
              <w:t>  </w:t>
            </w:r>
          </w:p>
        </w:tc>
      </w:tr>
      <w:tr w:rsidR="009534E2">
        <w:trPr>
          <w:jc w:val="center"/>
        </w:trPr>
        <w:tc>
          <w:tcPr>
            <w:tcW w:w="2594"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9fa70a99_5ab1_4335_993c_ea80ccb3b7c7" w:id="2081"/>
            <w:bookmarkEnd w:id="2079"/>
            <w:bookmarkEnd w:id="2080"/>
            <w:r>
              <w:rPr>
                <w:rFonts w:eastAsia="Times New Roman" w:asciiTheme="majorHAnsi" w:hAnsiTheme="majorHAnsi" w:cstheme="majorHAnsi"/>
                <w:color w:val="000000"/>
              </w:rPr>
              <w:t>Exposure at default</w:t>
            </w:r>
          </w:p>
        </w:tc>
        <w:tc>
          <w:tcPr>
            <w:tcW w:w="93"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7"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11,241</w:t>
            </w:r>
          </w:p>
        </w:tc>
        <w:tc>
          <w:tcPr>
            <w:tcW w:w="12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4"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79</w:t>
            </w:r>
          </w:p>
        </w:tc>
        <w:tc>
          <w:tcPr>
            <w:tcW w:w="12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4"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34</w:t>
            </w:r>
          </w:p>
        </w:tc>
        <w:tc>
          <w:tcPr>
            <w:tcW w:w="12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4"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477</w:t>
            </w:r>
          </w:p>
        </w:tc>
        <w:tc>
          <w:tcPr>
            <w:tcW w:w="12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58"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11,831</w:t>
            </w:r>
          </w:p>
        </w:tc>
      </w:tr>
      <w:tr w:rsidR="009534E2">
        <w:trPr>
          <w:jc w:val="center"/>
        </w:trPr>
        <w:tc>
          <w:tcPr>
            <w:tcW w:w="2594"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293faf00_bc84_4799_b6e4_493540a5a46d" w:id="2082"/>
            <w:bookmarkEnd w:id="2081"/>
            <w:r>
              <w:rPr>
                <w:rFonts w:eastAsia="Times New Roman" w:asciiTheme="majorHAnsi" w:hAnsiTheme="majorHAnsi" w:cstheme="majorHAnsi"/>
                <w:color w:val="000000"/>
              </w:rPr>
              <w:t xml:space="preserve">Expected credit loss </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97"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(7)</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(15)</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(32)</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54"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(455)</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358"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(509)</w:t>
            </w:r>
          </w:p>
        </w:tc>
      </w:tr>
      <w:bookmarkEnd w:id="2056"/>
      <w:bookmarkEnd w:id="2075"/>
      <w:bookmarkEnd w:id="2082"/>
    </w:tbl>
    <w:p w:rsidR="009534E2" w:rsidRDefault="009534E2">
      <w:pPr>
        <w:pStyle w:val="BodyText"/>
        <w:spacing w:after="0"/>
        <w:rPr>
          <w:rFonts w:eastAsia="Times New Roman" w:asciiTheme="majorHAnsi" w:hAnsiTheme="majorHAnsi" w:cstheme="majorHAnsi"/>
          <w:lang w:eastAsia="ru-RU"/>
        </w:rPr>
      </w:pPr>
    </w:p>
    <w:p w:rsidR="009534E2" w:rsidRDefault="003369EB">
      <w:pPr>
        <w:pStyle w:val="Heading1"/>
        <w:keepLines w:val="0"/>
        <w:ind w:left="360" w:hanging="360"/>
        <w:rPr>
          <w:lang w:val="ru-RU" w:eastAsia="ru-RU"/>
        </w:rPr>
      </w:pPr>
      <w:bookmarkStart w:name="_656abcfa_3640_42a9_9079_120c6bc3822b" w:id="2083"/>
      <w:r>
        <w:rPr>
          <w:lang w:eastAsia="ru-RU"/>
        </w:rPr>
        <w:t>13.</w:t>
      </w:r>
      <w:r>
        <w:rPr>
          <w:lang w:eastAsia="ru-RU"/>
        </w:rPr>
        <w:tab/>
      </w:r>
      <w:r>
        <w:rPr>
          <w:lang w:val="ru-RU" w:eastAsia="ru-RU"/>
        </w:rPr>
        <w:t>Trade and other</w:t>
      </w:r>
      <w:r>
        <w:rPr>
          <w:lang w:eastAsia="ru-RU"/>
        </w:rPr>
        <w:t xml:space="preserve"> </w:t>
      </w:r>
      <w:r>
        <w:rPr>
          <w:lang w:val="ru-RU" w:eastAsia="ru-RU"/>
        </w:rPr>
        <w:t>receivables</w:t>
      </w:r>
      <w:r>
        <w:t xml:space="preserve"> </w:t>
      </w:r>
      <w:r>
        <w:rPr>
          <w:lang w:val="ru-RU" w:eastAsia="ru-RU"/>
        </w:rPr>
        <w:t>(continued)</w:t>
      </w:r>
    </w:p>
    <w:p w:rsidR="009534E2" w:rsidRDefault="003369EB">
      <w:pPr>
        <w:pStyle w:val="BodyText"/>
        <w:keepNext/>
        <w:spacing w:after="0"/>
        <w:rPr>
          <w:rFonts w:eastAsia="Times New Roman" w:asciiTheme="majorHAnsi" w:hAnsiTheme="majorHAnsi" w:cstheme="majorHAnsi"/>
          <w:lang w:eastAsia="ru-RU"/>
        </w:rPr>
      </w:pPr>
      <w:bookmarkStart w:name="_9a5ddded_b4f6_4328_bf9c_a26320d9d98a" w:id="2084"/>
      <w:r>
        <w:rPr>
          <w:rFonts w:eastAsia="Times New Roman" w:asciiTheme="majorHAnsi" w:hAnsiTheme="majorHAnsi" w:cstheme="majorHAnsi"/>
          <w:lang w:eastAsia="ru-RU"/>
        </w:rPr>
        <w:t>An analysis of the changes in the ECL allowances due to changes in the corresponding gross carrying amounts for the years ended December 31 was the following:</w:t>
      </w:r>
    </w:p>
    <w:p w:rsidR="009534E2" w:rsidRDefault="009534E2">
      <w:pPr>
        <w:pStyle w:val="BodyText"/>
        <w:keepNext/>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009534E2">
        <w:trPr>
          <w:trHeight w:val="20" w:hRule="exact"/>
          <w:jc w:val="center"/>
        </w:trPr>
        <w:tc>
          <w:tcPr>
            <w:tcW w:w="3401"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adc339b4_efc5_419e_9335_83285c8030c7" w:id="2085"/>
            <w:bookmarkStart w:name="_1d1667db_3d1e_49a2_bf2c_1e9b787625f9" w:id="2086"/>
            <w:bookmarkStart w:name="_0a4222d2_950c_4951_9cdd_b075ba5f2110" w:colFirst="0" w:colLast="0" w:id="2087"/>
            <w:bookmarkStart w:name="_a30d963f_70dc_4690_8251_331f14bb9517" w:colFirst="1" w:colLast="1" w:id="2088"/>
            <w:bookmarkStart w:name="_06e90649_e89e_4023_bb11_f5eaf1fda531" w:colFirst="6" w:colLast="6" w:id="2089"/>
            <w:bookmarkStart w:name="_78e22add_187f_461b_99a7_01a5f4f061ba" w:colFirst="2" w:colLast="2" w:id="2090"/>
            <w:bookmarkStart w:name="_0fff075e_c9f9_4adb_99a8_a1a447b924b0" w:colFirst="3" w:colLast="3" w:id="2091"/>
            <w:bookmarkStart w:name="_05d68f08_ce8d_4cd8_a247_37b552fb7611" w:colFirst="4" w:colLast="4" w:id="2092"/>
            <w:bookmarkStart w:name="_db101fad_6df6_4743_8f4e_9070fd438ba8" w:colFirst="5" w:colLast="5" w:id="2093"/>
            <w:bookmarkStart w:name="_7318385d_48a5_42b5_90f4_894a470d7360" w:id="2094"/>
            <w:bookmarkStart w:name="_76d84599_63da_4a45_bc1b_f25221fe724f" w:id="2095"/>
            <w:bookmarkEnd w:id="2085"/>
            <w:bookmarkEnd w:id="2086"/>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3401"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a54023ba_1aa8_47b1_adeb_48da73c38a00" w:id="2096"/>
            <w:bookmarkEnd w:id="2087"/>
            <w:bookmarkEnd w:id="2088"/>
            <w:bookmarkEnd w:id="2089"/>
            <w:bookmarkEnd w:id="2090"/>
            <w:bookmarkEnd w:id="2091"/>
            <w:bookmarkEnd w:id="2092"/>
            <w:bookmarkEnd w:id="2093"/>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222daaf8_22c0_4e95_91ff_2d74a6dfd6c4" w:id="2097"/>
            <w:bookmarkStart w:name="_d172602e_ee43_446f_aeae_f9317579b4f5" w:colFirst="2" w:colLast="2" w:id="2098"/>
            <w:bookmarkStart w:name="_2b047a0c_ef7b_4b9d_8fbd_cc4f7003774d" w:colFirst="4" w:colLast="4" w:id="2099"/>
            <w:bookmarkStart w:name="_05c066ac_1dfb_4663_b4a7_b85c109e2abb" w:colFirst="6" w:colLast="6" w:id="2100"/>
            <w:bookmarkEnd w:id="2096"/>
            <w:r>
              <w:rPr>
                <w:rFonts w:eastAsia="Times New Roman" w:asciiTheme="majorHAnsi" w:hAnsiTheme="majorHAnsi" w:cstheme="majorHAnsi"/>
                <w:b/>
                <w:color w:val="000000"/>
              </w:rPr>
              <w:t>ECL allowance as of January 1,</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(289)</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(284)</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(509)</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beb1ed01_61e0_4a11_b18d_3d2c605c36c3" w:id="2101"/>
            <w:bookmarkEnd w:id="2097"/>
            <w:bookmarkEnd w:id="2098"/>
            <w:bookmarkEnd w:id="2099"/>
            <w:bookmarkEnd w:id="2100"/>
            <w:r>
              <w:rPr>
                <w:rFonts w:eastAsia="Times New Roman" w:asciiTheme="majorHAnsi" w:hAnsiTheme="majorHAnsi" w:cstheme="majorHAnsi"/>
                <w:color w:val="000000"/>
              </w:rPr>
              <w:t>Changes because of financial instruments (originated or acquired)/ derecognized during the reporting period</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(57)</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(262)</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(603)</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89c03fe0_db0b_4949_bb3d_784f36dab734" w:id="2102"/>
            <w:bookmarkEnd w:id="2101"/>
            <w:r>
              <w:rPr>
                <w:rFonts w:eastAsia="Times New Roman" w:asciiTheme="majorHAnsi" w:hAnsiTheme="majorHAnsi" w:cstheme="majorHAnsi"/>
                <w:color w:val="000000"/>
              </w:rPr>
              <w:t>Amounts written off</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62</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37</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96</w:t>
            </w:r>
          </w:p>
        </w:tc>
      </w:tr>
      <w:tr w:rsidR="009534E2">
        <w:trPr>
          <w:jc w:val="center"/>
        </w:trPr>
        <w:tc>
          <w:tcPr>
            <w:tcW w:w="340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bookmarkStart w:name="_a9db3432_cea4_4f49_8402_e321f35c845a" w:id="2103"/>
            <w:bookmarkEnd w:id="2102"/>
            <w:r>
              <w:rPr>
                <w:rFonts w:eastAsia="Times New Roman" w:asciiTheme="majorHAnsi" w:hAnsiTheme="majorHAnsi" w:cstheme="majorHAnsi"/>
                <w:b/>
                <w:color w:val="000000"/>
              </w:rPr>
              <w:t>ECL allowance as of December 31,</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(284)</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double" w:color="000000" w:sz="4" w:space="0"/>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(509)</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double" w:color="000000" w:sz="4" w:space="0"/>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(1,016)</w:t>
            </w:r>
          </w:p>
        </w:tc>
      </w:tr>
      <w:bookmarkEnd w:id="2084"/>
      <w:bookmarkEnd w:id="2094"/>
      <w:bookmarkEnd w:id="2103"/>
    </w:tbl>
    <w:p w:rsidR="009534E2" w:rsidRDefault="009534E2">
      <w:pPr>
        <w:rPr>
          <w:rFonts w:asciiTheme="majorHAnsi" w:hAnsiTheme="majorHAnsi" w:cstheme="majorHAnsi"/>
        </w:rPr>
      </w:pPr>
    </w:p>
    <w:bookmarkEnd w:id="2083"/>
    <w:bookmarkEnd w:id="2095"/>
    <w:p w:rsidR="009534E2" w:rsidRDefault="003369EB">
      <w:pPr>
        <w:pStyle w:val="BodyT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Receivables are non-interest bearing, except for agent receivables bearing, generally, interest rate of </w:t>
      </w:r>
      <w:bookmarkStart w:name="_81235124_ada4_48bb_a0cb_a85c957a5774" w:id="2104"/>
      <w:r>
        <w:rPr>
          <w:rFonts w:eastAsia="Times New Roman" w:asciiTheme="majorHAnsi" w:hAnsiTheme="majorHAnsi" w:cstheme="majorHAnsi"/>
          <w:lang w:eastAsia="ru-RU"/>
        </w:rPr>
        <w:t>20%</w:t>
      </w:r>
      <w:bookmarkEnd w:id="2104"/>
      <w:r>
        <w:rPr>
          <w:rFonts w:eastAsia="Times New Roman" w:asciiTheme="majorHAnsi" w:hAnsiTheme="majorHAnsi" w:cstheme="majorHAnsi"/>
          <w:lang w:eastAsia="ru-RU"/>
        </w:rPr>
        <w:noBreakHyphen/>
      </w:r>
      <w:bookmarkStart w:name="_30e6cc1f_d019_48e9_b517_ae3426d6462f" w:id="2105"/>
      <w:r>
        <w:rPr>
          <w:rFonts w:eastAsia="Times New Roman" w:asciiTheme="majorHAnsi" w:hAnsiTheme="majorHAnsi" w:cstheme="majorHAnsi"/>
          <w:lang w:eastAsia="ru-RU"/>
        </w:rPr>
        <w:t>36%</w:t>
      </w:r>
      <w:bookmarkEnd w:id="2105"/>
      <w:r>
        <w:rPr>
          <w:rFonts w:eastAsia="Times New Roman" w:asciiTheme="majorHAnsi" w:hAnsiTheme="majorHAnsi" w:cstheme="majorHAnsi"/>
          <w:lang w:eastAsia="ru-RU"/>
        </w:rPr>
        <w:t xml:space="preserve"> per annum and credit terms generally do not exceed </w:t>
      </w:r>
      <w:bookmarkStart w:name="_0e5504bb_10ee_4b98_a8c2_0a054bd40eb0" w:id="2106"/>
      <w:r>
        <w:rPr>
          <w:rFonts w:eastAsia="Times New Roman" w:asciiTheme="majorHAnsi" w:hAnsiTheme="majorHAnsi" w:cstheme="majorHAnsi"/>
          <w:lang w:eastAsia="ru-RU"/>
        </w:rPr>
        <w:t>30</w:t>
      </w:r>
      <w:bookmarkEnd w:id="2106"/>
      <w:r>
        <w:rPr>
          <w:rFonts w:eastAsia="Times New Roman" w:asciiTheme="majorHAnsi" w:hAnsiTheme="majorHAnsi" w:cstheme="majorHAnsi"/>
          <w:lang w:eastAsia="ru-RU"/>
        </w:rPr>
        <w:t> days. There is no requirement for collateral for customers to receive an overdraft.</w:t>
      </w: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Heading1"/>
        <w:ind w:left="360" w:hanging="360"/>
        <w:rPr>
          <w:lang w:val="ru-RU" w:eastAsia="ru-RU"/>
        </w:rPr>
      </w:pPr>
      <w:r>
        <w:rPr>
          <w:lang w:eastAsia="ru-RU"/>
        </w:rPr>
        <w:t>14.</w:t>
      </w:r>
      <w:r>
        <w:rPr>
          <w:lang w:eastAsia="ru-RU"/>
        </w:rPr>
        <w:tab/>
      </w:r>
      <w:r>
        <w:rPr>
          <w:lang w:val="ru-RU" w:eastAsia="ru-RU"/>
        </w:rPr>
        <w:t>Cash and cash equivalents</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As of </w:t>
      </w:r>
      <w:r>
        <w:rPr>
          <w:rFonts w:eastAsia="Times New Roman" w:asciiTheme="majorHAnsi" w:hAnsiTheme="majorHAnsi" w:cstheme="majorHAnsi"/>
          <w:bCs/>
          <w:lang w:eastAsia="ru-RU"/>
        </w:rPr>
        <w:t>December 31</w:t>
      </w:r>
      <w:r>
        <w:rPr>
          <w:rFonts w:eastAsia="Times New Roman" w:asciiTheme="majorHAnsi" w:hAnsiTheme="majorHAnsi" w:cstheme="majorHAnsi"/>
          <w:lang w:eastAsia="ru-RU"/>
        </w:rPr>
        <w:t>, 2022 and 2021, cash and cash equivalents consisted of the following:</w:t>
      </w:r>
    </w:p>
    <w:p w:rsidR="009534E2" w:rsidRDefault="009534E2">
      <w:pPr>
        <w:pStyle w:val="BodyText"/>
        <w:keepNext/>
        <w:spacing w:after="0"/>
        <w:rPr>
          <w:rFonts w:eastAsia="Times New Roman" w:asciiTheme="majorHAnsi" w:hAnsiTheme="majorHAnsi" w:cstheme="majorHAnsi"/>
          <w:lang w:eastAsia="ru-RU"/>
        </w:rPr>
      </w:pPr>
      <w:bookmarkStart w:name="_5c58252a_c7e4_4c76_8613_cc611114130e" w:id="2107"/>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8224"/>
        <w:gridCol w:w="261"/>
        <w:gridCol w:w="1028"/>
        <w:gridCol w:w="261"/>
        <w:gridCol w:w="1026"/>
      </w:tblGrid>
      <w:tr w:rsidR="009534E2">
        <w:trPr>
          <w:trHeight w:val="20" w:hRule="exact"/>
          <w:jc w:val="center"/>
        </w:trPr>
        <w:tc>
          <w:tcPr>
            <w:tcW w:w="3807"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a761b361_fa31_4a4d_8c0a_4c57b3ebced3" w:id="2108"/>
            <w:bookmarkStart w:name="_7a0f3e5d_5c50_45e6_a2fa_8feadae4bf17" w:colFirst="0" w:colLast="0" w:id="2109"/>
            <w:bookmarkStart w:name="_a5b07a49_997e_4e03_98f8_32664c6cf90b" w:colFirst="1" w:colLast="1" w:id="2110"/>
            <w:bookmarkStart w:name="_845fc214_e833_494a_b412_9677d5833a48" w:colFirst="2" w:colLast="2" w:id="2111"/>
            <w:bookmarkStart w:name="_f05e16e2_aaa6_40ec_ba12_ffd2ad2e8271" w:colFirst="3" w:colLast="3" w:id="2112"/>
            <w:bookmarkStart w:name="_ed8b198a_1575_4bde_9688_27ee8080eec7" w:colFirst="4" w:colLast="4" w:id="2113"/>
            <w:bookmarkStart w:name="_1f03374d_0b1e_4600_9ddb_2c9ab31f8d95" w:id="2114"/>
            <w:bookmarkEnd w:id="2108"/>
          </w:p>
        </w:tc>
        <w:tc>
          <w:tcPr>
            <w:tcW w:w="12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76"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2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7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3807"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52bf3765_b8dc_446e_8d0a_c2a35cff2ec6" w:id="2115"/>
            <w:bookmarkEnd w:id="2109"/>
            <w:bookmarkEnd w:id="2110"/>
            <w:bookmarkEnd w:id="2111"/>
            <w:bookmarkEnd w:id="2112"/>
            <w:bookmarkEnd w:id="2113"/>
          </w:p>
        </w:tc>
        <w:tc>
          <w:tcPr>
            <w:tcW w:w="121"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76"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c>
          <w:tcPr>
            <w:tcW w:w="121"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75"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r>
      <w:tr w:rsidR="009534E2">
        <w:trPr>
          <w:jc w:val="center"/>
        </w:trPr>
        <w:tc>
          <w:tcPr>
            <w:tcW w:w="3807"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360bfe37_3cba_4127_8374_e3cf967d1e98" w:id="2116"/>
            <w:bookmarkEnd w:id="2115"/>
          </w:p>
        </w:tc>
        <w:tc>
          <w:tcPr>
            <w:tcW w:w="121"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76"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w:t>
            </w:r>
          </w:p>
        </w:tc>
        <w:tc>
          <w:tcPr>
            <w:tcW w:w="121"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475"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w:t>
            </w:r>
          </w:p>
        </w:tc>
      </w:tr>
      <w:tr w:rsidR="009534E2">
        <w:trPr>
          <w:jc w:val="center"/>
        </w:trPr>
        <w:tc>
          <w:tcPr>
            <w:tcW w:w="3807"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5ab4dca4_d4c7_4bfb_a10a_cd3d77e15f93" w:id="2117"/>
            <w:bookmarkEnd w:id="2116"/>
          </w:p>
        </w:tc>
        <w:tc>
          <w:tcPr>
            <w:tcW w:w="121"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76"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21"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7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807"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d7604345_4a49_43df_b368_08fcc74f480f" w:id="2118"/>
            <w:bookmarkEnd w:id="2117"/>
            <w:r>
              <w:rPr>
                <w:rFonts w:eastAsia="Times New Roman" w:asciiTheme="majorHAnsi" w:hAnsiTheme="majorHAnsi" w:cstheme="majorHAnsi"/>
                <w:color w:val="000000"/>
              </w:rPr>
              <w:t>Correspondent accounts with Central Bank of Russia (CBR)</w:t>
            </w:r>
          </w:p>
        </w:tc>
        <w:tc>
          <w:tcPr>
            <w:tcW w:w="12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76"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3,719</w:t>
            </w:r>
          </w:p>
        </w:tc>
        <w:tc>
          <w:tcPr>
            <w:tcW w:w="12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7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3,025</w:t>
            </w:r>
          </w:p>
        </w:tc>
      </w:tr>
      <w:tr w:rsidR="009534E2">
        <w:trPr>
          <w:jc w:val="center"/>
        </w:trPr>
        <w:tc>
          <w:tcPr>
            <w:tcW w:w="3807"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8254a8e2_4bb3_4176_af91_aa5dc2864928" w:id="2119"/>
            <w:bookmarkEnd w:id="2118"/>
            <w:r>
              <w:rPr>
                <w:rFonts w:eastAsia="Times New Roman" w:asciiTheme="majorHAnsi" w:hAnsiTheme="majorHAnsi" w:cstheme="majorHAnsi"/>
                <w:color w:val="000000"/>
              </w:rPr>
              <w:t>Сash with banks and on hand</w:t>
            </w:r>
          </w:p>
        </w:tc>
        <w:tc>
          <w:tcPr>
            <w:tcW w:w="12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76"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5,249</w:t>
            </w:r>
          </w:p>
        </w:tc>
        <w:tc>
          <w:tcPr>
            <w:tcW w:w="12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7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9,833</w:t>
            </w:r>
          </w:p>
        </w:tc>
      </w:tr>
      <w:tr w:rsidR="009534E2">
        <w:trPr>
          <w:jc w:val="center"/>
        </w:trPr>
        <w:tc>
          <w:tcPr>
            <w:tcW w:w="3807"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02d37707_77dc_417b_b76b_69ec2dc250d9" w:id="2120"/>
            <w:bookmarkEnd w:id="2119"/>
            <w:r>
              <w:rPr>
                <w:rFonts w:eastAsia="Times New Roman" w:asciiTheme="majorHAnsi" w:hAnsiTheme="majorHAnsi" w:cstheme="majorHAnsi"/>
                <w:color w:val="000000"/>
              </w:rPr>
              <w:t>Short-term CBR deposits</w:t>
            </w:r>
          </w:p>
        </w:tc>
        <w:tc>
          <w:tcPr>
            <w:tcW w:w="12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76"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14,200</w:t>
            </w:r>
          </w:p>
        </w:tc>
        <w:tc>
          <w:tcPr>
            <w:tcW w:w="12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7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27,100</w:t>
            </w:r>
          </w:p>
        </w:tc>
      </w:tr>
      <w:tr w:rsidR="009534E2">
        <w:trPr>
          <w:jc w:val="center"/>
        </w:trPr>
        <w:tc>
          <w:tcPr>
            <w:tcW w:w="3807"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cc88e666_9407_45c0_abfb_2ecd5911e451" w:id="2121"/>
            <w:bookmarkEnd w:id="2120"/>
            <w:r>
              <w:rPr>
                <w:rFonts w:eastAsia="Times New Roman" w:asciiTheme="majorHAnsi" w:hAnsiTheme="majorHAnsi" w:cstheme="majorHAnsi"/>
                <w:color w:val="000000"/>
              </w:rPr>
              <w:t>Other short-term bank deposits</w:t>
            </w:r>
          </w:p>
        </w:tc>
        <w:tc>
          <w:tcPr>
            <w:tcW w:w="12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76"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9,867</w:t>
            </w:r>
          </w:p>
        </w:tc>
        <w:tc>
          <w:tcPr>
            <w:tcW w:w="12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7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7,507</w:t>
            </w:r>
          </w:p>
        </w:tc>
      </w:tr>
      <w:tr w:rsidR="009534E2">
        <w:trPr>
          <w:jc w:val="center"/>
        </w:trPr>
        <w:tc>
          <w:tcPr>
            <w:tcW w:w="3807"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eb14cded_2944_4c38_b251_db8f87d26550" w:id="2122"/>
            <w:bookmarkEnd w:id="2121"/>
            <w:r>
              <w:rPr>
                <w:rFonts w:eastAsia="Times New Roman" w:asciiTheme="majorHAnsi" w:hAnsiTheme="majorHAnsi" w:cstheme="majorHAnsi"/>
                <w:color w:val="000000"/>
              </w:rPr>
              <w:t>Less: Allowance for ECL</w:t>
            </w:r>
          </w:p>
        </w:tc>
        <w:tc>
          <w:tcPr>
            <w:tcW w:w="12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76"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w:t>
            </w:r>
          </w:p>
        </w:tc>
        <w:tc>
          <w:tcPr>
            <w:tcW w:w="121"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7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(3)</w:t>
            </w:r>
          </w:p>
        </w:tc>
      </w:tr>
      <w:tr w:rsidR="009534E2">
        <w:trPr>
          <w:jc w:val="center"/>
        </w:trPr>
        <w:tc>
          <w:tcPr>
            <w:tcW w:w="3807" w:type="pct"/>
            <w:tcBorders>
              <w:top w:val="nil"/>
              <w:left w:val="nil"/>
              <w:bottom w:val="nil"/>
              <w:right w:val="nil"/>
              <w:tl2br w:val="nil"/>
              <w:tr2bl w:val="nil"/>
            </w:tcBorders>
            <w:vAlign w:val="bottom"/>
          </w:tcPr>
          <w:p w:rsidR="009534E2" w:rsidRDefault="003369EB">
            <w:pPr>
              <w:keepNext/>
              <w:rPr>
                <w:rFonts w:asciiTheme="majorHAnsi" w:hAnsiTheme="majorHAnsi" w:cstheme="majorHAnsi"/>
                <w:b/>
                <w:color w:val="000000"/>
              </w:rPr>
            </w:pPr>
            <w:bookmarkStart w:name="_c26de46a_198f_46eb_89dc_d1ee159b1a49" w:id="2123"/>
            <w:bookmarkEnd w:id="2122"/>
            <w:r>
              <w:rPr>
                <w:rFonts w:eastAsia="Times New Roman" w:asciiTheme="majorHAnsi" w:hAnsiTheme="majorHAnsi" w:cstheme="majorHAnsi"/>
                <w:b/>
                <w:color w:val="000000"/>
              </w:rPr>
              <w:t>Total cash and cash equivalents</w:t>
            </w:r>
          </w:p>
        </w:tc>
        <w:tc>
          <w:tcPr>
            <w:tcW w:w="12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76" w:type="pct"/>
            <w:tcBorders>
              <w:top w:val="nil"/>
              <w:left w:val="nil"/>
              <w:bottom w:val="doub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33,033</w:t>
            </w:r>
          </w:p>
        </w:tc>
        <w:tc>
          <w:tcPr>
            <w:tcW w:w="12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75" w:type="pct"/>
            <w:tcBorders>
              <w:top w:val="nil"/>
              <w:left w:val="nil"/>
              <w:bottom w:val="doub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47,462</w:t>
            </w:r>
          </w:p>
        </w:tc>
      </w:tr>
      <w:bookmarkEnd w:id="2107"/>
      <w:bookmarkEnd w:id="2114"/>
      <w:bookmarkEnd w:id="2123"/>
    </w:tbl>
    <w:p w:rsidR="009534E2" w:rsidRDefault="009534E2">
      <w:pPr>
        <w:rPr>
          <w:rFonts w:asciiTheme="majorHAnsi" w:hAnsiTheme="majorHAnsi" w:cstheme="majorHAnsi"/>
        </w:rPr>
      </w:pPr>
    </w:p>
    <w:p w:rsidR="009534E2" w:rsidRDefault="003369EB">
      <w:pPr>
        <w:pStyle w:val="BodyText"/>
        <w:keepNext/>
        <w:spacing w:after="240"/>
        <w:rPr>
          <w:rFonts w:eastAsia="Times New Roman" w:asciiTheme="majorHAnsi" w:hAnsiTheme="majorHAnsi" w:cstheme="majorHAnsi"/>
          <w:lang w:eastAsia="ru-RU"/>
        </w:rPr>
      </w:pPr>
      <w:r>
        <w:rPr>
          <w:rFonts w:eastAsia="Times New Roman" w:asciiTheme="majorHAnsi" w:hAnsiTheme="majorHAnsi" w:cstheme="majorHAnsi"/>
          <w:lang w:eastAsia="ru-RU"/>
        </w:rPr>
        <w:t>The Group has no internal grading system of cash and cash equivalents for credit risk rating grades analysis. During the year 2022 International rating agencies withdrew all ratings from Russian banks and financial organisations. Credit quality of cash and cash equivalents based on scale of Russian rating agencies are summarised as follows:</w:t>
      </w:r>
    </w:p>
    <w:p w:rsidR="009534E2" w:rsidRDefault="009534E2">
      <w:pPr>
        <w:pStyle w:val="BodyText"/>
        <w:keepNext/>
        <w:spacing w:after="0"/>
        <w:rPr>
          <w:rFonts w:eastAsia="Times New Roman" w:asciiTheme="majorHAnsi" w:hAnsiTheme="majorHAnsi" w:cstheme="majorHAnsi"/>
          <w:lang w:eastAsia="ru-RU"/>
        </w:rPr>
      </w:pPr>
    </w:p>
    <w:tbl>
      <w:tblPr>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356"/>
        <w:gridCol w:w="200"/>
        <w:gridCol w:w="942"/>
        <w:gridCol w:w="200"/>
        <w:gridCol w:w="942"/>
      </w:tblGrid>
      <w:tr w:rsidR="009534E2">
        <w:trPr>
          <w:trHeight w:val="20" w:hRule="exact"/>
          <w:jc w:val="center"/>
        </w:trPr>
        <w:tc>
          <w:tcPr>
            <w:tcW w:w="3678"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01e09ba3_1c7e_439f_a505_999adf1a4f6e" w:colFirst="0" w:colLast="0" w:id="2124"/>
            <w:bookmarkStart w:name="_8c659e23_b5b9_4456_89b6_24b5664ba606" w:colFirst="1" w:colLast="1" w:id="2125"/>
            <w:bookmarkStart w:name="_ebc68eee_8640_4645_b35a_f983d2c02e88" w:colFirst="2" w:colLast="2" w:id="2126"/>
            <w:bookmarkStart w:name="_c4d17783_a534_49f9_b9d9_4b4542a49d19" w:colFirst="3" w:colLast="3" w:id="2127"/>
            <w:bookmarkStart w:name="_f46deebd_dfad_448b_aeb3_4e6d5aefde77" w:colFirst="4" w:colLast="4" w:id="2128"/>
            <w:bookmarkStart w:name="_919db506_d0fa_4d1d_a3db_f078d9eda658" w:id="2129"/>
          </w:p>
        </w:tc>
        <w:tc>
          <w:tcPr>
            <w:tcW w:w="11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45"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11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45"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9534E2">
        <w:trPr>
          <w:jc w:val="center"/>
        </w:trPr>
        <w:tc>
          <w:tcPr>
            <w:tcW w:w="3678"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4957a494_e085_44ae_bdef_a1354771a06d" w:id="2130"/>
            <w:bookmarkEnd w:id="2124"/>
            <w:bookmarkEnd w:id="2125"/>
            <w:bookmarkEnd w:id="2126"/>
            <w:bookmarkEnd w:id="2127"/>
            <w:bookmarkEnd w:id="2128"/>
          </w:p>
        </w:tc>
        <w:tc>
          <w:tcPr>
            <w:tcW w:w="11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 </w:t>
            </w:r>
          </w:p>
        </w:tc>
        <w:tc>
          <w:tcPr>
            <w:tcW w:w="11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 </w:t>
            </w:r>
          </w:p>
        </w:tc>
      </w:tr>
      <w:tr w:rsidR="009534E2">
        <w:trPr>
          <w:jc w:val="center"/>
        </w:trPr>
        <w:tc>
          <w:tcPr>
            <w:tcW w:w="3678"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e05e5f61_3eb3_41fc_8af9_73e4607b250f" w:id="2131"/>
            <w:bookmarkEnd w:id="2130"/>
          </w:p>
        </w:tc>
        <w:tc>
          <w:tcPr>
            <w:tcW w:w="11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4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w:t>
            </w:r>
          </w:p>
        </w:tc>
        <w:tc>
          <w:tcPr>
            <w:tcW w:w="11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4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w:t>
            </w:r>
          </w:p>
        </w:tc>
      </w:tr>
      <w:tr w:rsidR="009534E2">
        <w:trPr>
          <w:jc w:val="center"/>
        </w:trPr>
        <w:tc>
          <w:tcPr>
            <w:tcW w:w="3678"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a5550b08_bfb7_4a67_839d_4a0c27f8c6df" w:id="2132"/>
            <w:bookmarkEnd w:id="2131"/>
          </w:p>
        </w:tc>
        <w:tc>
          <w:tcPr>
            <w:tcW w:w="116"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2021</w:t>
            </w:r>
          </w:p>
        </w:tc>
        <w:tc>
          <w:tcPr>
            <w:tcW w:w="116"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2022</w:t>
            </w:r>
          </w:p>
        </w:tc>
      </w:tr>
      <w:tr w:rsidR="009534E2">
        <w:trPr>
          <w:jc w:val="center"/>
        </w:trPr>
        <w:tc>
          <w:tcPr>
            <w:tcW w:w="3678"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f71e4e96_3290_4b73_97e3_0bebb0771e38" w:id="2133"/>
            <w:bookmarkEnd w:id="2132"/>
          </w:p>
        </w:tc>
        <w:tc>
          <w:tcPr>
            <w:tcW w:w="116"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color w:val="000000"/>
                <w:sz w:val="16"/>
              </w:rPr>
            </w:pPr>
            <w:r>
              <w:rPr>
                <w:rFonts w:eastAsia="Times New Roman" w:asciiTheme="majorHAnsi" w:hAnsiTheme="majorHAnsi" w:cstheme="majorHAnsi"/>
                <w:color w:val="000000"/>
                <w:sz w:val="16"/>
              </w:rPr>
              <w:t>Stage 1</w:t>
            </w:r>
          </w:p>
        </w:tc>
        <w:tc>
          <w:tcPr>
            <w:tcW w:w="116"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color w:val="000000"/>
                <w:sz w:val="16"/>
              </w:rPr>
            </w:pPr>
            <w:r>
              <w:rPr>
                <w:rFonts w:eastAsia="Times New Roman" w:asciiTheme="majorHAnsi" w:hAnsiTheme="majorHAnsi" w:cstheme="majorHAnsi"/>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color w:val="000000"/>
                <w:sz w:val="16"/>
              </w:rPr>
            </w:pPr>
            <w:r>
              <w:rPr>
                <w:rFonts w:eastAsia="Times New Roman" w:asciiTheme="majorHAnsi" w:hAnsiTheme="majorHAnsi" w:cstheme="majorHAnsi"/>
                <w:color w:val="000000"/>
                <w:sz w:val="16"/>
              </w:rPr>
              <w:t>Stage 1</w:t>
            </w:r>
          </w:p>
        </w:tc>
      </w:tr>
      <w:tr w:rsidR="009534E2">
        <w:trPr>
          <w:jc w:val="center"/>
        </w:trPr>
        <w:tc>
          <w:tcPr>
            <w:tcW w:w="3678"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10564deb_6655_47c2_8784_c19724085615" w:id="2134"/>
            <w:bookmarkEnd w:id="2133"/>
            <w:r>
              <w:rPr>
                <w:rFonts w:eastAsia="Times New Roman" w:asciiTheme="majorHAnsi" w:hAnsiTheme="majorHAnsi" w:cstheme="majorHAnsi"/>
                <w:color w:val="000000"/>
              </w:rPr>
              <w:t>Cash on hand</w:t>
            </w:r>
          </w:p>
        </w:tc>
        <w:tc>
          <w:tcPr>
            <w:tcW w:w="116"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58</w:t>
            </w:r>
          </w:p>
        </w:tc>
        <w:tc>
          <w:tcPr>
            <w:tcW w:w="116"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48</w:t>
            </w:r>
          </w:p>
        </w:tc>
      </w:tr>
      <w:tr w:rsidR="009534E2">
        <w:trPr>
          <w:jc w:val="center"/>
        </w:trPr>
        <w:tc>
          <w:tcPr>
            <w:tcW w:w="3678" w:type="pct"/>
            <w:tcBorders>
              <w:top w:val="nil"/>
              <w:left w:val="nil"/>
              <w:bottom w:val="nil"/>
              <w:right w:val="nil"/>
              <w:tl2br w:val="nil"/>
              <w:tr2bl w:val="nil"/>
            </w:tcBorders>
            <w:vAlign w:val="bottom"/>
          </w:tcPr>
          <w:p w:rsidR="009534E2" w:rsidRDefault="003369EB">
            <w:pPr>
              <w:keepNext/>
              <w:spacing w:after="1"/>
              <w:ind w:left="120"/>
              <w:rPr>
                <w:rFonts w:asciiTheme="majorHAnsi" w:hAnsiTheme="majorHAnsi" w:cstheme="majorHAnsi"/>
                <w:color w:val="000000"/>
              </w:rPr>
            </w:pPr>
            <w:bookmarkStart w:name="_35bfb80e_71e4_4859_ac9b_f28711f41661" w:id="2135"/>
            <w:bookmarkEnd w:id="2134"/>
            <w:r>
              <w:rPr>
                <w:rFonts w:eastAsia="Times New Roman" w:asciiTheme="majorHAnsi" w:hAnsiTheme="majorHAnsi" w:cstheme="majorHAnsi"/>
                <w:color w:val="000000"/>
              </w:rPr>
              <w:t>Cash with CBR</w:t>
            </w:r>
          </w:p>
        </w:tc>
        <w:tc>
          <w:tcPr>
            <w:tcW w:w="116"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17,919</w:t>
            </w:r>
          </w:p>
        </w:tc>
        <w:tc>
          <w:tcPr>
            <w:tcW w:w="116"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30,136</w:t>
            </w:r>
          </w:p>
        </w:tc>
      </w:tr>
      <w:tr w:rsidR="009534E2">
        <w:trPr>
          <w:jc w:val="center"/>
        </w:trPr>
        <w:tc>
          <w:tcPr>
            <w:tcW w:w="3678"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3ccfd310_9f2f_4a2c_9b8c_aace814c39ce" w:id="2136"/>
            <w:bookmarkEnd w:id="2135"/>
            <w:r>
              <w:rPr>
                <w:rFonts w:eastAsia="Times New Roman" w:asciiTheme="majorHAnsi" w:hAnsiTheme="majorHAnsi" w:cstheme="majorHAnsi"/>
                <w:color w:val="000000"/>
              </w:rPr>
              <w:t>Cash with banks graded ruA- and above</w:t>
            </w:r>
          </w:p>
        </w:tc>
        <w:tc>
          <w:tcPr>
            <w:tcW w:w="116"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12,985</w:t>
            </w:r>
          </w:p>
        </w:tc>
        <w:tc>
          <w:tcPr>
            <w:tcW w:w="116"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9,461</w:t>
            </w:r>
          </w:p>
        </w:tc>
      </w:tr>
      <w:tr w:rsidR="009534E2">
        <w:trPr>
          <w:jc w:val="center"/>
        </w:trPr>
        <w:tc>
          <w:tcPr>
            <w:tcW w:w="3678" w:type="pct"/>
            <w:tcBorders>
              <w:top w:val="nil"/>
              <w:left w:val="nil"/>
              <w:bottom w:val="nil"/>
              <w:right w:val="nil"/>
              <w:tl2br w:val="nil"/>
              <w:tr2bl w:val="nil"/>
            </w:tcBorders>
            <w:vAlign w:val="bottom"/>
          </w:tcPr>
          <w:p w:rsidR="009534E2" w:rsidRDefault="003369EB">
            <w:pPr>
              <w:keepNext/>
              <w:spacing w:after="1"/>
              <w:ind w:left="120"/>
              <w:rPr>
                <w:rFonts w:asciiTheme="majorHAnsi" w:hAnsiTheme="majorHAnsi" w:cstheme="majorHAnsi"/>
                <w:color w:val="000000"/>
              </w:rPr>
            </w:pPr>
            <w:bookmarkStart w:name="_fb63ac60_1ad1_4d06_b7d4_3e5f40bd7e6d" w:id="2137"/>
            <w:bookmarkEnd w:id="2136"/>
            <w:r>
              <w:rPr>
                <w:rFonts w:eastAsia="Times New Roman" w:asciiTheme="majorHAnsi" w:hAnsiTheme="majorHAnsi" w:cstheme="majorHAnsi"/>
                <w:color w:val="000000"/>
              </w:rPr>
              <w:t>Cash with banks graded ruB- and above</w:t>
            </w:r>
          </w:p>
        </w:tc>
        <w:tc>
          <w:tcPr>
            <w:tcW w:w="116"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1,736</w:t>
            </w:r>
          </w:p>
        </w:tc>
        <w:tc>
          <w:tcPr>
            <w:tcW w:w="116"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5,913</w:t>
            </w:r>
          </w:p>
        </w:tc>
      </w:tr>
      <w:tr w:rsidR="009534E2">
        <w:trPr>
          <w:jc w:val="center"/>
        </w:trPr>
        <w:tc>
          <w:tcPr>
            <w:tcW w:w="3678"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3f98d995_a29e_4482_ad2d_d1fe70374d5a" w:id="2138"/>
            <w:bookmarkEnd w:id="2137"/>
            <w:r>
              <w:rPr>
                <w:rFonts w:eastAsia="Times New Roman" w:asciiTheme="majorHAnsi" w:hAnsiTheme="majorHAnsi" w:cstheme="majorHAnsi"/>
                <w:color w:val="000000"/>
              </w:rPr>
              <w:t>Cash with banks having no rating</w:t>
            </w:r>
          </w:p>
        </w:tc>
        <w:tc>
          <w:tcPr>
            <w:tcW w:w="116"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337</w:t>
            </w:r>
          </w:p>
        </w:tc>
        <w:tc>
          <w:tcPr>
            <w:tcW w:w="116"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1,907</w:t>
            </w:r>
          </w:p>
        </w:tc>
      </w:tr>
      <w:tr w:rsidR="009534E2">
        <w:trPr>
          <w:jc w:val="center"/>
        </w:trPr>
        <w:tc>
          <w:tcPr>
            <w:tcW w:w="3678"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b/>
                <w:color w:val="000000"/>
              </w:rPr>
            </w:pPr>
            <w:bookmarkStart w:name="_9d3cc4e6_7e94_41e6_8ed0_25c8b4b734a0" w:id="2139"/>
            <w:bookmarkEnd w:id="2138"/>
            <w:r>
              <w:rPr>
                <w:rFonts w:eastAsia="Times New Roman" w:asciiTheme="majorHAnsi" w:hAnsiTheme="majorHAnsi" w:cstheme="majorHAnsi"/>
                <w:b/>
                <w:color w:val="000000"/>
              </w:rPr>
              <w:t>Total</w:t>
            </w:r>
          </w:p>
        </w:tc>
        <w:tc>
          <w:tcPr>
            <w:tcW w:w="116"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545"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33,035</w:t>
            </w:r>
          </w:p>
        </w:tc>
        <w:tc>
          <w:tcPr>
            <w:tcW w:w="116"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545"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47,465</w:t>
            </w:r>
          </w:p>
        </w:tc>
      </w:tr>
      <w:bookmarkEnd w:id="2129"/>
      <w:bookmarkEnd w:id="2139"/>
    </w:tbl>
    <w:p w:rsidR="009534E2" w:rsidRDefault="009534E2">
      <w:pPr>
        <w:pStyle w:val="BodyText"/>
        <w:spacing w:after="0"/>
        <w:rPr>
          <w:rFonts w:eastAsia="Times New Roman" w:asciiTheme="majorHAnsi" w:hAnsiTheme="majorHAnsi" w:cstheme="majorHAnsi"/>
          <w:lang w:eastAsia="ru-RU"/>
        </w:rPr>
      </w:pPr>
    </w:p>
    <w:p w:rsidR="009534E2" w:rsidRDefault="003369EB">
      <w:pPr>
        <w:pStyle w:val="BodyText"/>
        <w:spacing w:after="240"/>
        <w:rPr>
          <w:rFonts w:eastAsia="Times New Roman" w:asciiTheme="majorHAnsi" w:hAnsiTheme="majorHAnsi" w:cstheme="majorHAnsi"/>
          <w:lang w:eastAsia="ru-RU"/>
        </w:rPr>
      </w:pPr>
      <w:r>
        <w:rPr>
          <w:rFonts w:eastAsia="Times New Roman" w:asciiTheme="majorHAnsi" w:hAnsiTheme="majorHAnsi" w:cstheme="majorHAnsi"/>
          <w:lang w:eastAsia="ru-RU"/>
        </w:rPr>
        <w:t>Cash with banks having no rating is represented by cash held with banks in such jurisdictions as Cyprus, China, Turkey and CIS.</w:t>
      </w:r>
    </w:p>
    <w:p w:rsidR="009534E2" w:rsidRDefault="003369EB">
      <w:pPr>
        <w:pStyle w:val="BodyText"/>
        <w:spacing w:after="240"/>
        <w:rPr>
          <w:rFonts w:eastAsia="Times New Roman" w:asciiTheme="majorHAnsi" w:hAnsiTheme="majorHAnsi" w:cstheme="majorHAnsi"/>
          <w:lang w:eastAsia="ru-RU"/>
        </w:rPr>
      </w:pPr>
      <w:r>
        <w:rPr>
          <w:rFonts w:eastAsia="Times New Roman" w:asciiTheme="majorHAnsi" w:hAnsiTheme="majorHAnsi" w:cstheme="majorHAnsi"/>
          <w:lang w:eastAsia="ru-RU"/>
        </w:rPr>
        <w:t>The amounts in the table show the maximum exposure to credit risk regarding cash and cash equivalents. The banks where cash is held were approved by the Board of Directors of the Group.</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The Group holds cash and cash equivalents in different currencies and therefore is exposed to foreign currency risk. For more details regarding foreign currency sensitivity and risk management refer to Note 30.</w:t>
      </w:r>
    </w:p>
    <w:p w:rsidR="009534E2" w:rsidRDefault="009534E2">
      <w:pPr>
        <w:pStyle w:val="BodyText"/>
        <w:keepNext/>
        <w:spacing w:after="0"/>
        <w:jc w:val="center"/>
        <w:rPr>
          <w:rFonts w:eastAsia="Times New Roman" w:asciiTheme="majorHAnsi" w:hAnsiTheme="majorHAnsi" w:cstheme="majorHAnsi"/>
          <w:lang w:eastAsia="ru-RU"/>
        </w:rPr>
      </w:pPr>
    </w:p>
    <w:tbl>
      <w:tblPr>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228"/>
        <w:gridCol w:w="216"/>
        <w:gridCol w:w="1490"/>
        <w:gridCol w:w="216"/>
        <w:gridCol w:w="1490"/>
      </w:tblGrid>
      <w:tr w:rsidR="009534E2">
        <w:trPr>
          <w:trHeight w:val="20" w:hRule="exact"/>
          <w:jc w:val="center"/>
        </w:trPr>
        <w:tc>
          <w:tcPr>
            <w:tcW w:w="3025"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3a1149ce_54ee_4e5a_a6d2_780de7e3f637" w:colFirst="0" w:colLast="0" w:id="2140"/>
            <w:bookmarkStart w:name="_322a4a51_9ff4_4761_82ac_1f4b15990362" w:colFirst="1" w:colLast="1" w:id="2141"/>
            <w:bookmarkStart w:name="_3e8baa3b_130f_49dc_8ba0_8b24ffd21bdf" w:colFirst="2" w:colLast="2" w:id="2142"/>
            <w:bookmarkStart w:name="_40bd83ab_854e_490e_a100_331127b52416" w:colFirst="3" w:colLast="3" w:id="2143"/>
            <w:bookmarkStart w:name="_442f24b4_bd21_410b_b9ef_ed3d389b967e" w:colFirst="4" w:colLast="4" w:id="2144"/>
            <w:bookmarkStart w:name="_be3487d7_2c22_40cb_bbeb_d53507514efd" w:id="2145"/>
          </w:p>
        </w:tc>
        <w:tc>
          <w:tcPr>
            <w:tcW w:w="125"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862"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125"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862"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9534E2">
        <w:trPr>
          <w:jc w:val="center"/>
        </w:trPr>
        <w:tc>
          <w:tcPr>
            <w:tcW w:w="3025"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7883f857_351b_466d_92a8_8604c18aa5ca" w:id="2146"/>
            <w:bookmarkEnd w:id="2140"/>
            <w:bookmarkEnd w:id="2141"/>
            <w:bookmarkEnd w:id="2142"/>
            <w:bookmarkEnd w:id="2143"/>
            <w:bookmarkEnd w:id="2144"/>
          </w:p>
        </w:tc>
        <w:tc>
          <w:tcPr>
            <w:tcW w:w="125"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color w:val="000000"/>
                <w:sz w:val="16"/>
              </w:rPr>
            </w:pPr>
          </w:p>
        </w:tc>
        <w:tc>
          <w:tcPr>
            <w:tcW w:w="862"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c>
          <w:tcPr>
            <w:tcW w:w="125"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color w:val="000000"/>
                <w:sz w:val="16"/>
              </w:rPr>
            </w:pPr>
          </w:p>
        </w:tc>
        <w:tc>
          <w:tcPr>
            <w:tcW w:w="862"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r>
      <w:tr w:rsidR="009534E2">
        <w:trPr>
          <w:jc w:val="center"/>
        </w:trPr>
        <w:tc>
          <w:tcPr>
            <w:tcW w:w="3025"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633702b5_5518_40e7_a5b3_051efa7ce61c" w:id="2147"/>
            <w:bookmarkEnd w:id="2146"/>
          </w:p>
        </w:tc>
        <w:tc>
          <w:tcPr>
            <w:tcW w:w="125"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color w:val="000000"/>
                <w:sz w:val="16"/>
              </w:rPr>
            </w:pPr>
          </w:p>
        </w:tc>
        <w:tc>
          <w:tcPr>
            <w:tcW w:w="862"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w:t>
            </w:r>
          </w:p>
        </w:tc>
        <w:tc>
          <w:tcPr>
            <w:tcW w:w="125"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color w:val="000000"/>
                <w:sz w:val="16"/>
              </w:rPr>
            </w:pPr>
          </w:p>
        </w:tc>
        <w:tc>
          <w:tcPr>
            <w:tcW w:w="862"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w:t>
            </w:r>
          </w:p>
        </w:tc>
      </w:tr>
      <w:tr w:rsidR="009534E2">
        <w:trPr>
          <w:jc w:val="center"/>
        </w:trPr>
        <w:tc>
          <w:tcPr>
            <w:tcW w:w="3025"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1201d2f6_45c7_47c4_8759_94ad709a5038" w:id="2148"/>
            <w:bookmarkEnd w:id="2147"/>
          </w:p>
        </w:tc>
        <w:tc>
          <w:tcPr>
            <w:tcW w:w="125"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862"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25"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862"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025"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7aa514e7_4cba_4d91_99c4_d9a3f0d55424" w:id="2149"/>
            <w:bookmarkEnd w:id="2148"/>
            <w:r>
              <w:rPr>
                <w:rFonts w:eastAsia="Times New Roman" w:asciiTheme="majorHAnsi" w:hAnsiTheme="majorHAnsi" w:cstheme="majorHAnsi"/>
                <w:color w:val="000000"/>
              </w:rPr>
              <w:t>Russian ruble</w:t>
            </w:r>
          </w:p>
        </w:tc>
        <w:tc>
          <w:tcPr>
            <w:tcW w:w="125"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862"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28,908</w:t>
            </w:r>
          </w:p>
        </w:tc>
        <w:tc>
          <w:tcPr>
            <w:tcW w:w="125"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862"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39,980</w:t>
            </w:r>
          </w:p>
        </w:tc>
      </w:tr>
      <w:tr w:rsidR="009534E2">
        <w:trPr>
          <w:jc w:val="center"/>
        </w:trPr>
        <w:tc>
          <w:tcPr>
            <w:tcW w:w="3025" w:type="pct"/>
            <w:tcBorders>
              <w:top w:val="nil"/>
              <w:left w:val="nil"/>
              <w:bottom w:val="nil"/>
              <w:right w:val="nil"/>
              <w:tl2br w:val="nil"/>
              <w:tr2bl w:val="nil"/>
            </w:tcBorders>
            <w:vAlign w:val="bottom"/>
          </w:tcPr>
          <w:p w:rsidR="009534E2" w:rsidRDefault="003369EB">
            <w:pPr>
              <w:keepNext/>
              <w:spacing w:after="1"/>
              <w:ind w:left="120"/>
              <w:rPr>
                <w:rFonts w:asciiTheme="majorHAnsi" w:hAnsiTheme="majorHAnsi" w:cstheme="majorHAnsi"/>
                <w:color w:val="000000"/>
              </w:rPr>
            </w:pPr>
            <w:bookmarkStart w:name="_c011d7d4_3100_4727_aee5_92e5ea7cf968" w:id="2150"/>
            <w:bookmarkEnd w:id="2149"/>
            <w:r>
              <w:rPr>
                <w:rFonts w:eastAsia="Times New Roman" w:asciiTheme="majorHAnsi" w:hAnsiTheme="majorHAnsi" w:cstheme="majorHAnsi"/>
                <w:color w:val="000000"/>
              </w:rPr>
              <w:t>Euro</w:t>
            </w:r>
          </w:p>
        </w:tc>
        <w:tc>
          <w:tcPr>
            <w:tcW w:w="125"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862"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1,310</w:t>
            </w:r>
          </w:p>
        </w:tc>
        <w:tc>
          <w:tcPr>
            <w:tcW w:w="125"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862"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735</w:t>
            </w:r>
          </w:p>
        </w:tc>
      </w:tr>
      <w:tr w:rsidR="009534E2">
        <w:trPr>
          <w:jc w:val="center"/>
        </w:trPr>
        <w:tc>
          <w:tcPr>
            <w:tcW w:w="3025"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807f4432_25dd_47ab_a69e_fdb3b9b818fd" w:id="2151"/>
            <w:bookmarkEnd w:id="2150"/>
            <w:r>
              <w:rPr>
                <w:rFonts w:eastAsia="Times New Roman" w:asciiTheme="majorHAnsi" w:hAnsiTheme="majorHAnsi" w:cstheme="majorHAnsi"/>
                <w:color w:val="000000"/>
              </w:rPr>
              <w:t>US Dollar</w:t>
            </w:r>
          </w:p>
        </w:tc>
        <w:tc>
          <w:tcPr>
            <w:tcW w:w="125"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862"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1,786</w:t>
            </w:r>
          </w:p>
        </w:tc>
        <w:tc>
          <w:tcPr>
            <w:tcW w:w="125"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862"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2,230</w:t>
            </w:r>
          </w:p>
        </w:tc>
      </w:tr>
      <w:tr w:rsidR="009534E2">
        <w:trPr>
          <w:jc w:val="center"/>
        </w:trPr>
        <w:tc>
          <w:tcPr>
            <w:tcW w:w="3025" w:type="pct"/>
            <w:tcBorders>
              <w:top w:val="nil"/>
              <w:left w:val="nil"/>
              <w:bottom w:val="nil"/>
              <w:right w:val="nil"/>
              <w:tl2br w:val="nil"/>
              <w:tr2bl w:val="nil"/>
            </w:tcBorders>
            <w:vAlign w:val="bottom"/>
          </w:tcPr>
          <w:p w:rsidR="009534E2" w:rsidRDefault="003369EB">
            <w:pPr>
              <w:keepNext/>
              <w:spacing w:after="1"/>
              <w:ind w:left="120"/>
              <w:rPr>
                <w:rFonts w:asciiTheme="majorHAnsi" w:hAnsiTheme="majorHAnsi" w:cstheme="majorHAnsi"/>
                <w:color w:val="000000"/>
              </w:rPr>
            </w:pPr>
            <w:bookmarkStart w:name="_0a6a8812_5dec_4170_bfe4_ba2194d1c84e" w:id="2152"/>
            <w:bookmarkEnd w:id="2151"/>
            <w:r>
              <w:rPr>
                <w:rFonts w:eastAsia="Times New Roman" w:asciiTheme="majorHAnsi" w:hAnsiTheme="majorHAnsi" w:cstheme="majorHAnsi"/>
                <w:color w:val="000000"/>
              </w:rPr>
              <w:t>Chinese Yuan</w:t>
            </w:r>
          </w:p>
        </w:tc>
        <w:tc>
          <w:tcPr>
            <w:tcW w:w="125"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862"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w:t>
            </w:r>
          </w:p>
        </w:tc>
        <w:tc>
          <w:tcPr>
            <w:tcW w:w="125"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862"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2,160</w:t>
            </w:r>
          </w:p>
        </w:tc>
      </w:tr>
      <w:tr w:rsidR="009534E2">
        <w:trPr>
          <w:jc w:val="center"/>
        </w:trPr>
        <w:tc>
          <w:tcPr>
            <w:tcW w:w="3025"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2ed37d9c_8d45_46d0_8e3d_5ec045477e28" w:id="2153"/>
            <w:bookmarkEnd w:id="2152"/>
            <w:r>
              <w:rPr>
                <w:rFonts w:eastAsia="Times New Roman" w:asciiTheme="majorHAnsi" w:hAnsiTheme="majorHAnsi" w:cstheme="majorHAnsi"/>
                <w:color w:val="000000"/>
              </w:rPr>
              <w:t>Others</w:t>
            </w:r>
          </w:p>
        </w:tc>
        <w:tc>
          <w:tcPr>
            <w:tcW w:w="125"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86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1,028</w:t>
            </w:r>
          </w:p>
        </w:tc>
        <w:tc>
          <w:tcPr>
            <w:tcW w:w="125"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862"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2,357</w:t>
            </w:r>
          </w:p>
        </w:tc>
      </w:tr>
      <w:tr w:rsidR="009534E2">
        <w:trPr>
          <w:jc w:val="center"/>
        </w:trPr>
        <w:tc>
          <w:tcPr>
            <w:tcW w:w="3025"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b/>
                <w:color w:val="000000"/>
              </w:rPr>
            </w:pPr>
            <w:bookmarkStart w:name="_1b1fa83a_eeed_4c7f_b617_06fd308faa14" w:id="2154"/>
            <w:bookmarkEnd w:id="2153"/>
            <w:r>
              <w:rPr>
                <w:rFonts w:eastAsia="Times New Roman" w:asciiTheme="majorHAnsi" w:hAnsiTheme="majorHAnsi" w:cstheme="majorHAnsi"/>
                <w:b/>
                <w:color w:val="000000"/>
              </w:rPr>
              <w:t>Total</w:t>
            </w:r>
          </w:p>
        </w:tc>
        <w:tc>
          <w:tcPr>
            <w:tcW w:w="125"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862"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33,033</w:t>
            </w:r>
          </w:p>
        </w:tc>
        <w:tc>
          <w:tcPr>
            <w:tcW w:w="125"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862"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47,462</w:t>
            </w:r>
          </w:p>
        </w:tc>
      </w:tr>
    </w:tbl>
    <w:p w:rsidR="009534E2" w:rsidRDefault="00EC0AE1">
      <w:pPr>
        <w:pStyle w:val="BodyText"/>
        <w:spacing w:after="0"/>
        <w:rPr>
          <w:rFonts w:eastAsia="Times New Roman" w:asciiTheme="majorHAnsi" w:hAnsiTheme="majorHAnsi" w:cstheme="majorHAnsi"/>
          <w:sz w:val="2"/>
          <w:lang w:eastAsia="ru-RU"/>
        </w:rPr>
      </w:pPr>
    </w:p>
    <w:bookmarkEnd w:displacedByCustomXml="next" w:id="2154"/>
    <w:bookmarkEnd w:displacedByCustomXml="next" w:id="2145"/>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ind w:left="360" w:hanging="360"/>
        <w:rPr>
          <w:rFonts w:eastAsia="Times New Roman" w:asciiTheme="majorHAnsi" w:hAnsiTheme="majorHAnsi" w:cstheme="majorHAnsi"/>
          <w:b/>
          <w:bCs/>
          <w:lang w:eastAsia="ru-RU"/>
        </w:rPr>
      </w:pPr>
      <w:r>
        <w:rPr>
          <w:rFonts w:eastAsia="Times New Roman" w:asciiTheme="majorHAnsi" w:hAnsiTheme="majorHAnsi" w:cstheme="majorHAnsi"/>
          <w:b/>
          <w:bCs/>
          <w:lang w:eastAsia="ru-RU"/>
        </w:rPr>
        <w:t>15.</w:t>
      </w:r>
      <w:r>
        <w:rPr>
          <w:rFonts w:eastAsia="Times New Roman" w:asciiTheme="majorHAnsi" w:hAnsiTheme="majorHAnsi" w:cstheme="majorHAnsi"/>
          <w:b/>
          <w:bCs/>
          <w:lang w:eastAsia="ru-RU"/>
        </w:rPr>
        <w:tab/>
        <w:t>Debt securities</w:t>
      </w:r>
    </w:p>
    <w:p w:rsidR="009534E2" w:rsidRDefault="009534E2">
      <w:pPr>
        <w:rPr>
          <w:rFonts w:eastAsia="Times New Roman" w:asciiTheme="majorHAnsi" w:hAnsiTheme="majorHAnsi" w:cstheme="majorHAnsi"/>
          <w:lang w:eastAsia="ru-RU"/>
        </w:rPr>
      </w:pPr>
    </w:p>
    <w:p w:rsidR="009534E2" w:rsidRDefault="003369EB">
      <w:pPr>
        <w:spacing w:after="240"/>
        <w:rPr>
          <w:rFonts w:eastAsia="Times New Roman" w:asciiTheme="majorHAnsi" w:hAnsiTheme="majorHAnsi" w:cstheme="majorHAnsi"/>
          <w:lang w:eastAsia="ru-RU"/>
        </w:rPr>
      </w:pPr>
      <w:r>
        <w:rPr>
          <w:rFonts w:eastAsia="Times New Roman" w:asciiTheme="majorHAnsi" w:hAnsiTheme="majorHAnsi" w:cstheme="majorHAnsi"/>
          <w:lang w:eastAsia="ru-RU"/>
        </w:rPr>
        <w:t>The table below discloses investments in debt securities by classes and its credit risk exposure as of December 31, 2022:</w:t>
      </w:r>
    </w:p>
    <w:p w:rsidR="009534E2" w:rsidRDefault="009534E2">
      <w:pPr>
        <w:keepNext/>
        <w:rPr>
          <w:rFonts w:eastAsia="Times New Roman"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021"/>
        <w:gridCol w:w="223"/>
        <w:gridCol w:w="1041"/>
        <w:gridCol w:w="222"/>
        <w:gridCol w:w="1041"/>
        <w:gridCol w:w="222"/>
        <w:gridCol w:w="1030"/>
      </w:tblGrid>
      <w:tr w:rsidR="009534E2">
        <w:trPr>
          <w:trHeight w:val="20" w:hRule="exact"/>
        </w:trPr>
        <w:tc>
          <w:tcPr>
            <w:tcW w:w="3250"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0faf96b2_8225_4677_a8c0_e0fdf197c595" w:colFirst="0" w:colLast="0" w:id="2155"/>
            <w:bookmarkStart w:name="_d3ae0ea0_0fe5_4ef2_b418_db03ee08b754" w:colFirst="1" w:colLast="1" w:id="2156"/>
            <w:bookmarkStart w:name="_7d8aca30_9a53_414b_95d5_09f5003927be" w:colFirst="2" w:colLast="2" w:id="2157"/>
            <w:bookmarkStart w:name="_c28919e3_1f2a_4d84_8694_59df447c3533" w:colFirst="3" w:colLast="3" w:id="2158"/>
            <w:bookmarkStart w:name="_df61560d_1683_4d3a_86fa_9bad2fabef02" w:colFirst="4" w:colLast="4" w:id="2159"/>
            <w:bookmarkStart w:name="_e198f847_7d4c_4888_8f4f_fe331bd58e1a" w:colFirst="5" w:colLast="5" w:id="2160"/>
            <w:bookmarkStart w:name="_157f9a95_12ff_4ac9_a57b_3fa7875bd8a7" w:colFirst="6" w:colLast="6" w:id="2161"/>
            <w:bookmarkStart w:name="_1374ccc6_47b9_4e4d_a1f8_163ed880687b" w:id="2162"/>
          </w:p>
        </w:tc>
        <w:tc>
          <w:tcPr>
            <w:tcW w:w="1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8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8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7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c>
          <w:tcPr>
            <w:tcW w:w="3250"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b/>
                <w:color w:val="000000"/>
                <w:sz w:val="16"/>
              </w:rPr>
            </w:pPr>
            <w:bookmarkStart w:name="_0eb2f7e5_9a81_42ff_b783_747463bf4a03" w:id="2163"/>
            <w:bookmarkEnd w:id="2155"/>
            <w:bookmarkEnd w:id="2156"/>
            <w:bookmarkEnd w:id="2157"/>
            <w:bookmarkEnd w:id="2158"/>
            <w:bookmarkEnd w:id="2159"/>
            <w:bookmarkEnd w:id="2160"/>
            <w:bookmarkEnd w:id="2161"/>
          </w:p>
        </w:tc>
        <w:tc>
          <w:tcPr>
            <w:tcW w:w="1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1646" w:type="pct"/>
            <w:gridSpan w:val="5"/>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 December 31, 2022</w:t>
            </w:r>
          </w:p>
        </w:tc>
      </w:tr>
      <w:tr w:rsidR="009534E2">
        <w:tc>
          <w:tcPr>
            <w:tcW w:w="3250"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b/>
                <w:color w:val="000000"/>
                <w:sz w:val="16"/>
              </w:rPr>
            </w:pPr>
            <w:bookmarkStart w:name="_da21b49a_33c0_42b6_b7c6_d0ca38ffcacc" w:id="2164"/>
            <w:bookmarkEnd w:id="2163"/>
          </w:p>
        </w:tc>
        <w:tc>
          <w:tcPr>
            <w:tcW w:w="1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482"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Stage 1</w:t>
            </w:r>
          </w:p>
        </w:tc>
        <w:tc>
          <w:tcPr>
            <w:tcW w:w="1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482"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Stage 2</w:t>
            </w:r>
          </w:p>
        </w:tc>
        <w:tc>
          <w:tcPr>
            <w:tcW w:w="1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477"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w:t>
            </w:r>
          </w:p>
        </w:tc>
      </w:tr>
      <w:tr w:rsidR="009534E2">
        <w:tc>
          <w:tcPr>
            <w:tcW w:w="3250"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b/>
                <w:i/>
                <w:color w:val="000000"/>
              </w:rPr>
            </w:pPr>
            <w:bookmarkStart w:name="_d2b402cf_f6bb_41ca_a562_6097da3c554a" w:id="2165"/>
            <w:bookmarkEnd w:id="2164"/>
            <w:r>
              <w:rPr>
                <w:rFonts w:eastAsia="Times New Roman" w:asciiTheme="majorHAnsi" w:hAnsiTheme="majorHAnsi" w:cstheme="majorHAnsi"/>
                <w:b/>
                <w:i/>
                <w:color w:val="000000"/>
              </w:rPr>
              <w:t>Securities accounted at FVOCI</w:t>
            </w:r>
          </w:p>
        </w:tc>
        <w:tc>
          <w:tcPr>
            <w:tcW w:w="103" w:type="pct"/>
            <w:tcBorders>
              <w:top w:val="nil"/>
              <w:left w:val="nil"/>
              <w:bottom w:val="nil"/>
              <w:right w:val="nil"/>
              <w:tl2br w:val="nil"/>
              <w:tr2bl w:val="nil"/>
            </w:tcBorders>
            <w:shd w:val="clear" w:color="auto" w:fill="CCEEFF"/>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single" w:color="000000" w:sz="4" w:space="0"/>
              <w:left w:val="nil"/>
              <w:bottom w:val="nil"/>
              <w:right w:val="nil"/>
              <w:tl2br w:val="nil"/>
              <w:tr2bl w:val="nil"/>
            </w:tcBorders>
            <w:shd w:val="clear" w:color="auto" w:fill="CCEEFF"/>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  </w:t>
            </w:r>
          </w:p>
        </w:tc>
        <w:tc>
          <w:tcPr>
            <w:tcW w:w="103" w:type="pct"/>
            <w:tcBorders>
              <w:top w:val="nil"/>
              <w:left w:val="nil"/>
              <w:bottom w:val="nil"/>
              <w:right w:val="nil"/>
              <w:tl2br w:val="nil"/>
              <w:tr2bl w:val="nil"/>
            </w:tcBorders>
            <w:shd w:val="clear" w:color="auto" w:fill="CCEEFF"/>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single" w:color="000000" w:sz="4" w:space="0"/>
              <w:left w:val="nil"/>
              <w:bottom w:val="nil"/>
              <w:right w:val="nil"/>
              <w:tl2br w:val="nil"/>
              <w:tr2bl w:val="nil"/>
            </w:tcBorders>
            <w:shd w:val="clear" w:color="auto" w:fill="CCEEFF"/>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  </w:t>
            </w:r>
          </w:p>
        </w:tc>
        <w:tc>
          <w:tcPr>
            <w:tcW w:w="103" w:type="pct"/>
            <w:tcBorders>
              <w:top w:val="nil"/>
              <w:left w:val="nil"/>
              <w:bottom w:val="nil"/>
              <w:right w:val="nil"/>
              <w:tl2br w:val="nil"/>
              <w:tr2bl w:val="nil"/>
            </w:tcBorders>
            <w:shd w:val="clear" w:color="auto" w:fill="CCEEFF"/>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single" w:color="000000" w:sz="4" w:space="0"/>
              <w:left w:val="nil"/>
              <w:bottom w:val="nil"/>
              <w:right w:val="nil"/>
              <w:tl2br w:val="nil"/>
              <w:tr2bl w:val="nil"/>
            </w:tcBorders>
            <w:shd w:val="clear" w:color="auto" w:fill="CCEEFF"/>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  </w:t>
            </w:r>
          </w:p>
        </w:tc>
      </w:tr>
      <w:tr w:rsidR="009534E2">
        <w:tc>
          <w:tcPr>
            <w:tcW w:w="3250" w:type="pct"/>
            <w:tcBorders>
              <w:top w:val="nil"/>
              <w:left w:val="nil"/>
              <w:bottom w:val="nil"/>
              <w:right w:val="nil"/>
              <w:tl2br w:val="nil"/>
              <w:tr2bl w:val="nil"/>
            </w:tcBorders>
            <w:shd w:val="clear" w:color="auto" w:fill="auto"/>
            <w:vAlign w:val="bottom"/>
          </w:tcPr>
          <w:p w:rsidR="009534E2" w:rsidRDefault="003369EB">
            <w:pPr>
              <w:rPr>
                <w:rFonts w:asciiTheme="majorHAnsi" w:hAnsiTheme="majorHAnsi" w:cstheme="majorHAnsi"/>
                <w:color w:val="000000"/>
              </w:rPr>
            </w:pPr>
            <w:bookmarkStart w:name="_6b665f90_0489_467a_ad57_5202f58e9c62" w:id="2166"/>
            <w:bookmarkEnd w:id="2165"/>
            <w:r>
              <w:rPr>
                <w:rFonts w:eastAsia="Times New Roman" w:asciiTheme="majorHAnsi" w:hAnsiTheme="majorHAnsi" w:cstheme="majorHAnsi"/>
                <w:color w:val="000000"/>
              </w:rPr>
              <w:t>Foreign government bonds</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1,021</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1,021</w:t>
            </w:r>
          </w:p>
        </w:tc>
      </w:tr>
      <w:tr w:rsidR="009534E2">
        <w:tc>
          <w:tcPr>
            <w:tcW w:w="3250"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color w:val="000000"/>
              </w:rPr>
            </w:pPr>
            <w:bookmarkStart w:name="_1a260455_5376_422d_9d75_ff048493c4eb" w:id="2167"/>
            <w:bookmarkEnd w:id="2166"/>
            <w:r>
              <w:rPr>
                <w:rFonts w:eastAsia="Times New Roman" w:asciiTheme="majorHAnsi" w:hAnsiTheme="majorHAnsi" w:cstheme="majorHAnsi"/>
                <w:color w:val="000000"/>
              </w:rPr>
              <w:t>Russian government bonds</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5,632</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5,632</w:t>
            </w:r>
          </w:p>
        </w:tc>
      </w:tr>
      <w:tr w:rsidR="009534E2">
        <w:tc>
          <w:tcPr>
            <w:tcW w:w="3250" w:type="pct"/>
            <w:tcBorders>
              <w:top w:val="nil"/>
              <w:left w:val="nil"/>
              <w:bottom w:val="nil"/>
              <w:right w:val="nil"/>
              <w:tl2br w:val="nil"/>
              <w:tr2bl w:val="nil"/>
            </w:tcBorders>
            <w:shd w:val="clear" w:color="auto" w:fill="auto"/>
            <w:vAlign w:val="bottom"/>
          </w:tcPr>
          <w:p w:rsidR="009534E2" w:rsidRDefault="003369EB">
            <w:pPr>
              <w:rPr>
                <w:rFonts w:asciiTheme="majorHAnsi" w:hAnsiTheme="majorHAnsi" w:cstheme="majorHAnsi"/>
                <w:color w:val="000000"/>
              </w:rPr>
            </w:pPr>
            <w:bookmarkStart w:name="_ed010747_7dbc_4d2a_a7c7_6527f80ebf4b" w:id="2168"/>
            <w:bookmarkEnd w:id="2167"/>
            <w:r>
              <w:rPr>
                <w:rFonts w:eastAsia="Times New Roman" w:asciiTheme="majorHAnsi" w:hAnsiTheme="majorHAnsi" w:cstheme="majorHAnsi"/>
                <w:color w:val="000000"/>
              </w:rPr>
              <w:t>Corporate bonds rated ruAA and above</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1,381</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99</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1,480</w:t>
            </w:r>
          </w:p>
        </w:tc>
      </w:tr>
      <w:tr w:rsidR="009534E2">
        <w:tc>
          <w:tcPr>
            <w:tcW w:w="3250"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color w:val="000000"/>
              </w:rPr>
            </w:pPr>
            <w:bookmarkStart w:name="_b6638fd3_fc3e_4d60_ae14_787d30666bfc" w:id="2169"/>
            <w:bookmarkEnd w:id="2168"/>
            <w:r>
              <w:rPr>
                <w:rFonts w:eastAsia="Times New Roman" w:asciiTheme="majorHAnsi" w:hAnsiTheme="majorHAnsi" w:cstheme="majorHAnsi"/>
                <w:color w:val="000000"/>
              </w:rPr>
              <w:t>Corporate bonds rated ruA and above</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4,687</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4,687</w:t>
            </w:r>
          </w:p>
        </w:tc>
      </w:tr>
      <w:tr w:rsidR="009534E2">
        <w:tc>
          <w:tcPr>
            <w:tcW w:w="3250"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rPr>
            </w:pPr>
            <w:bookmarkStart w:name="_09c0c8cc_4b0a_40fd_8b73_5b19ea3a4a45" w:id="2170"/>
            <w:bookmarkEnd w:id="2169"/>
          </w:p>
        </w:tc>
        <w:tc>
          <w:tcPr>
            <w:tcW w:w="103"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rPr>
            </w:pPr>
          </w:p>
        </w:tc>
        <w:tc>
          <w:tcPr>
            <w:tcW w:w="482"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rPr>
            </w:pPr>
          </w:p>
        </w:tc>
        <w:tc>
          <w:tcPr>
            <w:tcW w:w="103"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rPr>
            </w:pPr>
          </w:p>
        </w:tc>
        <w:tc>
          <w:tcPr>
            <w:tcW w:w="482"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rPr>
            </w:pPr>
          </w:p>
        </w:tc>
        <w:tc>
          <w:tcPr>
            <w:tcW w:w="103"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rPr>
            </w:pPr>
          </w:p>
        </w:tc>
        <w:tc>
          <w:tcPr>
            <w:tcW w:w="477"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rPr>
            </w:pPr>
          </w:p>
        </w:tc>
      </w:tr>
      <w:tr w:rsidR="009534E2">
        <w:tc>
          <w:tcPr>
            <w:tcW w:w="3250"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b/>
                <w:i/>
                <w:color w:val="000000"/>
              </w:rPr>
            </w:pPr>
            <w:bookmarkStart w:name="_0ae19c67_2386_47d2_a77d_79a0ddc5b9b3" w:id="2171"/>
            <w:bookmarkEnd w:id="2170"/>
            <w:r>
              <w:rPr>
                <w:rFonts w:eastAsia="Times New Roman" w:asciiTheme="majorHAnsi" w:hAnsiTheme="majorHAnsi" w:cstheme="majorHAnsi"/>
                <w:b/>
                <w:i/>
                <w:color w:val="000000"/>
              </w:rPr>
              <w:t>Securities accounted at amortised cost</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nil"/>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w:t>
            </w:r>
          </w:p>
        </w:tc>
      </w:tr>
      <w:tr w:rsidR="009534E2">
        <w:tc>
          <w:tcPr>
            <w:tcW w:w="3250" w:type="pct"/>
            <w:tcBorders>
              <w:top w:val="nil"/>
              <w:left w:val="nil"/>
              <w:bottom w:val="nil"/>
              <w:right w:val="nil"/>
              <w:tl2br w:val="nil"/>
              <w:tr2bl w:val="nil"/>
            </w:tcBorders>
            <w:shd w:val="clear" w:color="auto" w:fill="auto"/>
            <w:vAlign w:val="bottom"/>
          </w:tcPr>
          <w:p w:rsidR="009534E2" w:rsidRDefault="003369EB">
            <w:pPr>
              <w:rPr>
                <w:rFonts w:asciiTheme="majorHAnsi" w:hAnsiTheme="majorHAnsi" w:cstheme="majorHAnsi"/>
                <w:color w:val="000000"/>
              </w:rPr>
            </w:pPr>
            <w:bookmarkStart w:name="_76d1de2b_5466_4555_b07b_c6b29ed254d2" w:id="2172"/>
            <w:bookmarkEnd w:id="2171"/>
            <w:r>
              <w:rPr>
                <w:rFonts w:eastAsia="Times New Roman" w:asciiTheme="majorHAnsi" w:hAnsiTheme="majorHAnsi" w:cstheme="majorHAnsi"/>
                <w:color w:val="000000"/>
              </w:rPr>
              <w:t>Russian government bonds</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single" w:color="000000" w:sz="4" w:space="0"/>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4,160</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single" w:color="000000" w:sz="4" w:space="0"/>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single" w:color="000000" w:sz="4" w:space="0"/>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4,160</w:t>
            </w:r>
          </w:p>
        </w:tc>
      </w:tr>
      <w:tr w:rsidR="009534E2">
        <w:tc>
          <w:tcPr>
            <w:tcW w:w="3250" w:type="pct"/>
            <w:tcBorders>
              <w:top w:val="nil"/>
              <w:left w:val="nil"/>
              <w:bottom w:val="nil"/>
              <w:right w:val="nil"/>
              <w:tl2br w:val="nil"/>
              <w:tr2bl w:val="nil"/>
            </w:tcBorders>
            <w:shd w:val="clear" w:color="auto" w:fill="CCEEFF"/>
            <w:vAlign w:val="bottom"/>
          </w:tcPr>
          <w:p w:rsidR="009534E2" w:rsidRDefault="009534E2">
            <w:pPr>
              <w:rPr>
                <w:rFonts w:asciiTheme="majorHAnsi" w:hAnsiTheme="majorHAnsi" w:cstheme="majorHAnsi"/>
                <w:color w:val="000000"/>
              </w:rPr>
            </w:pPr>
            <w:bookmarkStart w:name="_09018d96_9846_4567_9cba_984967f2a73b" w:id="2173"/>
            <w:bookmarkEnd w:id="2172"/>
          </w:p>
        </w:tc>
        <w:tc>
          <w:tcPr>
            <w:tcW w:w="103"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482" w:type="pct"/>
            <w:tcBorders>
              <w:top w:val="single" w:color="000000" w:sz="4" w:space="0"/>
              <w:left w:val="nil"/>
              <w:bottom w:val="nil"/>
              <w:right w:val="nil"/>
              <w:tl2br w:val="nil"/>
              <w:tr2bl w:val="nil"/>
            </w:tcBorders>
            <w:shd w:val="clear" w:color="auto" w:fill="CCEEFF"/>
            <w:noWrap/>
            <w:vAlign w:val="bottom"/>
          </w:tcPr>
          <w:p w:rsidR="009534E2" w:rsidRDefault="009534E2">
            <w:pPr>
              <w:jc w:val="right"/>
              <w:rPr>
                <w:rFonts w:asciiTheme="majorHAnsi" w:hAnsiTheme="majorHAnsi" w:cstheme="majorHAnsi"/>
                <w:color w:val="000000"/>
              </w:rPr>
            </w:pPr>
          </w:p>
        </w:tc>
        <w:tc>
          <w:tcPr>
            <w:tcW w:w="103"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482" w:type="pct"/>
            <w:tcBorders>
              <w:top w:val="single" w:color="000000" w:sz="4" w:space="0"/>
              <w:left w:val="nil"/>
              <w:bottom w:val="nil"/>
              <w:right w:val="nil"/>
              <w:tl2br w:val="nil"/>
              <w:tr2bl w:val="nil"/>
            </w:tcBorders>
            <w:shd w:val="clear" w:color="auto" w:fill="CCEEFF"/>
            <w:noWrap/>
            <w:vAlign w:val="bottom"/>
          </w:tcPr>
          <w:p w:rsidR="009534E2" w:rsidRDefault="009534E2">
            <w:pPr>
              <w:jc w:val="right"/>
              <w:rPr>
                <w:rFonts w:asciiTheme="majorHAnsi" w:hAnsiTheme="majorHAnsi" w:cstheme="majorHAnsi"/>
                <w:color w:val="000000"/>
              </w:rPr>
            </w:pPr>
          </w:p>
        </w:tc>
        <w:tc>
          <w:tcPr>
            <w:tcW w:w="103"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477" w:type="pct"/>
            <w:tcBorders>
              <w:top w:val="single" w:color="000000" w:sz="4" w:space="0"/>
              <w:left w:val="nil"/>
              <w:bottom w:val="nil"/>
              <w:right w:val="nil"/>
              <w:tl2br w:val="nil"/>
              <w:tr2bl w:val="nil"/>
            </w:tcBorders>
            <w:shd w:val="clear" w:color="auto" w:fill="CCEEFF"/>
            <w:noWrap/>
            <w:vAlign w:val="bottom"/>
          </w:tcPr>
          <w:p w:rsidR="009534E2" w:rsidRDefault="009534E2">
            <w:pPr>
              <w:jc w:val="right"/>
              <w:rPr>
                <w:rFonts w:asciiTheme="majorHAnsi" w:hAnsiTheme="majorHAnsi" w:cstheme="majorHAnsi"/>
                <w:color w:val="000000"/>
              </w:rPr>
            </w:pPr>
          </w:p>
        </w:tc>
      </w:tr>
      <w:tr w:rsidR="009534E2">
        <w:tc>
          <w:tcPr>
            <w:tcW w:w="3250" w:type="pct"/>
            <w:tcBorders>
              <w:top w:val="nil"/>
              <w:left w:val="nil"/>
              <w:bottom w:val="nil"/>
              <w:right w:val="nil"/>
              <w:tl2br w:val="nil"/>
              <w:tr2bl w:val="nil"/>
            </w:tcBorders>
            <w:shd w:val="clear" w:color="auto" w:fill="auto"/>
            <w:vAlign w:val="bottom"/>
          </w:tcPr>
          <w:p w:rsidR="009534E2" w:rsidRDefault="003369EB">
            <w:pPr>
              <w:rPr>
                <w:rFonts w:asciiTheme="majorHAnsi" w:hAnsiTheme="majorHAnsi" w:cstheme="majorHAnsi"/>
                <w:color w:val="000000"/>
              </w:rPr>
            </w:pPr>
            <w:bookmarkStart w:name="_b8d4f494_addd_4bfe_99cb_479f32172d88" w:id="2174"/>
            <w:bookmarkEnd w:id="2173"/>
            <w:r>
              <w:rPr>
                <w:rFonts w:eastAsia="Times New Roman" w:asciiTheme="majorHAnsi" w:hAnsiTheme="majorHAnsi" w:cstheme="majorHAnsi"/>
                <w:color w:val="000000"/>
              </w:rPr>
              <w:t>Credit loss allowance</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single" w:color="000000" w:sz="4" w:space="0"/>
              <w:right w:val="nil"/>
              <w:tl2br w:val="nil"/>
              <w:tr2bl w:val="nil"/>
            </w:tcBorders>
            <w:shd w:val="clear" w:color="auto" w:fill="auto"/>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xml:space="preserve"> (5)</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single" w:color="000000" w:sz="4" w:space="0"/>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single" w:color="000000" w:sz="4" w:space="0"/>
              <w:right w:val="nil"/>
              <w:tl2br w:val="nil"/>
              <w:tr2bl w:val="nil"/>
            </w:tcBorders>
            <w:shd w:val="clear" w:color="auto" w:fill="auto"/>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xml:space="preserve"> (5)</w:t>
            </w:r>
          </w:p>
        </w:tc>
      </w:tr>
      <w:tr w:rsidR="009534E2">
        <w:tc>
          <w:tcPr>
            <w:tcW w:w="3250"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b/>
                <w:color w:val="000000"/>
              </w:rPr>
            </w:pPr>
            <w:bookmarkStart w:name="_b9ef902e_93f9_4c09_83f9_be66716fc0be" w:id="2175"/>
            <w:bookmarkEnd w:id="2174"/>
            <w:r>
              <w:rPr>
                <w:rFonts w:eastAsia="Times New Roman" w:asciiTheme="majorHAnsi" w:hAnsiTheme="majorHAnsi" w:cstheme="majorHAnsi"/>
                <w:b/>
                <w:color w:val="000000"/>
              </w:rPr>
              <w:t>Total debt securities</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single" w:color="000000" w:sz="4" w:space="0"/>
              <w:left w:val="nil"/>
              <w:bottom w:val="double" w:color="000000" w:sz="4" w:space="0"/>
              <w:right w:val="nil"/>
              <w:tl2br w:val="nil"/>
              <w:tr2bl w:val="nil"/>
            </w:tcBorders>
            <w:shd w:val="clear" w:color="auto" w:fill="CCEEFF"/>
            <w:noWrap/>
            <w:vAlign w:val="bottom"/>
          </w:tcPr>
          <w:p w:rsidR="009534E2" w:rsidRDefault="003369EB">
            <w:pPr>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16,876</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single" w:color="000000" w:sz="4" w:space="0"/>
              <w:left w:val="nil"/>
              <w:bottom w:val="double" w:color="000000" w:sz="4" w:space="0"/>
              <w:right w:val="nil"/>
              <w:tl2br w:val="nil"/>
              <w:tr2bl w:val="nil"/>
            </w:tcBorders>
            <w:shd w:val="clear" w:color="auto" w:fill="CCEEFF"/>
            <w:noWrap/>
            <w:vAlign w:val="bottom"/>
          </w:tcPr>
          <w:p w:rsidR="009534E2" w:rsidRDefault="003369EB">
            <w:pPr>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99</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b/>
                <w:color w:val="000000"/>
              </w:rPr>
            </w:pPr>
            <w:r>
              <w:rPr>
                <w:rFonts w:eastAsia="Times New Roman" w:asciiTheme="majorHAnsi" w:hAnsiTheme="majorHAnsi" w:cstheme="majorHAnsi"/>
                <w:b/>
                <w:color w:val="000000"/>
              </w:rPr>
              <w:t> </w:t>
            </w:r>
          </w:p>
        </w:tc>
        <w:tc>
          <w:tcPr>
            <w:tcW w:w="477" w:type="pct"/>
            <w:tcBorders>
              <w:top w:val="single" w:color="000000" w:sz="4" w:space="0"/>
              <w:left w:val="nil"/>
              <w:bottom w:val="double" w:color="000000" w:sz="4" w:space="0"/>
              <w:right w:val="nil"/>
              <w:tl2br w:val="nil"/>
              <w:tr2bl w:val="nil"/>
            </w:tcBorders>
            <w:shd w:val="clear" w:color="auto" w:fill="CCEEFF"/>
            <w:noWrap/>
            <w:vAlign w:val="bottom"/>
          </w:tcPr>
          <w:p w:rsidR="009534E2" w:rsidRDefault="003369EB">
            <w:pPr>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16,975</w:t>
            </w:r>
          </w:p>
        </w:tc>
      </w:tr>
      <w:bookmarkEnd w:id="2162"/>
      <w:bookmarkEnd w:id="2175"/>
    </w:tbl>
    <w:p w:rsidR="009534E2" w:rsidRDefault="009534E2">
      <w:pPr>
        <w:rPr>
          <w:rFonts w:eastAsia="Times New Roman" w:asciiTheme="majorHAnsi" w:hAnsiTheme="majorHAnsi" w:cstheme="majorHAnsi"/>
          <w:lang w:eastAsia="ru-RU"/>
        </w:rPr>
      </w:pP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t>The table below discloses investments in debt securities by classes and its credit risk exposure as of December 31, 2021:</w:t>
      </w:r>
    </w:p>
    <w:p w:rsidR="009534E2" w:rsidRDefault="009534E2">
      <w:pPr>
        <w:keepNext/>
        <w:rPr>
          <w:rFonts w:eastAsia="Times New Roman"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021"/>
        <w:gridCol w:w="223"/>
        <w:gridCol w:w="1041"/>
        <w:gridCol w:w="222"/>
        <w:gridCol w:w="1041"/>
        <w:gridCol w:w="222"/>
        <w:gridCol w:w="1030"/>
      </w:tblGrid>
      <w:tr w:rsidR="009534E2">
        <w:trPr>
          <w:trHeight w:val="20" w:hRule="exact"/>
        </w:trPr>
        <w:tc>
          <w:tcPr>
            <w:tcW w:w="3250"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b20a49f5_18a4_4a68_b413_a3e15b2251e4" w:colFirst="0" w:colLast="0" w:id="2176"/>
            <w:bookmarkStart w:name="_d2647466_8be2_4b02_939b_4513ab130c32" w:colFirst="1" w:colLast="1" w:id="2177"/>
            <w:bookmarkStart w:name="_7ae3e6bc_c11a_420c_8f73_2be217d4a337" w:colFirst="2" w:colLast="2" w:id="2178"/>
            <w:bookmarkStart w:name="_8671ee0e_6c70_4e9f_a22b_456dc814cc4c" w:colFirst="3" w:colLast="3" w:id="2179"/>
            <w:bookmarkStart w:name="_8a7d2fbe_eef1_400d_bb5a_74ddce1cf2ff" w:colFirst="4" w:colLast="4" w:id="2180"/>
            <w:bookmarkStart w:name="_1503af28_239c_4ef8_a539_88bf5b9d9635" w:colFirst="5" w:colLast="5" w:id="2181"/>
            <w:bookmarkStart w:name="_e73098f0_4fe2_43fc_a81e_9c33aac55ac8" w:colFirst="6" w:colLast="6" w:id="2182"/>
            <w:bookmarkStart w:name="_7a0c3fa3_1bc8_4b38_a301_f4433657669e" w:id="2183"/>
          </w:p>
        </w:tc>
        <w:tc>
          <w:tcPr>
            <w:tcW w:w="1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8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8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7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c>
          <w:tcPr>
            <w:tcW w:w="3250"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b/>
                <w:i/>
                <w:color w:val="000000"/>
                <w:sz w:val="16"/>
              </w:rPr>
            </w:pPr>
            <w:bookmarkStart w:name="_5cec27d5_f0ad_4690_89d7_63e70de9b49b" w:id="2184"/>
            <w:bookmarkEnd w:id="2176"/>
            <w:bookmarkEnd w:id="2177"/>
            <w:bookmarkEnd w:id="2178"/>
            <w:bookmarkEnd w:id="2179"/>
            <w:bookmarkEnd w:id="2180"/>
            <w:bookmarkEnd w:id="2181"/>
            <w:bookmarkEnd w:id="2182"/>
          </w:p>
        </w:tc>
        <w:tc>
          <w:tcPr>
            <w:tcW w:w="1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1646" w:type="pct"/>
            <w:gridSpan w:val="5"/>
            <w:tcBorders>
              <w:top w:val="nil"/>
              <w:left w:val="nil"/>
              <w:bottom w:val="nil"/>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 December 31, 2021</w:t>
            </w:r>
          </w:p>
        </w:tc>
      </w:tr>
      <w:tr w:rsidR="009534E2">
        <w:tc>
          <w:tcPr>
            <w:tcW w:w="3250"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b/>
                <w:i/>
                <w:color w:val="000000"/>
                <w:sz w:val="16"/>
              </w:rPr>
            </w:pPr>
            <w:bookmarkStart w:name="_0135044e_3cf5_4ded_a441_2a576b154c6d" w:id="2185"/>
            <w:bookmarkEnd w:id="2184"/>
          </w:p>
        </w:tc>
        <w:tc>
          <w:tcPr>
            <w:tcW w:w="1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482"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Stage 1</w:t>
            </w:r>
          </w:p>
        </w:tc>
        <w:tc>
          <w:tcPr>
            <w:tcW w:w="1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482"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Stage 2</w:t>
            </w:r>
          </w:p>
        </w:tc>
        <w:tc>
          <w:tcPr>
            <w:tcW w:w="103" w:type="pct"/>
            <w:tcBorders>
              <w:top w:val="nil"/>
              <w:left w:val="nil"/>
              <w:bottom w:val="nil"/>
              <w:right w:val="nil"/>
              <w:tl2br w:val="nil"/>
              <w:tr2bl w:val="nil"/>
            </w:tcBorders>
            <w:shd w:val="clear" w:color="auto" w:fill="auto"/>
            <w:noWrap/>
            <w:vAlign w:val="bottom"/>
          </w:tcPr>
          <w:p w:rsidR="009534E2" w:rsidRDefault="009534E2">
            <w:pPr>
              <w:jc w:val="center"/>
              <w:rPr>
                <w:rFonts w:asciiTheme="majorHAnsi" w:hAnsiTheme="majorHAnsi" w:cstheme="majorHAnsi"/>
                <w:color w:val="000000"/>
                <w:sz w:val="16"/>
              </w:rPr>
            </w:pPr>
          </w:p>
        </w:tc>
        <w:tc>
          <w:tcPr>
            <w:tcW w:w="477"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w:t>
            </w:r>
          </w:p>
        </w:tc>
      </w:tr>
      <w:tr w:rsidR="009534E2">
        <w:tc>
          <w:tcPr>
            <w:tcW w:w="3250"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b/>
                <w:i/>
                <w:color w:val="000000"/>
              </w:rPr>
            </w:pPr>
            <w:bookmarkStart w:name="_88e51833_1ffb_43ee_9a2b_784d564495ed" w:id="2186"/>
            <w:bookmarkEnd w:id="2185"/>
            <w:r>
              <w:rPr>
                <w:rFonts w:eastAsia="Times New Roman" w:asciiTheme="majorHAnsi" w:hAnsiTheme="majorHAnsi" w:cstheme="majorHAnsi"/>
                <w:b/>
                <w:i/>
                <w:color w:val="000000"/>
              </w:rPr>
              <w:t>Securities accounted at FVOCI</w:t>
            </w:r>
          </w:p>
        </w:tc>
        <w:tc>
          <w:tcPr>
            <w:tcW w:w="103" w:type="pct"/>
            <w:tcBorders>
              <w:top w:val="nil"/>
              <w:left w:val="nil"/>
              <w:bottom w:val="nil"/>
              <w:right w:val="nil"/>
              <w:tl2br w:val="nil"/>
              <w:tr2bl w:val="nil"/>
            </w:tcBorders>
            <w:shd w:val="clear" w:color="auto" w:fill="CCEEFF"/>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single" w:color="000000" w:sz="4" w:space="0"/>
              <w:left w:val="nil"/>
              <w:bottom w:val="nil"/>
              <w:right w:val="nil"/>
              <w:tl2br w:val="nil"/>
              <w:tr2bl w:val="nil"/>
            </w:tcBorders>
            <w:shd w:val="clear" w:color="auto" w:fill="CCEEFF"/>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  </w:t>
            </w:r>
          </w:p>
        </w:tc>
        <w:tc>
          <w:tcPr>
            <w:tcW w:w="103" w:type="pct"/>
            <w:tcBorders>
              <w:top w:val="nil"/>
              <w:left w:val="nil"/>
              <w:bottom w:val="nil"/>
              <w:right w:val="nil"/>
              <w:tl2br w:val="nil"/>
              <w:tr2bl w:val="nil"/>
            </w:tcBorders>
            <w:shd w:val="clear" w:color="auto" w:fill="CCEEFF"/>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single" w:color="000000" w:sz="4" w:space="0"/>
              <w:left w:val="nil"/>
              <w:bottom w:val="nil"/>
              <w:right w:val="nil"/>
              <w:tl2br w:val="nil"/>
              <w:tr2bl w:val="nil"/>
            </w:tcBorders>
            <w:shd w:val="clear" w:color="auto" w:fill="CCEEFF"/>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  </w:t>
            </w:r>
          </w:p>
        </w:tc>
        <w:tc>
          <w:tcPr>
            <w:tcW w:w="103" w:type="pct"/>
            <w:tcBorders>
              <w:top w:val="nil"/>
              <w:left w:val="nil"/>
              <w:bottom w:val="nil"/>
              <w:right w:val="nil"/>
              <w:tl2br w:val="nil"/>
              <w:tr2bl w:val="nil"/>
            </w:tcBorders>
            <w:shd w:val="clear" w:color="auto" w:fill="CCEEFF"/>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single" w:color="000000" w:sz="4" w:space="0"/>
              <w:left w:val="nil"/>
              <w:bottom w:val="nil"/>
              <w:right w:val="nil"/>
              <w:tl2br w:val="nil"/>
              <w:tr2bl w:val="nil"/>
            </w:tcBorders>
            <w:shd w:val="clear" w:color="auto" w:fill="CCEEFF"/>
            <w:noWrap/>
            <w:vAlign w:val="bottom"/>
          </w:tcPr>
          <w:p w:rsidR="009534E2" w:rsidRDefault="003369EB">
            <w:pPr>
              <w:jc w:val="center"/>
              <w:rPr>
                <w:rFonts w:asciiTheme="majorHAnsi" w:hAnsiTheme="majorHAnsi" w:cstheme="majorHAnsi"/>
                <w:color w:val="000000"/>
              </w:rPr>
            </w:pPr>
            <w:r>
              <w:rPr>
                <w:rFonts w:eastAsia="Times New Roman" w:asciiTheme="majorHAnsi" w:hAnsiTheme="majorHAnsi" w:cstheme="majorHAnsi"/>
                <w:color w:val="000000"/>
              </w:rPr>
              <w:t>  </w:t>
            </w:r>
          </w:p>
        </w:tc>
      </w:tr>
      <w:tr w:rsidR="009534E2">
        <w:tc>
          <w:tcPr>
            <w:tcW w:w="3250" w:type="pct"/>
            <w:tcBorders>
              <w:top w:val="nil"/>
              <w:left w:val="nil"/>
              <w:bottom w:val="nil"/>
              <w:right w:val="nil"/>
              <w:tl2br w:val="nil"/>
              <w:tr2bl w:val="nil"/>
            </w:tcBorders>
            <w:shd w:val="clear" w:color="auto" w:fill="auto"/>
            <w:vAlign w:val="bottom"/>
          </w:tcPr>
          <w:p w:rsidR="009534E2" w:rsidRDefault="003369EB">
            <w:pPr>
              <w:rPr>
                <w:rFonts w:asciiTheme="majorHAnsi" w:hAnsiTheme="majorHAnsi" w:cstheme="majorHAnsi"/>
                <w:color w:val="000000"/>
              </w:rPr>
            </w:pPr>
            <w:bookmarkStart w:name="_15f604aa_b05f_48c0_9823_b93b62bf561b" w:id="2187"/>
            <w:bookmarkEnd w:id="2186"/>
            <w:r>
              <w:rPr>
                <w:rFonts w:eastAsia="Times New Roman" w:asciiTheme="majorHAnsi" w:hAnsiTheme="majorHAnsi" w:cstheme="majorHAnsi"/>
                <w:color w:val="000000"/>
              </w:rPr>
              <w:t>Russian government bonds</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3,896</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nil"/>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3,896</w:t>
            </w:r>
          </w:p>
        </w:tc>
      </w:tr>
      <w:tr w:rsidR="009534E2">
        <w:tc>
          <w:tcPr>
            <w:tcW w:w="3250"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color w:val="000000"/>
              </w:rPr>
            </w:pPr>
            <w:bookmarkStart w:name="_6ea29684_f683_44e8_96ef_f483a42eef20" w:id="2188"/>
            <w:bookmarkEnd w:id="2187"/>
            <w:r>
              <w:rPr>
                <w:rFonts w:eastAsia="Times New Roman" w:asciiTheme="majorHAnsi" w:hAnsiTheme="majorHAnsi" w:cstheme="majorHAnsi"/>
                <w:color w:val="000000"/>
              </w:rPr>
              <w:t>Corporate bonds rated ruAA and above</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5,665</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nil"/>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5,665</w:t>
            </w:r>
          </w:p>
        </w:tc>
      </w:tr>
      <w:tr w:rsidR="009534E2">
        <w:tc>
          <w:tcPr>
            <w:tcW w:w="3250" w:type="pct"/>
            <w:tcBorders>
              <w:top w:val="nil"/>
              <w:left w:val="nil"/>
              <w:bottom w:val="nil"/>
              <w:right w:val="nil"/>
              <w:tl2br w:val="nil"/>
              <w:tr2bl w:val="nil"/>
            </w:tcBorders>
            <w:shd w:val="clear" w:color="auto" w:fill="auto"/>
            <w:vAlign w:val="bottom"/>
          </w:tcPr>
          <w:p w:rsidR="009534E2" w:rsidRDefault="009534E2">
            <w:pPr>
              <w:rPr>
                <w:rFonts w:asciiTheme="majorHAnsi" w:hAnsiTheme="majorHAnsi" w:cstheme="majorHAnsi"/>
                <w:color w:val="000000"/>
              </w:rPr>
            </w:pPr>
            <w:bookmarkStart w:name="_65f203ce_b9b8_4a48_89fd_7a79391d9be5" w:id="2189"/>
            <w:bookmarkEnd w:id="2188"/>
          </w:p>
        </w:tc>
        <w:tc>
          <w:tcPr>
            <w:tcW w:w="103"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rPr>
            </w:pPr>
          </w:p>
        </w:tc>
        <w:tc>
          <w:tcPr>
            <w:tcW w:w="482"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rPr>
            </w:pPr>
          </w:p>
        </w:tc>
        <w:tc>
          <w:tcPr>
            <w:tcW w:w="103"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rPr>
            </w:pPr>
          </w:p>
        </w:tc>
        <w:tc>
          <w:tcPr>
            <w:tcW w:w="482"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rPr>
            </w:pPr>
          </w:p>
        </w:tc>
        <w:tc>
          <w:tcPr>
            <w:tcW w:w="103"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rPr>
            </w:pPr>
          </w:p>
        </w:tc>
        <w:tc>
          <w:tcPr>
            <w:tcW w:w="477" w:type="pct"/>
            <w:tcBorders>
              <w:top w:val="nil"/>
              <w:left w:val="nil"/>
              <w:bottom w:val="nil"/>
              <w:right w:val="nil"/>
              <w:tl2br w:val="nil"/>
              <w:tr2bl w:val="nil"/>
            </w:tcBorders>
            <w:shd w:val="clear" w:color="auto" w:fill="auto"/>
            <w:noWrap/>
            <w:vAlign w:val="bottom"/>
          </w:tcPr>
          <w:p w:rsidR="009534E2" w:rsidRDefault="009534E2">
            <w:pPr>
              <w:rPr>
                <w:rFonts w:asciiTheme="majorHAnsi" w:hAnsiTheme="majorHAnsi" w:cstheme="majorHAnsi"/>
                <w:color w:val="000000"/>
              </w:rPr>
            </w:pPr>
          </w:p>
        </w:tc>
      </w:tr>
      <w:tr w:rsidR="009534E2">
        <w:tc>
          <w:tcPr>
            <w:tcW w:w="3250"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b/>
                <w:i/>
                <w:color w:val="000000"/>
              </w:rPr>
            </w:pPr>
            <w:bookmarkStart w:name="_4bfba077_0cf7_4a6c_9883_9be9e122de02" w:id="2190"/>
            <w:bookmarkEnd w:id="2189"/>
            <w:r>
              <w:rPr>
                <w:rFonts w:eastAsia="Times New Roman" w:asciiTheme="majorHAnsi" w:hAnsiTheme="majorHAnsi" w:cstheme="majorHAnsi"/>
                <w:b/>
                <w:i/>
                <w:color w:val="000000"/>
              </w:rPr>
              <w:t>Securities accounted at amortised cost</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nil"/>
              <w:right w:val="nil"/>
              <w:tl2br w:val="nil"/>
              <w:tr2bl w:val="nil"/>
            </w:tcBorders>
            <w:shd w:val="clear" w:color="auto" w:fill="CCEEFF"/>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w:t>
            </w:r>
          </w:p>
        </w:tc>
      </w:tr>
      <w:tr w:rsidR="009534E2">
        <w:tc>
          <w:tcPr>
            <w:tcW w:w="3250" w:type="pct"/>
            <w:tcBorders>
              <w:top w:val="nil"/>
              <w:left w:val="nil"/>
              <w:bottom w:val="nil"/>
              <w:right w:val="nil"/>
              <w:tl2br w:val="nil"/>
              <w:tr2bl w:val="nil"/>
            </w:tcBorders>
            <w:shd w:val="clear" w:color="auto" w:fill="auto"/>
            <w:vAlign w:val="bottom"/>
          </w:tcPr>
          <w:p w:rsidR="009534E2" w:rsidRDefault="003369EB">
            <w:pPr>
              <w:rPr>
                <w:rFonts w:asciiTheme="majorHAnsi" w:hAnsiTheme="majorHAnsi" w:cstheme="majorHAnsi"/>
                <w:color w:val="000000"/>
              </w:rPr>
            </w:pPr>
            <w:bookmarkStart w:name="_d78d33f9_a95e_49ea_963e_72546d8d69f2" w:id="2191"/>
            <w:bookmarkEnd w:id="2190"/>
            <w:r>
              <w:rPr>
                <w:rFonts w:eastAsia="Times New Roman" w:asciiTheme="majorHAnsi" w:hAnsiTheme="majorHAnsi" w:cstheme="majorHAnsi"/>
                <w:color w:val="000000"/>
              </w:rPr>
              <w:t>Russian government bonds</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single" w:color="000000" w:sz="4" w:space="0"/>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3,531</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single" w:color="000000" w:sz="4" w:space="0"/>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single" w:color="000000" w:sz="4" w:space="0"/>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3,531</w:t>
            </w:r>
          </w:p>
        </w:tc>
      </w:tr>
      <w:tr w:rsidR="009534E2">
        <w:tc>
          <w:tcPr>
            <w:tcW w:w="3250" w:type="pct"/>
            <w:tcBorders>
              <w:top w:val="nil"/>
              <w:left w:val="nil"/>
              <w:bottom w:val="nil"/>
              <w:right w:val="nil"/>
              <w:tl2br w:val="nil"/>
              <w:tr2bl w:val="nil"/>
            </w:tcBorders>
            <w:shd w:val="clear" w:color="auto" w:fill="CCEEFF"/>
            <w:vAlign w:val="bottom"/>
          </w:tcPr>
          <w:p w:rsidR="009534E2" w:rsidRDefault="009534E2">
            <w:pPr>
              <w:rPr>
                <w:rFonts w:asciiTheme="majorHAnsi" w:hAnsiTheme="majorHAnsi" w:cstheme="majorHAnsi"/>
                <w:color w:val="000000"/>
              </w:rPr>
            </w:pPr>
            <w:bookmarkStart w:name="_92242520_e862_4a37_ac79_71d5742bff14" w:id="2192"/>
            <w:bookmarkEnd w:id="2191"/>
          </w:p>
        </w:tc>
        <w:tc>
          <w:tcPr>
            <w:tcW w:w="103"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482" w:type="pct"/>
            <w:tcBorders>
              <w:top w:val="single" w:color="000000" w:sz="4" w:space="0"/>
              <w:left w:val="nil"/>
              <w:bottom w:val="nil"/>
              <w:right w:val="nil"/>
              <w:tl2br w:val="nil"/>
              <w:tr2bl w:val="nil"/>
            </w:tcBorders>
            <w:shd w:val="clear" w:color="auto" w:fill="CCEEFF"/>
            <w:noWrap/>
            <w:vAlign w:val="bottom"/>
          </w:tcPr>
          <w:p w:rsidR="009534E2" w:rsidRDefault="009534E2">
            <w:pPr>
              <w:jc w:val="right"/>
              <w:rPr>
                <w:rFonts w:asciiTheme="majorHAnsi" w:hAnsiTheme="majorHAnsi" w:cstheme="majorHAnsi"/>
                <w:color w:val="000000"/>
              </w:rPr>
            </w:pPr>
          </w:p>
        </w:tc>
        <w:tc>
          <w:tcPr>
            <w:tcW w:w="103"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482" w:type="pct"/>
            <w:tcBorders>
              <w:top w:val="single" w:color="000000" w:sz="4" w:space="0"/>
              <w:left w:val="nil"/>
              <w:bottom w:val="nil"/>
              <w:right w:val="nil"/>
              <w:tl2br w:val="nil"/>
              <w:tr2bl w:val="nil"/>
            </w:tcBorders>
            <w:shd w:val="clear" w:color="auto" w:fill="CCEEFF"/>
            <w:noWrap/>
            <w:vAlign w:val="bottom"/>
          </w:tcPr>
          <w:p w:rsidR="009534E2" w:rsidRDefault="009534E2">
            <w:pPr>
              <w:jc w:val="right"/>
              <w:rPr>
                <w:rFonts w:asciiTheme="majorHAnsi" w:hAnsiTheme="majorHAnsi" w:cstheme="majorHAnsi"/>
                <w:color w:val="000000"/>
              </w:rPr>
            </w:pPr>
          </w:p>
        </w:tc>
        <w:tc>
          <w:tcPr>
            <w:tcW w:w="103" w:type="pct"/>
            <w:tcBorders>
              <w:top w:val="nil"/>
              <w:left w:val="nil"/>
              <w:bottom w:val="nil"/>
              <w:right w:val="nil"/>
              <w:tl2br w:val="nil"/>
              <w:tr2bl w:val="nil"/>
            </w:tcBorders>
            <w:shd w:val="clear" w:color="auto" w:fill="CCEEFF"/>
            <w:noWrap/>
            <w:vAlign w:val="bottom"/>
          </w:tcPr>
          <w:p w:rsidR="009534E2" w:rsidRDefault="009534E2">
            <w:pPr>
              <w:rPr>
                <w:rFonts w:asciiTheme="majorHAnsi" w:hAnsiTheme="majorHAnsi" w:cstheme="majorHAnsi"/>
                <w:color w:val="000000"/>
              </w:rPr>
            </w:pPr>
          </w:p>
        </w:tc>
        <w:tc>
          <w:tcPr>
            <w:tcW w:w="477" w:type="pct"/>
            <w:tcBorders>
              <w:top w:val="single" w:color="000000" w:sz="4" w:space="0"/>
              <w:left w:val="nil"/>
              <w:bottom w:val="nil"/>
              <w:right w:val="nil"/>
              <w:tl2br w:val="nil"/>
              <w:tr2bl w:val="nil"/>
            </w:tcBorders>
            <w:shd w:val="clear" w:color="auto" w:fill="CCEEFF"/>
            <w:noWrap/>
            <w:vAlign w:val="bottom"/>
          </w:tcPr>
          <w:p w:rsidR="009534E2" w:rsidRDefault="009534E2">
            <w:pPr>
              <w:jc w:val="right"/>
              <w:rPr>
                <w:rFonts w:asciiTheme="majorHAnsi" w:hAnsiTheme="majorHAnsi" w:cstheme="majorHAnsi"/>
                <w:color w:val="000000"/>
              </w:rPr>
            </w:pPr>
          </w:p>
        </w:tc>
      </w:tr>
      <w:tr w:rsidR="009534E2">
        <w:tc>
          <w:tcPr>
            <w:tcW w:w="3250" w:type="pct"/>
            <w:tcBorders>
              <w:top w:val="nil"/>
              <w:left w:val="nil"/>
              <w:bottom w:val="nil"/>
              <w:right w:val="nil"/>
              <w:tl2br w:val="nil"/>
              <w:tr2bl w:val="nil"/>
            </w:tcBorders>
            <w:shd w:val="clear" w:color="auto" w:fill="auto"/>
            <w:vAlign w:val="bottom"/>
          </w:tcPr>
          <w:p w:rsidR="009534E2" w:rsidRDefault="003369EB">
            <w:pPr>
              <w:rPr>
                <w:rFonts w:asciiTheme="majorHAnsi" w:hAnsiTheme="majorHAnsi" w:cstheme="majorHAnsi"/>
                <w:color w:val="000000"/>
              </w:rPr>
            </w:pPr>
            <w:bookmarkStart w:name="_744ed725_5d66_4d8a_bd95_622dc5340071" w:id="2193"/>
            <w:bookmarkEnd w:id="2192"/>
            <w:r>
              <w:rPr>
                <w:rFonts w:eastAsia="Times New Roman" w:asciiTheme="majorHAnsi" w:hAnsiTheme="majorHAnsi" w:cstheme="majorHAnsi"/>
                <w:color w:val="000000"/>
              </w:rPr>
              <w:t>Credit loss allowance</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single" w:color="000000" w:sz="4" w:space="0"/>
              <w:right w:val="nil"/>
              <w:tl2br w:val="nil"/>
              <w:tr2bl w:val="nil"/>
            </w:tcBorders>
            <w:shd w:val="clear" w:color="auto" w:fill="auto"/>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xml:space="preserve"> (5)</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single" w:color="000000" w:sz="4" w:space="0"/>
              <w:right w:val="nil"/>
              <w:tl2br w:val="nil"/>
              <w:tr2bl w:val="nil"/>
            </w:tcBorders>
            <w:shd w:val="clear" w:color="auto" w:fill="auto"/>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3" w:type="pct"/>
            <w:tcBorders>
              <w:top w:val="nil"/>
              <w:left w:val="nil"/>
              <w:bottom w:val="nil"/>
              <w:right w:val="nil"/>
              <w:tl2br w:val="nil"/>
              <w:tr2bl w:val="nil"/>
            </w:tcBorders>
            <w:shd w:val="clear" w:color="auto" w:fill="auto"/>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single" w:color="000000" w:sz="4" w:space="0"/>
              <w:right w:val="nil"/>
              <w:tl2br w:val="nil"/>
              <w:tr2bl w:val="nil"/>
            </w:tcBorders>
            <w:shd w:val="clear" w:color="auto" w:fill="auto"/>
            <w:noWrap/>
            <w:vAlign w:val="bottom"/>
          </w:tcPr>
          <w:p w:rsidR="009534E2" w:rsidRDefault="003369EB">
            <w:pPr>
              <w:jc w:val="right"/>
              <w:rPr>
                <w:rFonts w:asciiTheme="majorHAnsi" w:hAnsiTheme="majorHAnsi" w:cstheme="majorHAnsi"/>
                <w:color w:val="000000"/>
              </w:rPr>
            </w:pPr>
            <w:r>
              <w:rPr>
                <w:rFonts w:eastAsia="Times New Roman" w:asciiTheme="majorHAnsi" w:hAnsiTheme="majorHAnsi" w:cstheme="majorHAnsi"/>
                <w:color w:val="000000"/>
              </w:rPr>
              <w:t xml:space="preserve"> (5)</w:t>
            </w:r>
          </w:p>
        </w:tc>
      </w:tr>
      <w:tr w:rsidR="009534E2">
        <w:tc>
          <w:tcPr>
            <w:tcW w:w="3250" w:type="pct"/>
            <w:tcBorders>
              <w:top w:val="nil"/>
              <w:left w:val="nil"/>
              <w:bottom w:val="nil"/>
              <w:right w:val="nil"/>
              <w:tl2br w:val="nil"/>
              <w:tr2bl w:val="nil"/>
            </w:tcBorders>
            <w:shd w:val="clear" w:color="auto" w:fill="CCEEFF"/>
            <w:vAlign w:val="bottom"/>
          </w:tcPr>
          <w:p w:rsidR="009534E2" w:rsidRDefault="003369EB">
            <w:pPr>
              <w:rPr>
                <w:rFonts w:asciiTheme="majorHAnsi" w:hAnsiTheme="majorHAnsi" w:cstheme="majorHAnsi"/>
                <w:b/>
                <w:color w:val="000000"/>
              </w:rPr>
            </w:pPr>
            <w:bookmarkStart w:name="_4f859ea1_0f50_4f2c_b561_cce564a00d0e" w:id="2194"/>
            <w:bookmarkEnd w:id="2193"/>
            <w:r>
              <w:rPr>
                <w:rFonts w:eastAsia="Times New Roman" w:asciiTheme="majorHAnsi" w:hAnsiTheme="majorHAnsi" w:cstheme="majorHAnsi"/>
                <w:b/>
                <w:color w:val="000000"/>
              </w:rPr>
              <w:t>Total debt securities</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single" w:color="000000" w:sz="4" w:space="0"/>
              <w:left w:val="nil"/>
              <w:bottom w:val="double" w:color="000000" w:sz="4" w:space="0"/>
              <w:right w:val="nil"/>
              <w:tl2br w:val="nil"/>
              <w:tr2bl w:val="nil"/>
            </w:tcBorders>
            <w:shd w:val="clear" w:color="auto" w:fill="CCEEFF"/>
            <w:noWrap/>
            <w:vAlign w:val="bottom"/>
          </w:tcPr>
          <w:p w:rsidR="009534E2" w:rsidRDefault="003369EB">
            <w:pPr>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13,087</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single" w:color="000000" w:sz="4" w:space="0"/>
              <w:left w:val="nil"/>
              <w:bottom w:val="double" w:color="000000" w:sz="4" w:space="0"/>
              <w:right w:val="nil"/>
              <w:tl2br w:val="nil"/>
              <w:tr2bl w:val="nil"/>
            </w:tcBorders>
            <w:shd w:val="clear" w:color="auto" w:fill="CCEEFF"/>
            <w:noWrap/>
            <w:vAlign w:val="bottom"/>
          </w:tcPr>
          <w:p w:rsidR="009534E2" w:rsidRDefault="003369EB">
            <w:pPr>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3" w:type="pct"/>
            <w:tcBorders>
              <w:top w:val="nil"/>
              <w:left w:val="nil"/>
              <w:bottom w:val="nil"/>
              <w:right w:val="nil"/>
              <w:tl2br w:val="nil"/>
              <w:tr2bl w:val="nil"/>
            </w:tcBorders>
            <w:shd w:val="clear" w:color="auto" w:fill="CCEEFF"/>
            <w:noWrap/>
            <w:vAlign w:val="bottom"/>
          </w:tcPr>
          <w:p w:rsidR="009534E2" w:rsidRDefault="003369EB">
            <w:pPr>
              <w:rPr>
                <w:rFonts w:asciiTheme="majorHAnsi" w:hAnsiTheme="majorHAnsi" w:cstheme="majorHAnsi"/>
                <w:b/>
                <w:color w:val="000000"/>
              </w:rPr>
            </w:pPr>
            <w:r>
              <w:rPr>
                <w:rFonts w:eastAsia="Times New Roman" w:asciiTheme="majorHAnsi" w:hAnsiTheme="majorHAnsi" w:cstheme="majorHAnsi"/>
                <w:b/>
                <w:color w:val="000000"/>
              </w:rPr>
              <w:t> </w:t>
            </w:r>
          </w:p>
        </w:tc>
        <w:tc>
          <w:tcPr>
            <w:tcW w:w="477" w:type="pct"/>
            <w:tcBorders>
              <w:top w:val="single" w:color="000000" w:sz="4" w:space="0"/>
              <w:left w:val="nil"/>
              <w:bottom w:val="double" w:color="000000" w:sz="4" w:space="0"/>
              <w:right w:val="nil"/>
              <w:tl2br w:val="nil"/>
              <w:tr2bl w:val="nil"/>
            </w:tcBorders>
            <w:shd w:val="clear" w:color="auto" w:fill="CCEEFF"/>
            <w:noWrap/>
            <w:vAlign w:val="bottom"/>
          </w:tcPr>
          <w:p w:rsidR="009534E2" w:rsidRDefault="003369EB">
            <w:pPr>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13,087</w:t>
            </w:r>
          </w:p>
        </w:tc>
      </w:tr>
      <w:bookmarkEnd w:id="2183"/>
      <w:bookmarkEnd w:id="2194"/>
    </w:tbl>
    <w:p w:rsidR="009534E2" w:rsidRDefault="009534E2">
      <w:pPr>
        <w:rPr>
          <w:rFonts w:eastAsia="Times New Roman" w:asciiTheme="majorHAnsi" w:hAnsiTheme="majorHAnsi" w:cstheme="majorHAnsi"/>
          <w:lang w:eastAsia="ru-RU"/>
        </w:rPr>
      </w:pP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 Group has no internal grading system for debt securities’ credit risk rating grades analysis. During the year 2022 International rating agencies withdrew all ratings from Russian companies. Credit quality of debt sequrities presented is based on external scale of Russian rating agencies. The interest rates of debt securities are </w:t>
      </w:r>
      <w:bookmarkStart w:name="_6f227114_a8eb_473f_8d0d_746e09f20f3e" w:id="2195"/>
      <w:r>
        <w:rPr>
          <w:rFonts w:eastAsia="Times New Roman" w:asciiTheme="majorHAnsi" w:hAnsiTheme="majorHAnsi" w:cstheme="majorHAnsi"/>
          <w:lang w:eastAsia="ru-RU"/>
        </w:rPr>
        <w:t>0%</w:t>
      </w:r>
      <w:bookmarkEnd w:id="2195"/>
      <w:r>
        <w:rPr>
          <w:rFonts w:eastAsia="Times New Roman" w:asciiTheme="majorHAnsi" w:hAnsiTheme="majorHAnsi" w:cstheme="majorHAnsi"/>
          <w:lang w:eastAsia="ru-RU"/>
        </w:rPr>
        <w:t xml:space="preserve"> - </w:t>
      </w:r>
      <w:bookmarkStart w:name="_ebe0fa89_3582_495a_99d4_c71d6d0241f1" w:id="2196"/>
      <w:r>
        <w:rPr>
          <w:rFonts w:eastAsia="Times New Roman" w:asciiTheme="majorHAnsi" w:hAnsiTheme="majorHAnsi" w:cstheme="majorHAnsi"/>
          <w:lang w:eastAsia="ru-RU"/>
        </w:rPr>
        <w:t>11.6%</w:t>
      </w:r>
      <w:bookmarkEnd w:id="2196"/>
      <w:r>
        <w:rPr>
          <w:rFonts w:eastAsia="Times New Roman" w:asciiTheme="majorHAnsi" w:hAnsiTheme="majorHAnsi" w:cstheme="majorHAnsi"/>
          <w:lang w:eastAsia="ru-RU"/>
        </w:rPr>
        <w:t xml:space="preserve"> and maturity up to January 2037.</w:t>
      </w:r>
    </w:p>
    <w:p w:rsidR="009534E2" w:rsidRDefault="009534E2">
      <w:pPr>
        <w:spacing w:after="240"/>
        <w:rPr>
          <w:rFonts w:eastAsia="Times New Roman" w:asciiTheme="majorHAnsi" w:hAnsiTheme="majorHAnsi" w:cstheme="majorHAnsi"/>
          <w:lang w:eastAsia="ru-RU"/>
        </w:rPr>
      </w:pP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Heading1"/>
        <w:ind w:left="360" w:hanging="360"/>
        <w:rPr>
          <w:lang w:eastAsia="ru-RU"/>
        </w:rPr>
      </w:pPr>
      <w:r>
        <w:rPr>
          <w:lang w:eastAsia="ru-RU"/>
        </w:rPr>
        <w:t>16.</w:t>
      </w:r>
      <w:r>
        <w:rPr>
          <w:lang w:eastAsia="ru-RU"/>
        </w:rPr>
        <w:tab/>
        <w:t>Other current assets and other current liabilities</w:t>
      </w:r>
    </w:p>
    <w:p w:rsidR="009534E2" w:rsidRDefault="003369EB">
      <w:pPr>
        <w:pStyle w:val="Heading1"/>
        <w:ind w:left="562" w:hanging="562"/>
        <w:rPr>
          <w:lang w:eastAsia="ru-RU"/>
        </w:rPr>
      </w:pPr>
      <w:r>
        <w:rPr>
          <w:lang w:eastAsia="ru-RU"/>
        </w:rPr>
        <w:t>16.1</w:t>
      </w:r>
      <w:r>
        <w:rPr>
          <w:lang w:eastAsia="ru-RU"/>
        </w:rPr>
        <w:tab/>
        <w:t>Other current assets</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As of December 31, 2022 and 2021, other current assets consisted of the following:</w:t>
      </w:r>
    </w:p>
    <w:p w:rsidR="009534E2" w:rsidRDefault="009534E2">
      <w:pPr>
        <w:pStyle w:val="BodyText"/>
        <w:keepNext/>
        <w:spacing w:after="0"/>
        <w:rPr>
          <w:rFonts w:eastAsia="Times New Roman" w:asciiTheme="majorHAnsi" w:hAnsiTheme="majorHAnsi" w:cstheme="majorHAnsi"/>
          <w:lang w:eastAsia="ru-RU"/>
        </w:rPr>
      </w:pPr>
      <w:bookmarkStart w:name="_f4bbb5e0_5083_4af5_bc42_06b279f8cda7" w:id="2197"/>
      <w:bookmarkStart w:name="_cca3230b_3d72_47bf_a035_451a79d78e74" w:id="2198"/>
      <w:bookmarkStart w:name="_08891400_dc32_445d_9472_a2ef89fa9a4b" w:id="2199"/>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2"/>
        <w:gridCol w:w="253"/>
        <w:gridCol w:w="1177"/>
        <w:gridCol w:w="251"/>
        <w:gridCol w:w="1177"/>
      </w:tblGrid>
      <w:tr w:rsidR="009534E2">
        <w:trPr>
          <w:trHeight w:val="20" w:hRule="exact"/>
          <w:jc w:val="center"/>
        </w:trPr>
        <w:tc>
          <w:tcPr>
            <w:tcW w:w="3677" w:type="pct"/>
            <w:tcBorders>
              <w:top w:val="nil"/>
              <w:left w:val="nil"/>
              <w:bottom w:val="nil"/>
              <w:right w:val="nil"/>
            </w:tcBorders>
            <w:vAlign w:val="bottom"/>
          </w:tcPr>
          <w:p w:rsidR="009534E2" w:rsidRDefault="009534E2">
            <w:pPr>
              <w:keepNext/>
              <w:rPr>
                <w:sz w:val="2"/>
              </w:rPr>
            </w:pPr>
            <w:bookmarkStart w:name="_05557af5_a0b8_4a68_a532_85c132373374" w:id="2200"/>
            <w:bookmarkStart w:name="_ad2f0912_b426_4bf8_848e_899ace842228" w:colFirst="0" w:colLast="0" w:id="2201"/>
            <w:bookmarkStart w:name="_845aefbf_d789_4c85_b46c_c7327afbd214" w:colFirst="1" w:colLast="1" w:id="2202"/>
            <w:bookmarkStart w:name="_1e080e18_b488_454c_bfe5_b0cab71ea1c6" w:colFirst="2" w:colLast="2" w:id="2203"/>
            <w:bookmarkStart w:name="_7caccd1c_8325_4903_84a5_f536493dc0df" w:colFirst="3" w:colLast="3" w:id="2204"/>
            <w:bookmarkStart w:name="_e240bd35_f48c_4463_aabc_5648d860bfba" w:colFirst="4" w:colLast="4" w:id="2205"/>
            <w:bookmarkStart w:name="_13f8d363_1d01_474b_8a4a_1c816cd00cfd" w:id="2206"/>
            <w:bookmarkEnd w:id="2200"/>
          </w:p>
        </w:tc>
        <w:tc>
          <w:tcPr>
            <w:tcW w:w="117" w:type="pct"/>
            <w:tcBorders>
              <w:top w:val="nil"/>
              <w:left w:val="nil"/>
              <w:bottom w:val="nil"/>
              <w:right w:val="nil"/>
            </w:tcBorders>
            <w:noWrap/>
            <w:vAlign w:val="bottom"/>
          </w:tcPr>
          <w:p w:rsidR="009534E2" w:rsidRDefault="009534E2">
            <w:pPr>
              <w:keepNext/>
              <w:rPr>
                <w:sz w:val="2"/>
              </w:rPr>
            </w:pPr>
          </w:p>
        </w:tc>
        <w:tc>
          <w:tcPr>
            <w:tcW w:w="545" w:type="pct"/>
            <w:tcBorders>
              <w:top w:val="nil"/>
              <w:left w:val="nil"/>
              <w:bottom w:val="nil"/>
              <w:right w:val="nil"/>
            </w:tcBorders>
            <w:noWrap/>
            <w:vAlign w:val="bottom"/>
          </w:tcPr>
          <w:p w:rsidR="009534E2" w:rsidRDefault="009534E2">
            <w:pPr>
              <w:keepNext/>
              <w:rPr>
                <w:sz w:val="2"/>
              </w:rPr>
            </w:pPr>
          </w:p>
        </w:tc>
        <w:tc>
          <w:tcPr>
            <w:tcW w:w="116" w:type="pct"/>
            <w:tcBorders>
              <w:top w:val="nil"/>
              <w:left w:val="nil"/>
              <w:bottom w:val="nil"/>
              <w:right w:val="nil"/>
            </w:tcBorders>
            <w:noWrap/>
            <w:vAlign w:val="bottom"/>
          </w:tcPr>
          <w:p w:rsidR="009534E2" w:rsidRDefault="009534E2">
            <w:pPr>
              <w:keepNext/>
              <w:rPr>
                <w:sz w:val="2"/>
              </w:rPr>
            </w:pPr>
          </w:p>
        </w:tc>
        <w:tc>
          <w:tcPr>
            <w:tcW w:w="545" w:type="pct"/>
            <w:tcBorders>
              <w:top w:val="nil"/>
              <w:left w:val="nil"/>
              <w:bottom w:val="nil"/>
              <w:right w:val="nil"/>
            </w:tcBorders>
            <w:noWrap/>
            <w:vAlign w:val="bottom"/>
          </w:tcPr>
          <w:p w:rsidR="009534E2" w:rsidRDefault="009534E2">
            <w:pPr>
              <w:keepNext/>
              <w:rPr>
                <w:sz w:val="2"/>
              </w:rPr>
            </w:pPr>
          </w:p>
        </w:tc>
      </w:tr>
      <w:tr w:rsidR="009534E2">
        <w:trPr>
          <w:jc w:val="center"/>
        </w:trPr>
        <w:tc>
          <w:tcPr>
            <w:tcW w:w="3677" w:type="pct"/>
            <w:tcBorders>
              <w:top w:val="nil"/>
              <w:left w:val="nil"/>
              <w:bottom w:val="nil"/>
              <w:right w:val="nil"/>
              <w:tl2br w:val="nil"/>
              <w:tr2bl w:val="nil"/>
            </w:tcBorders>
            <w:shd w:val="clear" w:color="auto" w:fill="auto"/>
            <w:vAlign w:val="bottom"/>
          </w:tcPr>
          <w:p w:rsidR="009534E2" w:rsidRDefault="009534E2">
            <w:pPr>
              <w:keepNext/>
              <w:rPr>
                <w:b/>
                <w:color w:val="000000"/>
                <w:sz w:val="16"/>
              </w:rPr>
            </w:pPr>
            <w:bookmarkStart w:name="_f06b36d8_f8cb_4fb0_8b02_74a51d2197a4" w:id="2207"/>
            <w:bookmarkEnd w:id="2201"/>
            <w:bookmarkEnd w:id="2202"/>
            <w:bookmarkEnd w:id="2203"/>
            <w:bookmarkEnd w:id="2204"/>
            <w:bookmarkEnd w:id="2205"/>
          </w:p>
        </w:tc>
        <w:tc>
          <w:tcPr>
            <w:tcW w:w="117"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As of</w:t>
            </w:r>
          </w:p>
        </w:tc>
        <w:tc>
          <w:tcPr>
            <w:tcW w:w="116"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As of</w:t>
            </w:r>
          </w:p>
        </w:tc>
      </w:tr>
      <w:tr w:rsidR="009534E2">
        <w:trPr>
          <w:jc w:val="center"/>
        </w:trPr>
        <w:tc>
          <w:tcPr>
            <w:tcW w:w="3677" w:type="pct"/>
            <w:tcBorders>
              <w:top w:val="nil"/>
              <w:left w:val="nil"/>
              <w:bottom w:val="nil"/>
              <w:right w:val="nil"/>
              <w:tl2br w:val="nil"/>
              <w:tr2bl w:val="nil"/>
            </w:tcBorders>
            <w:shd w:val="clear" w:color="auto" w:fill="auto"/>
            <w:vAlign w:val="bottom"/>
          </w:tcPr>
          <w:p w:rsidR="009534E2" w:rsidRDefault="009534E2">
            <w:pPr>
              <w:keepNext/>
              <w:rPr>
                <w:b/>
                <w:color w:val="000000"/>
                <w:sz w:val="16"/>
              </w:rPr>
            </w:pPr>
            <w:bookmarkStart w:name="_de59ab84_993b_48d3_a601_0e9b6b0eec97" w:id="2208"/>
            <w:bookmarkEnd w:id="2207"/>
          </w:p>
        </w:tc>
        <w:tc>
          <w:tcPr>
            <w:tcW w:w="117" w:type="pct"/>
            <w:tcBorders>
              <w:top w:val="nil"/>
              <w:left w:val="nil"/>
              <w:bottom w:val="nil"/>
              <w:right w:val="nil"/>
              <w:tl2br w:val="nil"/>
              <w:tr2bl w:val="nil"/>
            </w:tcBorders>
            <w:shd w:val="clear" w:color="auto" w:fill="auto"/>
            <w:noWrap/>
            <w:vAlign w:val="bottom"/>
          </w:tcPr>
          <w:p w:rsidR="009534E2" w:rsidRDefault="009534E2">
            <w:pPr>
              <w:keepNext/>
              <w:jc w:val="center"/>
              <w:rPr>
                <w:b/>
                <w:color w:val="000000"/>
                <w:sz w:val="16"/>
              </w:rPr>
            </w:pPr>
          </w:p>
        </w:tc>
        <w:tc>
          <w:tcPr>
            <w:tcW w:w="545"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December 31, </w:t>
            </w:r>
          </w:p>
        </w:tc>
        <w:tc>
          <w:tcPr>
            <w:tcW w:w="116" w:type="pct"/>
            <w:tcBorders>
              <w:top w:val="nil"/>
              <w:left w:val="nil"/>
              <w:bottom w:val="nil"/>
              <w:right w:val="nil"/>
              <w:tl2br w:val="nil"/>
              <w:tr2bl w:val="nil"/>
            </w:tcBorders>
            <w:shd w:val="clear" w:color="auto" w:fill="auto"/>
            <w:noWrap/>
            <w:vAlign w:val="bottom"/>
          </w:tcPr>
          <w:p w:rsidR="009534E2" w:rsidRDefault="009534E2">
            <w:pPr>
              <w:keepNext/>
              <w:jc w:val="center"/>
              <w:rPr>
                <w:b/>
                <w:color w:val="000000"/>
                <w:sz w:val="16"/>
              </w:rPr>
            </w:pPr>
          </w:p>
        </w:tc>
        <w:tc>
          <w:tcPr>
            <w:tcW w:w="545" w:type="pct"/>
            <w:tcBorders>
              <w:top w:val="nil"/>
              <w:left w:val="nil"/>
              <w:bottom w:val="nil"/>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December 31, </w:t>
            </w:r>
          </w:p>
        </w:tc>
      </w:tr>
      <w:tr w:rsidR="009534E2">
        <w:trPr>
          <w:jc w:val="center"/>
        </w:trPr>
        <w:tc>
          <w:tcPr>
            <w:tcW w:w="3677" w:type="pct"/>
            <w:tcBorders>
              <w:top w:val="nil"/>
              <w:left w:val="nil"/>
              <w:bottom w:val="nil"/>
              <w:right w:val="nil"/>
              <w:tl2br w:val="nil"/>
              <w:tr2bl w:val="nil"/>
            </w:tcBorders>
            <w:shd w:val="clear" w:color="auto" w:fill="auto"/>
            <w:vAlign w:val="bottom"/>
          </w:tcPr>
          <w:p w:rsidR="009534E2" w:rsidRDefault="009534E2">
            <w:pPr>
              <w:keepNext/>
              <w:rPr>
                <w:b/>
                <w:color w:val="000000"/>
                <w:sz w:val="16"/>
              </w:rPr>
            </w:pPr>
            <w:bookmarkStart w:name="_0a0ee51a_7b71_41e3_945f_49e3686106ca" w:id="2209"/>
            <w:bookmarkEnd w:id="2208"/>
          </w:p>
        </w:tc>
        <w:tc>
          <w:tcPr>
            <w:tcW w:w="117"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2021</w:t>
            </w:r>
          </w:p>
        </w:tc>
        <w:tc>
          <w:tcPr>
            <w:tcW w:w="116"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2022</w:t>
            </w:r>
          </w:p>
        </w:tc>
      </w:tr>
      <w:tr w:rsidR="009534E2">
        <w:trPr>
          <w:jc w:val="center"/>
        </w:trPr>
        <w:tc>
          <w:tcPr>
            <w:tcW w:w="3677" w:type="pct"/>
            <w:tcBorders>
              <w:top w:val="nil"/>
              <w:left w:val="nil"/>
              <w:bottom w:val="nil"/>
              <w:right w:val="nil"/>
              <w:tl2br w:val="nil"/>
              <w:tr2bl w:val="nil"/>
            </w:tcBorders>
            <w:shd w:val="clear" w:color="auto" w:fill="CCEEFF"/>
            <w:vAlign w:val="bottom"/>
          </w:tcPr>
          <w:p w:rsidR="009534E2" w:rsidRDefault="003369EB">
            <w:pPr>
              <w:keepNext/>
              <w:rPr>
                <w:i/>
                <w:color w:val="000000"/>
              </w:rPr>
            </w:pPr>
            <w:bookmarkStart w:name="_166a8cc9_8deb_4cbb_8af6_3181fabeaa20" w:id="2210"/>
            <w:bookmarkEnd w:id="2209"/>
            <w:r>
              <w:rPr>
                <w:rFonts w:ascii="Times New Roman" w:hAnsi="Times New Roman" w:eastAsia="Times New Roman" w:cs="Times New Roman"/>
                <w:i/>
                <w:color w:val="000000"/>
              </w:rPr>
              <w:t>Other financial assets</w:t>
            </w:r>
          </w:p>
        </w:tc>
        <w:tc>
          <w:tcPr>
            <w:tcW w:w="117" w:type="pct"/>
            <w:tcBorders>
              <w:top w:val="nil"/>
              <w:left w:val="nil"/>
              <w:bottom w:val="nil"/>
              <w:right w:val="nil"/>
              <w:tl2br w:val="nil"/>
              <w:tr2bl w:val="nil"/>
            </w:tcBorders>
            <w:shd w:val="clear" w:color="auto" w:fill="CCEEFF"/>
            <w:noWrap/>
            <w:vAlign w:val="bottom"/>
          </w:tcPr>
          <w:p w:rsidR="009534E2" w:rsidRDefault="009534E2">
            <w:pPr>
              <w:keepNext/>
              <w:rPr>
                <w:b/>
                <w:color w:val="000000"/>
                <w:sz w:val="16"/>
              </w:rPr>
            </w:pPr>
          </w:p>
        </w:tc>
        <w:tc>
          <w:tcPr>
            <w:tcW w:w="545" w:type="pct"/>
            <w:tcBorders>
              <w:top w:val="nil"/>
              <w:left w:val="nil"/>
              <w:bottom w:val="nil"/>
              <w:right w:val="nil"/>
              <w:tl2br w:val="nil"/>
              <w:tr2bl w:val="nil"/>
            </w:tcBorders>
            <w:shd w:val="clear" w:color="auto" w:fill="CCEEFF"/>
            <w:noWrap/>
            <w:vAlign w:val="bottom"/>
          </w:tcPr>
          <w:p w:rsidR="009534E2" w:rsidRDefault="009534E2">
            <w:pPr>
              <w:keepNext/>
              <w:jc w:val="center"/>
              <w:rPr>
                <w:b/>
                <w:color w:val="000000"/>
                <w:sz w:val="16"/>
              </w:rPr>
            </w:pPr>
          </w:p>
        </w:tc>
        <w:tc>
          <w:tcPr>
            <w:tcW w:w="116" w:type="pct"/>
            <w:tcBorders>
              <w:top w:val="nil"/>
              <w:left w:val="nil"/>
              <w:bottom w:val="nil"/>
              <w:right w:val="nil"/>
              <w:tl2br w:val="nil"/>
              <w:tr2bl w:val="nil"/>
            </w:tcBorders>
            <w:shd w:val="clear" w:color="auto" w:fill="CCEEFF"/>
            <w:noWrap/>
            <w:vAlign w:val="bottom"/>
          </w:tcPr>
          <w:p w:rsidR="009534E2" w:rsidRDefault="009534E2">
            <w:pPr>
              <w:keepNext/>
              <w:rPr>
                <w:b/>
                <w:color w:val="000000"/>
                <w:sz w:val="16"/>
              </w:rPr>
            </w:pPr>
          </w:p>
        </w:tc>
        <w:tc>
          <w:tcPr>
            <w:tcW w:w="545" w:type="pct"/>
            <w:tcBorders>
              <w:top w:val="nil"/>
              <w:left w:val="nil"/>
              <w:bottom w:val="nil"/>
              <w:right w:val="nil"/>
              <w:tl2br w:val="nil"/>
              <w:tr2bl w:val="nil"/>
            </w:tcBorders>
            <w:shd w:val="clear" w:color="auto" w:fill="CCEEFF"/>
            <w:noWrap/>
            <w:vAlign w:val="bottom"/>
          </w:tcPr>
          <w:p w:rsidR="009534E2" w:rsidRDefault="009534E2">
            <w:pPr>
              <w:keepNext/>
              <w:jc w:val="center"/>
              <w:rPr>
                <w:b/>
                <w:color w:val="000000"/>
                <w:sz w:val="16"/>
              </w:rPr>
            </w:pPr>
          </w:p>
        </w:tc>
      </w:tr>
      <w:tr w:rsidR="009534E2">
        <w:trPr>
          <w:jc w:val="center"/>
        </w:trPr>
        <w:tc>
          <w:tcPr>
            <w:tcW w:w="3677" w:type="pct"/>
            <w:tcBorders>
              <w:top w:val="nil"/>
              <w:left w:val="nil"/>
              <w:bottom w:val="nil"/>
              <w:right w:val="nil"/>
              <w:tl2br w:val="nil"/>
              <w:tr2bl w:val="nil"/>
            </w:tcBorders>
            <w:vAlign w:val="bottom"/>
          </w:tcPr>
          <w:p w:rsidR="009534E2" w:rsidRDefault="003369EB">
            <w:pPr>
              <w:keepNext/>
              <w:ind w:left="120"/>
              <w:rPr>
                <w:color w:val="000000"/>
              </w:rPr>
            </w:pPr>
            <w:bookmarkStart w:name="_3a91bcf2_08f0_4ffc_8ef9_4c7bb541e8e5" w:id="2211"/>
            <w:bookmarkEnd w:id="2210"/>
            <w:r>
              <w:rPr>
                <w:rFonts w:ascii="Times New Roman" w:hAnsi="Times New Roman" w:eastAsia="Times New Roman" w:cs="Times New Roman"/>
                <w:color w:val="000000"/>
              </w:rPr>
              <w:t>Reserves at CBR*</w:t>
            </w:r>
          </w:p>
        </w:tc>
        <w:tc>
          <w:tcPr>
            <w:tcW w:w="117"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593</w:t>
            </w:r>
          </w:p>
        </w:tc>
        <w:tc>
          <w:tcPr>
            <w:tcW w:w="116"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63</w:t>
            </w:r>
          </w:p>
        </w:tc>
      </w:tr>
      <w:tr w:rsidR="009534E2">
        <w:trPr>
          <w:jc w:val="center"/>
        </w:trPr>
        <w:tc>
          <w:tcPr>
            <w:tcW w:w="3677" w:type="pct"/>
            <w:tcBorders>
              <w:top w:val="nil"/>
              <w:left w:val="nil"/>
              <w:bottom w:val="nil"/>
              <w:right w:val="nil"/>
              <w:tl2br w:val="nil"/>
              <w:tr2bl w:val="nil"/>
            </w:tcBorders>
            <w:shd w:val="clear" w:color="auto" w:fill="CCEEFF"/>
            <w:vAlign w:val="bottom"/>
          </w:tcPr>
          <w:p w:rsidR="009534E2" w:rsidRDefault="003369EB">
            <w:pPr>
              <w:keepNext/>
              <w:ind w:left="120"/>
              <w:rPr>
                <w:color w:val="000000"/>
              </w:rPr>
            </w:pPr>
            <w:bookmarkStart w:name="_1fbff414_90b6_499d_93fb_2cbea9992ea0" w:id="2212"/>
            <w:bookmarkEnd w:id="2211"/>
            <w:r>
              <w:rPr>
                <w:rFonts w:ascii="Times New Roman" w:hAnsi="Times New Roman" w:eastAsia="Times New Roman" w:cs="Times New Roman"/>
                <w:color w:val="000000"/>
              </w:rPr>
              <w:t>Option received from ADAH (Note 6)</w:t>
            </w:r>
          </w:p>
        </w:tc>
        <w:tc>
          <w:tcPr>
            <w:tcW w:w="117"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5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w:t>
            </w:r>
          </w:p>
        </w:tc>
        <w:tc>
          <w:tcPr>
            <w:tcW w:w="116"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5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470</w:t>
            </w:r>
          </w:p>
        </w:tc>
      </w:tr>
      <w:tr w:rsidR="009534E2">
        <w:trPr>
          <w:jc w:val="center"/>
        </w:trPr>
        <w:tc>
          <w:tcPr>
            <w:tcW w:w="3677" w:type="pct"/>
            <w:tcBorders>
              <w:top w:val="nil"/>
              <w:left w:val="nil"/>
              <w:bottom w:val="nil"/>
              <w:right w:val="nil"/>
              <w:tl2br w:val="nil"/>
              <w:tr2bl w:val="nil"/>
            </w:tcBorders>
            <w:vAlign w:val="bottom"/>
          </w:tcPr>
          <w:p w:rsidR="009534E2" w:rsidRDefault="003369EB">
            <w:pPr>
              <w:keepNext/>
              <w:ind w:left="120"/>
              <w:rPr>
                <w:color w:val="000000"/>
              </w:rPr>
            </w:pPr>
            <w:bookmarkStart w:name="_fe69159c_6d61_4c20_870e_f95458ccfeb9" w:id="2213"/>
            <w:bookmarkEnd w:id="2212"/>
            <w:r>
              <w:rPr>
                <w:rFonts w:ascii="Times New Roman" w:hAnsi="Times New Roman" w:eastAsia="Times New Roman" w:cs="Times New Roman"/>
                <w:color w:val="000000"/>
              </w:rPr>
              <w:t>Restricted cash accounts</w:t>
            </w:r>
          </w:p>
        </w:tc>
        <w:tc>
          <w:tcPr>
            <w:tcW w:w="117" w:type="pct"/>
            <w:tcBorders>
              <w:top w:val="nil"/>
              <w:left w:val="nil"/>
              <w:bottom w:val="nil"/>
              <w:right w:val="nil"/>
              <w:tl2br w:val="nil"/>
              <w:tr2bl w:val="nil"/>
            </w:tcBorders>
            <w:noWrap/>
            <w:vAlign w:val="bottom"/>
          </w:tcPr>
          <w:p w:rsidR="009534E2" w:rsidRDefault="009534E2">
            <w:pPr>
              <w:keepNext/>
              <w:rPr>
                <w:color w:val="000000"/>
              </w:rPr>
            </w:pPr>
          </w:p>
        </w:tc>
        <w:tc>
          <w:tcPr>
            <w:tcW w:w="545"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w:t>
            </w:r>
          </w:p>
        </w:tc>
        <w:tc>
          <w:tcPr>
            <w:tcW w:w="116" w:type="pct"/>
            <w:tcBorders>
              <w:top w:val="nil"/>
              <w:left w:val="nil"/>
              <w:bottom w:val="nil"/>
              <w:right w:val="nil"/>
              <w:tl2br w:val="nil"/>
              <w:tr2bl w:val="nil"/>
            </w:tcBorders>
            <w:noWrap/>
            <w:vAlign w:val="bottom"/>
          </w:tcPr>
          <w:p w:rsidR="009534E2" w:rsidRDefault="009534E2">
            <w:pPr>
              <w:keepNext/>
              <w:rPr>
                <w:color w:val="000000"/>
              </w:rPr>
            </w:pPr>
          </w:p>
        </w:tc>
        <w:tc>
          <w:tcPr>
            <w:tcW w:w="545"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2,015</w:t>
            </w:r>
          </w:p>
        </w:tc>
      </w:tr>
      <w:tr w:rsidR="009534E2">
        <w:trPr>
          <w:jc w:val="center"/>
        </w:trPr>
        <w:tc>
          <w:tcPr>
            <w:tcW w:w="3677" w:type="pct"/>
            <w:tcBorders>
              <w:top w:val="nil"/>
              <w:left w:val="nil"/>
              <w:bottom w:val="nil"/>
              <w:right w:val="nil"/>
              <w:tl2br w:val="nil"/>
              <w:tr2bl w:val="nil"/>
            </w:tcBorders>
            <w:shd w:val="clear" w:color="auto" w:fill="CCEEFF"/>
            <w:vAlign w:val="bottom"/>
          </w:tcPr>
          <w:p w:rsidR="009534E2" w:rsidRDefault="003369EB">
            <w:pPr>
              <w:keepNext/>
              <w:ind w:left="120"/>
              <w:rPr>
                <w:color w:val="000000"/>
              </w:rPr>
            </w:pPr>
            <w:bookmarkStart w:name="_cd87bcdd_f55d_4da8_8753_bdf76f6953d4" w:id="2214"/>
            <w:bookmarkEnd w:id="2213"/>
            <w:r>
              <w:rPr>
                <w:rFonts w:ascii="Times New Roman" w:hAnsi="Times New Roman" w:eastAsia="Times New Roman" w:cs="Times New Roman"/>
                <w:color w:val="000000"/>
              </w:rPr>
              <w:t>Less: Allowance for ECL</w:t>
            </w:r>
          </w:p>
        </w:tc>
        <w:tc>
          <w:tcPr>
            <w:tcW w:w="117"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54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w:t>
            </w:r>
          </w:p>
        </w:tc>
        <w:tc>
          <w:tcPr>
            <w:tcW w:w="116"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54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(1,404)</w:t>
            </w:r>
          </w:p>
        </w:tc>
      </w:tr>
      <w:tr w:rsidR="009534E2">
        <w:trPr>
          <w:jc w:val="center"/>
        </w:trPr>
        <w:tc>
          <w:tcPr>
            <w:tcW w:w="3677" w:type="pct"/>
            <w:tcBorders>
              <w:top w:val="nil"/>
              <w:left w:val="nil"/>
              <w:bottom w:val="nil"/>
              <w:right w:val="nil"/>
              <w:tl2br w:val="nil"/>
              <w:tr2bl w:val="nil"/>
            </w:tcBorders>
            <w:vAlign w:val="bottom"/>
          </w:tcPr>
          <w:p w:rsidR="009534E2" w:rsidRDefault="003369EB">
            <w:pPr>
              <w:keepNext/>
              <w:rPr>
                <w:b/>
                <w:color w:val="000000"/>
              </w:rPr>
            </w:pPr>
            <w:bookmarkStart w:name="_c8e706b2_cfe5_43e4_80aa_6920a52e82d9" w:id="2215"/>
            <w:bookmarkEnd w:id="2214"/>
            <w:r>
              <w:rPr>
                <w:rFonts w:ascii="Times New Roman" w:hAnsi="Times New Roman" w:eastAsia="Times New Roman" w:cs="Times New Roman"/>
                <w:b/>
                <w:color w:val="000000"/>
              </w:rPr>
              <w:t>Total other financial assets</w:t>
            </w:r>
          </w:p>
        </w:tc>
        <w:tc>
          <w:tcPr>
            <w:tcW w:w="117" w:type="pct"/>
            <w:tcBorders>
              <w:top w:val="nil"/>
              <w:left w:val="nil"/>
              <w:bottom w:val="nil"/>
              <w:right w:val="nil"/>
              <w:tl2br w:val="nil"/>
              <w:tr2bl w:val="nil"/>
            </w:tcBorders>
            <w:noWrap/>
            <w:vAlign w:val="bottom"/>
          </w:tcPr>
          <w:p w:rsidR="009534E2" w:rsidRDefault="009534E2">
            <w:pPr>
              <w:keepNext/>
              <w:rPr>
                <w:color w:val="000000"/>
              </w:rPr>
            </w:pPr>
          </w:p>
        </w:tc>
        <w:tc>
          <w:tcPr>
            <w:tcW w:w="545"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593</w:t>
            </w:r>
          </w:p>
        </w:tc>
        <w:tc>
          <w:tcPr>
            <w:tcW w:w="116" w:type="pct"/>
            <w:tcBorders>
              <w:top w:val="nil"/>
              <w:left w:val="nil"/>
              <w:bottom w:val="nil"/>
              <w:right w:val="nil"/>
              <w:tl2br w:val="nil"/>
              <w:tr2bl w:val="nil"/>
            </w:tcBorders>
            <w:noWrap/>
            <w:vAlign w:val="bottom"/>
          </w:tcPr>
          <w:p w:rsidR="009534E2" w:rsidRDefault="009534E2">
            <w:pPr>
              <w:keepNext/>
              <w:rPr>
                <w:b/>
                <w:color w:val="000000"/>
              </w:rPr>
            </w:pPr>
          </w:p>
        </w:tc>
        <w:tc>
          <w:tcPr>
            <w:tcW w:w="545" w:type="pct"/>
            <w:tcBorders>
              <w:top w:val="nil"/>
              <w:left w:val="nil"/>
              <w:bottom w:val="single" w:color="000000" w:sz="4" w:space="0"/>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1,144</w:t>
            </w:r>
          </w:p>
        </w:tc>
      </w:tr>
      <w:tr w:rsidR="009534E2">
        <w:trPr>
          <w:jc w:val="center"/>
        </w:trPr>
        <w:tc>
          <w:tcPr>
            <w:tcW w:w="3677" w:type="pct"/>
            <w:tcBorders>
              <w:top w:val="nil"/>
              <w:left w:val="nil"/>
              <w:bottom w:val="nil"/>
              <w:right w:val="nil"/>
              <w:tl2br w:val="nil"/>
              <w:tr2bl w:val="nil"/>
            </w:tcBorders>
            <w:shd w:val="clear" w:color="auto" w:fill="CCEEFF"/>
            <w:vAlign w:val="bottom"/>
          </w:tcPr>
          <w:p w:rsidR="009534E2" w:rsidRDefault="003369EB">
            <w:pPr>
              <w:keepNext/>
              <w:rPr>
                <w:i/>
                <w:color w:val="000000"/>
              </w:rPr>
            </w:pPr>
            <w:bookmarkStart w:name="_6b95f005_08f1_4b51_91d1_29df94c3b951" w:id="2216"/>
            <w:bookmarkEnd w:id="2215"/>
            <w:r>
              <w:rPr>
                <w:rFonts w:ascii="Times New Roman" w:hAnsi="Times New Roman" w:eastAsia="Times New Roman" w:cs="Times New Roman"/>
                <w:i/>
                <w:color w:val="000000"/>
              </w:rPr>
              <w:t>Other non-financial assets</w:t>
            </w:r>
          </w:p>
        </w:tc>
        <w:tc>
          <w:tcPr>
            <w:tcW w:w="117"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545" w:type="pct"/>
            <w:tcBorders>
              <w:top w:val="nil"/>
              <w:left w:val="nil"/>
              <w:bottom w:val="nil"/>
              <w:right w:val="nil"/>
              <w:tl2br w:val="nil"/>
              <w:tr2bl w:val="nil"/>
            </w:tcBorders>
            <w:shd w:val="clear" w:color="auto" w:fill="CCEEFF"/>
            <w:noWrap/>
            <w:vAlign w:val="bottom"/>
          </w:tcPr>
          <w:p w:rsidR="009534E2" w:rsidRDefault="009534E2">
            <w:pPr>
              <w:keepNext/>
              <w:jc w:val="right"/>
              <w:rPr>
                <w:b/>
                <w:color w:val="000000"/>
              </w:rPr>
            </w:pPr>
          </w:p>
        </w:tc>
        <w:tc>
          <w:tcPr>
            <w:tcW w:w="116" w:type="pct"/>
            <w:tcBorders>
              <w:top w:val="nil"/>
              <w:left w:val="nil"/>
              <w:bottom w:val="nil"/>
              <w:right w:val="nil"/>
              <w:tl2br w:val="nil"/>
              <w:tr2bl w:val="nil"/>
            </w:tcBorders>
            <w:shd w:val="clear" w:color="auto" w:fill="CCEEFF"/>
            <w:noWrap/>
            <w:vAlign w:val="bottom"/>
          </w:tcPr>
          <w:p w:rsidR="009534E2" w:rsidRDefault="009534E2">
            <w:pPr>
              <w:keepNext/>
              <w:rPr>
                <w:b/>
                <w:color w:val="000000"/>
              </w:rPr>
            </w:pPr>
          </w:p>
        </w:tc>
        <w:tc>
          <w:tcPr>
            <w:tcW w:w="545" w:type="pct"/>
            <w:tcBorders>
              <w:top w:val="nil"/>
              <w:left w:val="nil"/>
              <w:bottom w:val="nil"/>
              <w:right w:val="nil"/>
              <w:tl2br w:val="nil"/>
              <w:tr2bl w:val="nil"/>
            </w:tcBorders>
            <w:shd w:val="clear" w:color="auto" w:fill="CCEEFF"/>
            <w:noWrap/>
            <w:vAlign w:val="bottom"/>
          </w:tcPr>
          <w:p w:rsidR="009534E2" w:rsidRDefault="009534E2">
            <w:pPr>
              <w:keepNext/>
              <w:jc w:val="right"/>
              <w:rPr>
                <w:b/>
                <w:color w:val="000000"/>
              </w:rPr>
            </w:pPr>
          </w:p>
        </w:tc>
      </w:tr>
      <w:tr w:rsidR="009534E2">
        <w:trPr>
          <w:jc w:val="center"/>
        </w:trPr>
        <w:tc>
          <w:tcPr>
            <w:tcW w:w="3677" w:type="pct"/>
            <w:tcBorders>
              <w:top w:val="nil"/>
              <w:left w:val="nil"/>
              <w:bottom w:val="nil"/>
              <w:right w:val="nil"/>
              <w:tl2br w:val="nil"/>
              <w:tr2bl w:val="nil"/>
            </w:tcBorders>
            <w:vAlign w:val="bottom"/>
          </w:tcPr>
          <w:p w:rsidR="009534E2" w:rsidRDefault="003369EB">
            <w:pPr>
              <w:keepNext/>
              <w:ind w:left="120"/>
              <w:rPr>
                <w:color w:val="000000"/>
              </w:rPr>
            </w:pPr>
            <w:bookmarkStart w:name="_b53ef2d4_3ec3_4451_90f7_2fe159aaf91d" w:id="2217"/>
            <w:bookmarkEnd w:id="2216"/>
            <w:r>
              <w:rPr>
                <w:rFonts w:ascii="Times New Roman" w:hAnsi="Times New Roman" w:eastAsia="Times New Roman" w:cs="Times New Roman"/>
                <w:color w:val="000000"/>
              </w:rPr>
              <w:t>Prepaid expenses</w:t>
            </w:r>
          </w:p>
        </w:tc>
        <w:tc>
          <w:tcPr>
            <w:tcW w:w="117"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353</w:t>
            </w:r>
          </w:p>
        </w:tc>
        <w:tc>
          <w:tcPr>
            <w:tcW w:w="116"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545"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191</w:t>
            </w:r>
          </w:p>
        </w:tc>
      </w:tr>
      <w:tr w:rsidR="009534E2">
        <w:trPr>
          <w:jc w:val="center"/>
        </w:trPr>
        <w:tc>
          <w:tcPr>
            <w:tcW w:w="3677" w:type="pct"/>
            <w:tcBorders>
              <w:top w:val="nil"/>
              <w:left w:val="nil"/>
              <w:bottom w:val="nil"/>
              <w:right w:val="nil"/>
              <w:tl2br w:val="nil"/>
              <w:tr2bl w:val="nil"/>
            </w:tcBorders>
            <w:shd w:val="clear" w:color="auto" w:fill="CCEEFF"/>
            <w:vAlign w:val="bottom"/>
          </w:tcPr>
          <w:p w:rsidR="009534E2" w:rsidRDefault="003369EB">
            <w:pPr>
              <w:keepNext/>
              <w:ind w:left="120"/>
              <w:rPr>
                <w:color w:val="000000"/>
              </w:rPr>
            </w:pPr>
            <w:bookmarkStart w:name="_e0f3f3e5_0d6f_480f_ba66_3a2c777272fe" w:id="2218"/>
            <w:bookmarkEnd w:id="2217"/>
            <w:r>
              <w:rPr>
                <w:rFonts w:ascii="Times New Roman" w:hAnsi="Times New Roman" w:eastAsia="Times New Roman" w:cs="Times New Roman"/>
                <w:color w:val="000000"/>
              </w:rPr>
              <w:t>Costs of obtaining a contract</w:t>
            </w:r>
          </w:p>
        </w:tc>
        <w:tc>
          <w:tcPr>
            <w:tcW w:w="117"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5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273</w:t>
            </w:r>
          </w:p>
        </w:tc>
        <w:tc>
          <w:tcPr>
            <w:tcW w:w="116"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5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455</w:t>
            </w:r>
          </w:p>
        </w:tc>
      </w:tr>
      <w:tr w:rsidR="009534E2">
        <w:trPr>
          <w:jc w:val="center"/>
        </w:trPr>
        <w:tc>
          <w:tcPr>
            <w:tcW w:w="3677" w:type="pct"/>
            <w:tcBorders>
              <w:top w:val="nil"/>
              <w:left w:val="nil"/>
              <w:bottom w:val="nil"/>
              <w:right w:val="nil"/>
              <w:tl2br w:val="nil"/>
              <w:tr2bl w:val="nil"/>
            </w:tcBorders>
            <w:vAlign w:val="bottom"/>
          </w:tcPr>
          <w:p w:rsidR="009534E2" w:rsidRDefault="003369EB">
            <w:pPr>
              <w:keepNext/>
              <w:ind w:left="120"/>
              <w:rPr>
                <w:color w:val="000000"/>
              </w:rPr>
            </w:pPr>
            <w:bookmarkStart w:name="_f1aeae25_9561_4ffc_b729_c7927d0a2143" w:id="2219"/>
            <w:bookmarkEnd w:id="2218"/>
            <w:r>
              <w:rPr>
                <w:rFonts w:ascii="Times New Roman" w:hAnsi="Times New Roman" w:eastAsia="Times New Roman" w:cs="Times New Roman"/>
                <w:color w:val="000000"/>
              </w:rPr>
              <w:t>Other</w:t>
            </w:r>
          </w:p>
        </w:tc>
        <w:tc>
          <w:tcPr>
            <w:tcW w:w="117"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43</w:t>
            </w:r>
          </w:p>
        </w:tc>
        <w:tc>
          <w:tcPr>
            <w:tcW w:w="116"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545"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169</w:t>
            </w:r>
          </w:p>
        </w:tc>
      </w:tr>
      <w:tr w:rsidR="009534E2">
        <w:trPr>
          <w:jc w:val="center"/>
        </w:trPr>
        <w:tc>
          <w:tcPr>
            <w:tcW w:w="3677" w:type="pct"/>
            <w:tcBorders>
              <w:top w:val="nil"/>
              <w:left w:val="nil"/>
              <w:bottom w:val="nil"/>
              <w:right w:val="nil"/>
              <w:tl2br w:val="nil"/>
              <w:tr2bl w:val="nil"/>
            </w:tcBorders>
            <w:shd w:val="clear" w:color="auto" w:fill="CCEEFF"/>
            <w:vAlign w:val="bottom"/>
          </w:tcPr>
          <w:p w:rsidR="009534E2" w:rsidRDefault="003369EB">
            <w:pPr>
              <w:keepNext/>
              <w:rPr>
                <w:b/>
                <w:color w:val="000000"/>
              </w:rPr>
            </w:pPr>
            <w:bookmarkStart w:name="_0dab8a53_c6be_4f1a_85d5_26ddde8a3b2b" w:id="2220"/>
            <w:bookmarkEnd w:id="2219"/>
            <w:r>
              <w:rPr>
                <w:rFonts w:ascii="Times New Roman" w:hAnsi="Times New Roman" w:eastAsia="Times New Roman" w:cs="Times New Roman"/>
                <w:b/>
                <w:color w:val="000000"/>
              </w:rPr>
              <w:t>Total other current assets</w:t>
            </w:r>
          </w:p>
        </w:tc>
        <w:tc>
          <w:tcPr>
            <w:tcW w:w="117"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1,262</w:t>
            </w:r>
          </w:p>
        </w:tc>
        <w:tc>
          <w:tcPr>
            <w:tcW w:w="116"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545"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1,959</w:t>
            </w:r>
          </w:p>
        </w:tc>
      </w:tr>
    </w:tbl>
    <w:bookmarkEnd w:id="2206"/>
    <w:bookmarkEnd w:id="2220"/>
    <w:p w:rsidR="009534E2" w:rsidRDefault="00EC0AE1">
      <w:pPr>
        <w:rPr>
          <w:rFonts w:eastAsia="Times New Roman" w:asciiTheme="majorHAnsi" w:hAnsiTheme="majorHAnsi" w:cstheme="majorHAnsi"/>
          <w:u w:val="single"/>
        </w:rPr>
      </w:pPr>
      <w:r>
        <w:rPr>
          <w:rFonts w:eastAsia="Times New Roman" w:asciiTheme="majorHAnsi" w:hAnsiTheme="majorHAnsi" w:cstheme="majorHAnsi"/>
          <w:sz w:val="8"/>
          <w:szCs w:val="8"/>
          <w:lang w:eastAsia="ru-RU"/>
        </w:rPr>
        <w:pict w14:anchorId="4B5A72BD">
          <v:rect id="_x0000_i1050" style="width:135pt;height:1pt" o:hr="t" o:hrstd="t" o:hrnoshade="t" o:hrpct="250" fillcolor="black" stroked="f"/>
        </w:pict>
      </w:r>
    </w:p>
    <w:p w:rsidR="009534E2" w:rsidRDefault="003369EB">
      <w:pPr>
        <w:pStyle w:val="BodyText"/>
        <w:numPr>
          <w:ilvl w:val="0"/>
          <w:numId w:val="24"/>
        </w:numPr>
        <w:tabs>
          <w:tab w:val="left" w:pos="360"/>
        </w:tabs>
        <w:ind w:left="360"/>
        <w:rPr>
          <w:rFonts w:eastAsia="Times New Roman" w:asciiTheme="majorHAnsi" w:hAnsiTheme="majorHAnsi" w:cstheme="majorHAnsi"/>
          <w:lang w:eastAsia="ru-RU"/>
        </w:rPr>
      </w:pPr>
      <w:r>
        <w:rPr>
          <w:rFonts w:eastAsia="Times New Roman" w:asciiTheme="majorHAnsi" w:hAnsiTheme="majorHAnsi" w:cstheme="majorHAnsi"/>
          <w:i/>
          <w:iCs/>
          <w:lang w:eastAsia="ru-RU"/>
        </w:rPr>
        <w:t>Banks are currently required to p</w:t>
      </w:r>
      <w:r w:rsidR="000C5197">
        <w:rPr>
          <w:rFonts w:eastAsia="Times New Roman" w:asciiTheme="majorHAnsi" w:hAnsiTheme="majorHAnsi" w:cstheme="majorHAnsi"/>
          <w:i/>
          <w:iCs/>
          <w:lang w:eastAsia="ru-RU"/>
        </w:rPr>
        <w:t>lace</w:t>
      </w:r>
      <w:r>
        <w:rPr>
          <w:rFonts w:eastAsia="Times New Roman" w:asciiTheme="majorHAnsi" w:hAnsiTheme="majorHAnsi" w:cstheme="majorHAnsi"/>
          <w:i/>
          <w:iCs/>
          <w:lang w:eastAsia="ru-RU"/>
        </w:rPr>
        <w:t xml:space="preserve"> mandatory reserves with the CBR to be held in non-interest bearing accounts. Such mandatory reserves are established by the CBR for liabilities in RUR and in foreign currency according to its monetary policy. The amount is excluded from cash and cash equivalents for the purposes of the consolidated statement of cash flows and does not have a repayment date</w:t>
      </w:r>
      <w:r>
        <w:rPr>
          <w:rFonts w:eastAsia="Times New Roman" w:asciiTheme="majorHAnsi" w:hAnsiTheme="majorHAnsi" w:cstheme="majorHAnsi"/>
          <w:lang w:eastAsia="ru-RU"/>
        </w:rPr>
        <w:t>.</w:t>
      </w:r>
    </w:p>
    <w:bookmarkEnd w:id="2197"/>
    <w:p w:rsidR="009534E2" w:rsidRDefault="003369EB">
      <w:pPr>
        <w:pStyle w:val="BodyText"/>
        <w:tabs>
          <w:tab w:val="left" w:pos="360"/>
        </w:tabs>
        <w:ind w:left="360" w:hanging="360"/>
        <w:rPr>
          <w:rFonts w:eastAsia="Times New Roman" w:asciiTheme="majorHAnsi" w:hAnsiTheme="majorHAnsi" w:cstheme="majorHAnsi"/>
          <w:highlight w:val="yellow"/>
          <w:lang w:eastAsia="ru-RU"/>
        </w:rPr>
      </w:pPr>
      <w:r>
        <w:rPr>
          <w:rFonts w:eastAsia="Times New Roman" w:asciiTheme="majorHAnsi" w:hAnsiTheme="majorHAnsi" w:cstheme="majorHAnsi"/>
          <w:lang w:eastAsia="ru-RU"/>
        </w:rPr>
        <w:t>The Group has no internal grading system of other current financial assets for credit risk rating grades analysis.</w:t>
      </w:r>
    </w:p>
    <w:p w:rsidR="009534E2" w:rsidRDefault="003369EB">
      <w:pPr>
        <w:pStyle w:val="BodyText"/>
        <w:tabs>
          <w:tab w:val="left" w:pos="0"/>
        </w:tabs>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As of December 31, 2022, cash with banks in the amount of </w:t>
      </w:r>
      <w:bookmarkStart w:name="_b57d505c_c618_493a_8958_e9d0a9abe466" w:id="2221"/>
      <w:r>
        <w:rPr>
          <w:rFonts w:eastAsia="Times New Roman" w:asciiTheme="majorHAnsi" w:hAnsiTheme="majorHAnsi" w:cstheme="majorHAnsi"/>
          <w:lang w:eastAsia="ru-RU"/>
        </w:rPr>
        <w:t>2,015</w:t>
      </w:r>
      <w:bookmarkEnd w:id="2221"/>
      <w:r>
        <w:rPr>
          <w:rFonts w:eastAsia="Times New Roman" w:asciiTheme="majorHAnsi" w:hAnsiTheme="majorHAnsi" w:cstheme="majorHAnsi"/>
          <w:lang w:eastAsia="ru-RU"/>
        </w:rPr>
        <w:t xml:space="preserve"> was restricted due to the sanctions imposed on those banks and </w:t>
      </w:r>
      <w:r w:rsidR="000C5197">
        <w:rPr>
          <w:rFonts w:eastAsia="Times New Roman" w:asciiTheme="majorHAnsi" w:hAnsiTheme="majorHAnsi" w:cstheme="majorHAnsi"/>
          <w:lang w:eastAsia="ru-RU"/>
        </w:rPr>
        <w:t>certain</w:t>
      </w:r>
      <w:r>
        <w:rPr>
          <w:rFonts w:eastAsia="Times New Roman" w:asciiTheme="majorHAnsi" w:hAnsiTheme="majorHAnsi" w:cstheme="majorHAnsi"/>
          <w:lang w:eastAsia="ru-RU"/>
        </w:rPr>
        <w:t xml:space="preserve"> other restrictions. Restricted cash accounts and </w:t>
      </w:r>
      <w:r w:rsidR="000C5197">
        <w:rPr>
          <w:rFonts w:eastAsia="Times New Roman" w:asciiTheme="majorHAnsi" w:hAnsiTheme="majorHAnsi" w:cstheme="majorHAnsi"/>
          <w:lang w:eastAsia="ru-RU"/>
        </w:rPr>
        <w:t xml:space="preserve">the </w:t>
      </w:r>
      <w:r>
        <w:rPr>
          <w:rFonts w:eastAsia="Times New Roman" w:asciiTheme="majorHAnsi" w:hAnsiTheme="majorHAnsi" w:cstheme="majorHAnsi"/>
          <w:lang w:eastAsia="ru-RU"/>
        </w:rPr>
        <w:t xml:space="preserve">related ECL allowance in the amount of </w:t>
      </w:r>
      <w:bookmarkStart w:name="_08281925_6b3b_4478_9bdf_22a72f5c1170" w:id="2222"/>
      <w:r>
        <w:rPr>
          <w:rFonts w:eastAsia="Times New Roman" w:asciiTheme="majorHAnsi" w:hAnsiTheme="majorHAnsi" w:cstheme="majorHAnsi"/>
          <w:lang w:eastAsia="ru-RU"/>
        </w:rPr>
        <w:t>1,404</w:t>
      </w:r>
      <w:bookmarkEnd w:id="2222"/>
      <w:r>
        <w:rPr>
          <w:rFonts w:eastAsia="Times New Roman" w:asciiTheme="majorHAnsi" w:hAnsiTheme="majorHAnsi" w:cstheme="majorHAnsi"/>
          <w:lang w:eastAsia="ru-RU"/>
        </w:rPr>
        <w:t xml:space="preserve"> fall under stage 3 of impairment. ECL for the restricted cash balances was assessed as </w:t>
      </w:r>
      <w:r w:rsidR="000C5197">
        <w:rPr>
          <w:rFonts w:eastAsia="Times New Roman" w:asciiTheme="majorHAnsi" w:hAnsiTheme="majorHAnsi" w:cstheme="majorHAnsi"/>
          <w:lang w:eastAsia="ru-RU"/>
        </w:rPr>
        <w:t xml:space="preserve">a </w:t>
      </w:r>
      <w:r>
        <w:rPr>
          <w:rFonts w:eastAsia="Times New Roman" w:asciiTheme="majorHAnsi" w:hAnsiTheme="majorHAnsi" w:cstheme="majorHAnsi"/>
          <w:lang w:eastAsia="ru-RU"/>
        </w:rPr>
        <w:t xml:space="preserve">probability weighted </w:t>
      </w:r>
      <w:r w:rsidR="000C5197">
        <w:rPr>
          <w:rFonts w:eastAsia="Times New Roman" w:asciiTheme="majorHAnsi" w:hAnsiTheme="majorHAnsi" w:cstheme="majorHAnsi"/>
          <w:lang w:eastAsia="ru-RU"/>
        </w:rPr>
        <w:t>outcome</w:t>
      </w:r>
      <w:r>
        <w:rPr>
          <w:rFonts w:eastAsia="Times New Roman" w:asciiTheme="majorHAnsi" w:hAnsiTheme="majorHAnsi" w:cstheme="majorHAnsi"/>
          <w:lang w:eastAsia="ru-RU"/>
        </w:rPr>
        <w:t xml:space="preserve"> of three possible scenarios.</w:t>
      </w:r>
    </w:p>
    <w:bookmarkEnd w:id="2198"/>
    <w:bookmarkEnd w:id="2199"/>
    <w:p w:rsidR="009534E2" w:rsidRDefault="003369EB">
      <w:pPr>
        <w:keepNext/>
        <w:keepLines/>
        <w:spacing w:after="200"/>
        <w:ind w:left="562" w:hanging="562"/>
        <w:outlineLvl w:val="0"/>
        <w:rPr>
          <w:rFonts w:eastAsia="Times New Roman" w:asciiTheme="majorHAnsi" w:hAnsiTheme="majorHAnsi" w:cstheme="majorHAnsi"/>
          <w:b/>
          <w:bCs/>
          <w:szCs w:val="32"/>
          <w:lang w:eastAsia="ru-RU"/>
        </w:rPr>
      </w:pPr>
      <w:r>
        <w:rPr>
          <w:rFonts w:eastAsia="Times New Roman" w:asciiTheme="majorHAnsi" w:hAnsiTheme="majorHAnsi" w:cstheme="majorHAnsi"/>
          <w:b/>
          <w:bCs/>
          <w:szCs w:val="32"/>
          <w:lang w:eastAsia="ru-RU"/>
        </w:rPr>
        <w:t>16.2</w:t>
      </w:r>
      <w:r>
        <w:rPr>
          <w:rFonts w:eastAsia="Times New Roman" w:asciiTheme="majorHAnsi" w:hAnsiTheme="majorHAnsi" w:cstheme="majorHAnsi"/>
          <w:b/>
          <w:bCs/>
          <w:szCs w:val="32"/>
          <w:lang w:eastAsia="ru-RU"/>
        </w:rPr>
        <w:tab/>
        <w:t>Other current liabilities</w:t>
      </w:r>
    </w:p>
    <w:p w:rsidR="009534E2" w:rsidRDefault="003369EB">
      <w:pPr>
        <w:pStyle w:val="BodyText"/>
        <w:keepNext/>
        <w:spacing w:after="0"/>
        <w:ind w:left="360" w:hanging="360"/>
        <w:rPr>
          <w:rFonts w:eastAsia="Times New Roman" w:asciiTheme="majorHAnsi" w:hAnsiTheme="majorHAnsi" w:cstheme="majorHAnsi"/>
        </w:rPr>
      </w:pPr>
      <w:r>
        <w:rPr>
          <w:rFonts w:eastAsia="Times New Roman" w:asciiTheme="majorHAnsi" w:hAnsiTheme="majorHAnsi" w:cstheme="majorHAnsi"/>
        </w:rPr>
        <w:t>As of December 31, 2022 and 2021, other current liabilities consisted of the following:</w:t>
      </w:r>
    </w:p>
    <w:p w:rsidR="009534E2" w:rsidRDefault="009534E2">
      <w:pPr>
        <w:pStyle w:val="BodyText"/>
        <w:keepNext/>
        <w:spacing w:after="0"/>
        <w:ind w:left="360" w:hanging="360"/>
        <w:rPr>
          <w:rFonts w:eastAsia="Times New Roman" w:asciiTheme="majorHAnsi" w:hAnsiTheme="majorHAnsi" w:cstheme="majorHAnsi"/>
        </w:rPr>
      </w:pPr>
      <w:bookmarkStart w:name="_7c3d466d_2e28_4d74_9a72_d74ffc0a3b67" w:id="2223"/>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2"/>
        <w:gridCol w:w="253"/>
        <w:gridCol w:w="1177"/>
        <w:gridCol w:w="251"/>
        <w:gridCol w:w="1177"/>
      </w:tblGrid>
      <w:tr w:rsidR="009534E2">
        <w:trPr>
          <w:trHeight w:val="20" w:hRule="exact"/>
          <w:jc w:val="center"/>
        </w:trPr>
        <w:tc>
          <w:tcPr>
            <w:tcW w:w="3677"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5dd234ef_460e_4447_b415_6bfbd988955a" w:colFirst="0" w:colLast="0" w:id="2224"/>
            <w:bookmarkStart w:name="_a78ac5da_2a31_4680_9120_3bf2c10810ad" w:colFirst="1" w:colLast="1" w:id="2225"/>
            <w:bookmarkStart w:name="_885f2c51_0efc_463c_a260_c6bdc7d182ad" w:colFirst="2" w:colLast="2" w:id="2226"/>
            <w:bookmarkStart w:name="_bda07ce7_f840_4df7_9455_243f490fc235" w:colFirst="3" w:colLast="3" w:id="2227"/>
            <w:bookmarkStart w:name="_fa40d535_84a5_462b_8fae_4e73b3cc1083" w:colFirst="4" w:colLast="4" w:id="2228"/>
            <w:bookmarkStart w:name="_ba2dbcec_a669_4cdb_8c65_07d336e66bc5" w:id="2229"/>
          </w:p>
        </w:tc>
        <w:tc>
          <w:tcPr>
            <w:tcW w:w="11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45"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11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45"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9534E2">
        <w:trPr>
          <w:jc w:val="center"/>
        </w:trPr>
        <w:tc>
          <w:tcPr>
            <w:tcW w:w="3677"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9f7ea658_ab71_4efe_9d7b_d22c091eeb1a" w:id="2230"/>
            <w:bookmarkEnd w:id="2224"/>
            <w:bookmarkEnd w:id="2225"/>
            <w:bookmarkEnd w:id="2226"/>
            <w:bookmarkEnd w:id="2227"/>
            <w:bookmarkEnd w:id="2228"/>
          </w:p>
        </w:tc>
        <w:tc>
          <w:tcPr>
            <w:tcW w:w="117"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c>
          <w:tcPr>
            <w:tcW w:w="116"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r>
      <w:tr w:rsidR="009534E2">
        <w:trPr>
          <w:jc w:val="center"/>
        </w:trPr>
        <w:tc>
          <w:tcPr>
            <w:tcW w:w="3677"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9e1a82a6_d34e_49c5_80e5_344657eca7a2" w:id="2231"/>
            <w:bookmarkEnd w:id="2230"/>
          </w:p>
        </w:tc>
        <w:tc>
          <w:tcPr>
            <w:tcW w:w="117"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54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w:t>
            </w:r>
          </w:p>
        </w:tc>
        <w:tc>
          <w:tcPr>
            <w:tcW w:w="116"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54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w:t>
            </w:r>
          </w:p>
        </w:tc>
      </w:tr>
      <w:tr w:rsidR="009534E2">
        <w:trPr>
          <w:jc w:val="center"/>
        </w:trPr>
        <w:tc>
          <w:tcPr>
            <w:tcW w:w="3677"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20a3d6ff_2a92_4ceb_bdc6_a1f77bc4ab5d" w:id="2232"/>
            <w:bookmarkEnd w:id="2231"/>
          </w:p>
        </w:tc>
        <w:tc>
          <w:tcPr>
            <w:tcW w:w="117"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16"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677"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77f03c71_2168_434c_b861_0da40263156b" w:id="2233"/>
            <w:bookmarkEnd w:id="2232"/>
            <w:r>
              <w:rPr>
                <w:rFonts w:eastAsia="Times New Roman" w:asciiTheme="majorHAnsi" w:hAnsiTheme="majorHAnsi" w:cstheme="majorHAnsi"/>
                <w:color w:val="000000"/>
              </w:rPr>
              <w:t>Contract liability related to guarantees issued</w:t>
            </w:r>
          </w:p>
        </w:tc>
        <w:tc>
          <w:tcPr>
            <w:tcW w:w="11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1,185</w:t>
            </w:r>
          </w:p>
        </w:tc>
        <w:tc>
          <w:tcPr>
            <w:tcW w:w="116"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1,157</w:t>
            </w:r>
          </w:p>
        </w:tc>
      </w:tr>
      <w:tr w:rsidR="009534E2">
        <w:trPr>
          <w:jc w:val="center"/>
        </w:trPr>
        <w:tc>
          <w:tcPr>
            <w:tcW w:w="3677"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717b0127_86d1_46f3_92ce_8245ec44ef2e" w:id="2234"/>
            <w:bookmarkEnd w:id="2233"/>
            <w:r>
              <w:rPr>
                <w:rFonts w:eastAsia="Times New Roman" w:asciiTheme="majorHAnsi" w:hAnsiTheme="majorHAnsi" w:cstheme="majorHAnsi"/>
                <w:color w:val="000000"/>
              </w:rPr>
              <w:t>Deferred income</w:t>
            </w:r>
          </w:p>
        </w:tc>
        <w:tc>
          <w:tcPr>
            <w:tcW w:w="117"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545"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138</w:t>
            </w:r>
          </w:p>
        </w:tc>
        <w:tc>
          <w:tcPr>
            <w:tcW w:w="116"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545"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131</w:t>
            </w:r>
          </w:p>
        </w:tc>
      </w:tr>
      <w:tr w:rsidR="009534E2">
        <w:trPr>
          <w:jc w:val="center"/>
        </w:trPr>
        <w:tc>
          <w:tcPr>
            <w:tcW w:w="3677"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86d0e93b_dc78_49f3_8572_9f3a2c00ee06" w:id="2235"/>
            <w:bookmarkEnd w:id="2234"/>
            <w:r>
              <w:rPr>
                <w:rFonts w:eastAsia="Times New Roman" w:asciiTheme="majorHAnsi" w:hAnsiTheme="majorHAnsi" w:cstheme="majorHAnsi"/>
                <w:color w:val="000000"/>
              </w:rPr>
              <w:t>Income tax payable</w:t>
            </w:r>
          </w:p>
        </w:tc>
        <w:tc>
          <w:tcPr>
            <w:tcW w:w="11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22</w:t>
            </w:r>
          </w:p>
        </w:tc>
        <w:tc>
          <w:tcPr>
            <w:tcW w:w="116"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166</w:t>
            </w:r>
          </w:p>
        </w:tc>
      </w:tr>
      <w:tr w:rsidR="009534E2">
        <w:trPr>
          <w:jc w:val="center"/>
        </w:trPr>
        <w:tc>
          <w:tcPr>
            <w:tcW w:w="3677"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35a94482_dec2_4bfa_b408_b50e8b883564" w:id="2236"/>
            <w:bookmarkEnd w:id="2235"/>
            <w:r>
              <w:rPr>
                <w:rFonts w:eastAsia="Times New Roman" w:asciiTheme="majorHAnsi" w:hAnsiTheme="majorHAnsi" w:cstheme="majorHAnsi"/>
                <w:color w:val="000000"/>
              </w:rPr>
              <w:t>Other</w:t>
            </w:r>
          </w:p>
        </w:tc>
        <w:tc>
          <w:tcPr>
            <w:tcW w:w="11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545"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w:t>
            </w:r>
          </w:p>
        </w:tc>
        <w:tc>
          <w:tcPr>
            <w:tcW w:w="116"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67</w:t>
            </w:r>
          </w:p>
        </w:tc>
      </w:tr>
      <w:tr w:rsidR="009534E2">
        <w:trPr>
          <w:jc w:val="center"/>
        </w:trPr>
        <w:tc>
          <w:tcPr>
            <w:tcW w:w="367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b/>
                <w:color w:val="000000"/>
              </w:rPr>
            </w:pPr>
            <w:bookmarkStart w:name="_b29bc0ec_949e_476d_b136_9a6c7c04b504" w:id="2237"/>
            <w:bookmarkEnd w:id="2236"/>
            <w:r>
              <w:rPr>
                <w:rFonts w:eastAsia="Times New Roman" w:asciiTheme="majorHAnsi" w:hAnsiTheme="majorHAnsi" w:cstheme="majorHAnsi"/>
                <w:b/>
                <w:color w:val="000000"/>
              </w:rPr>
              <w:t>Total other current liabilities</w:t>
            </w:r>
          </w:p>
        </w:tc>
        <w:tc>
          <w:tcPr>
            <w:tcW w:w="117"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545"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1,358</w:t>
            </w:r>
          </w:p>
        </w:tc>
        <w:tc>
          <w:tcPr>
            <w:tcW w:w="116"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b/>
                <w:color w:val="000000"/>
              </w:rPr>
            </w:pPr>
          </w:p>
        </w:tc>
        <w:tc>
          <w:tcPr>
            <w:tcW w:w="545"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1,521</w:t>
            </w:r>
          </w:p>
        </w:tc>
      </w:tr>
    </w:tbl>
    <w:p w:rsidR="009534E2" w:rsidRDefault="00EC0AE1">
      <w:pPr>
        <w:pStyle w:val="BodyText"/>
        <w:suppressAutoHyphens/>
        <w:spacing w:after="0"/>
        <w:ind w:left="360" w:hanging="360"/>
        <w:rPr>
          <w:rFonts w:eastAsia="Times New Roman"/>
          <w:sz w:val="2"/>
        </w:rPr>
      </w:pPr>
    </w:p>
    <w:bookmarkEnd w:displacedByCustomXml="next" w:id="2237"/>
    <w:bookmarkEnd w:displacedByCustomXml="next" w:id="2229"/>
    <w:bookmarkEnd w:displacedByCustomXml="next" w:id="2223"/>
    <w:p w:rsidR="009534E2" w:rsidRDefault="009534E2">
      <w:pPr>
        <w:pStyle w:val="BodyText"/>
        <w:suppressAutoHyphens/>
        <w:spacing w:after="0"/>
        <w:ind w:left="360" w:hanging="360"/>
        <w:rPr>
          <w:rFonts w:eastAsia="Times New Roman"/>
          <w:sz w:val="2"/>
        </w:rPr>
      </w:pPr>
    </w:p>
    <w:p w:rsidR="009534E2" w:rsidRDefault="003369EB">
      <w:pPr>
        <w:rPr>
          <w:rFonts w:eastAsia="Times New Roman"/>
          <w:sz w:val="2"/>
        </w:rPr>
      </w:pPr>
      <w:r>
        <w:rPr>
          <w:rFonts w:eastAsia="Times New Roman"/>
          <w:sz w:val="2"/>
        </w:rPr>
        <w:br w:type="page"/>
      </w:r>
    </w:p>
    <w:p w:rsidR="009534E2" w:rsidRDefault="003369EB">
      <w:pPr>
        <w:pStyle w:val="BodyText"/>
        <w:keepNext/>
        <w:keepLines/>
        <w:suppressAutoHyphens/>
        <w:ind w:left="360" w:hanging="360"/>
        <w:rPr>
          <w:rFonts w:eastAsia="Times New Roman"/>
          <w:b/>
          <w:bCs/>
        </w:rPr>
      </w:pPr>
      <w:r>
        <w:rPr>
          <w:rFonts w:eastAsia="Times New Roman"/>
          <w:b/>
          <w:bCs/>
        </w:rPr>
        <w:t>17.</w:t>
      </w:r>
      <w:r>
        <w:rPr>
          <w:rFonts w:eastAsia="Times New Roman"/>
          <w:b/>
          <w:bCs/>
        </w:rPr>
        <w:tab/>
        <w:t>Investments in associates</w:t>
      </w:r>
    </w:p>
    <w:p w:rsidR="009534E2" w:rsidRDefault="003369EB">
      <w:pPr>
        <w:pStyle w:val="BodyText"/>
        <w:keepNext/>
        <w:suppressAutoHyphens/>
        <w:spacing w:after="0"/>
        <w:ind w:left="360" w:hanging="360"/>
        <w:rPr>
          <w:rFonts w:eastAsia="Times New Roman"/>
        </w:rPr>
      </w:pPr>
      <w:r>
        <w:rPr>
          <w:rFonts w:eastAsia="Times New Roman"/>
        </w:rPr>
        <w:t>The following table illustrates the summarized financial information of the Group’s investment in associates:</w:t>
      </w:r>
    </w:p>
    <w:p w:rsidR="009534E2" w:rsidRDefault="009534E2">
      <w:pPr>
        <w:pStyle w:val="BodyText"/>
        <w:keepNext/>
        <w:suppressAutoHyphens/>
        <w:spacing w:after="0"/>
        <w:ind w:left="360" w:hanging="360"/>
        <w:rPr>
          <w:rFonts w:eastAsia="Times New Roma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338"/>
        <w:gridCol w:w="296"/>
        <w:gridCol w:w="1166"/>
      </w:tblGrid>
      <w:tr w:rsidR="009534E2" w:rsidTr="00641503">
        <w:trPr>
          <w:trHeight w:val="20" w:hRule="exact"/>
        </w:trPr>
        <w:tc>
          <w:tcPr>
            <w:tcW w:w="4323" w:type="pct"/>
            <w:tcBorders>
              <w:top w:val="nil"/>
              <w:left w:val="nil"/>
              <w:bottom w:val="nil"/>
              <w:right w:val="nil"/>
            </w:tcBorders>
            <w:vAlign w:val="bottom"/>
          </w:tcPr>
          <w:p w:rsidR="009534E2" w:rsidRDefault="009534E2">
            <w:pPr>
              <w:keepNext/>
              <w:spacing w:after="1"/>
              <w:rPr>
                <w:sz w:val="2"/>
              </w:rPr>
            </w:pPr>
            <w:bookmarkStart w:name="_a31c272e_9a05_4d8e_837e_824ef60f1995" w:colFirst="0" w:colLast="0" w:id="2238"/>
            <w:bookmarkStart w:name="_8c3f420d_0b4c_445f_b6e3_9641b369d850" w:colFirst="1" w:colLast="1" w:id="2239"/>
            <w:bookmarkStart w:name="_10d28e0b_1780_4f49_96aa_18c5d1853137" w:colFirst="2" w:colLast="2" w:id="2240"/>
            <w:bookmarkStart w:name="_f8f1ab0e_9faa_4717_bd18_0cf528199042" w:id="2241"/>
          </w:p>
        </w:tc>
        <w:tc>
          <w:tcPr>
            <w:tcW w:w="137" w:type="pct"/>
            <w:tcBorders>
              <w:top w:val="nil"/>
              <w:left w:val="nil"/>
              <w:bottom w:val="nil"/>
              <w:right w:val="nil"/>
            </w:tcBorders>
            <w:noWrap/>
            <w:vAlign w:val="bottom"/>
          </w:tcPr>
          <w:p w:rsidR="009534E2" w:rsidRDefault="009534E2">
            <w:pPr>
              <w:keepNext/>
              <w:spacing w:after="1"/>
              <w:rPr>
                <w:sz w:val="2"/>
              </w:rPr>
            </w:pPr>
          </w:p>
        </w:tc>
        <w:tc>
          <w:tcPr>
            <w:tcW w:w="540" w:type="pct"/>
            <w:tcBorders>
              <w:top w:val="nil"/>
              <w:left w:val="nil"/>
              <w:bottom w:val="nil"/>
              <w:right w:val="nil"/>
            </w:tcBorders>
            <w:noWrap/>
            <w:vAlign w:val="bottom"/>
          </w:tcPr>
          <w:p w:rsidR="009534E2" w:rsidRDefault="009534E2">
            <w:pPr>
              <w:keepNext/>
              <w:spacing w:after="1"/>
              <w:rPr>
                <w:sz w:val="2"/>
              </w:rPr>
            </w:pPr>
          </w:p>
        </w:tc>
      </w:tr>
      <w:tr w:rsidR="009534E2" w:rsidTr="00641503">
        <w:tc>
          <w:tcPr>
            <w:tcW w:w="4323" w:type="pct"/>
            <w:tcBorders>
              <w:top w:val="nil"/>
              <w:left w:val="nil"/>
              <w:bottom w:val="nil"/>
              <w:right w:val="nil"/>
              <w:tl2br w:val="nil"/>
              <w:tr2bl w:val="nil"/>
            </w:tcBorders>
            <w:shd w:val="clear" w:color="auto" w:fill="auto"/>
            <w:vAlign w:val="bottom"/>
          </w:tcPr>
          <w:p w:rsidR="009534E2" w:rsidRDefault="009534E2">
            <w:pPr>
              <w:spacing w:after="1"/>
              <w:rPr>
                <w:b/>
                <w:color w:val="000000"/>
                <w:sz w:val="16"/>
              </w:rPr>
            </w:pPr>
            <w:bookmarkStart w:name="_c752ac71_8ae1_446d_a41f_75db00f4d7a7" w:id="2242"/>
            <w:bookmarkStart w:name="_4d43972e_dde8_4e6f_b118_37c9971a6ef2" w:id="2243"/>
            <w:bookmarkEnd w:id="2238"/>
            <w:bookmarkEnd w:id="2239"/>
            <w:bookmarkEnd w:id="2240"/>
          </w:p>
        </w:tc>
        <w:tc>
          <w:tcPr>
            <w:tcW w:w="137" w:type="pct"/>
            <w:tcBorders>
              <w:top w:val="nil"/>
              <w:left w:val="nil"/>
              <w:bottom w:val="nil"/>
              <w:right w:val="nil"/>
              <w:tl2br w:val="nil"/>
              <w:tr2bl w:val="nil"/>
            </w:tcBorders>
            <w:shd w:val="clear" w:color="auto" w:fill="auto"/>
            <w:noWrap/>
            <w:vAlign w:val="bottom"/>
          </w:tcPr>
          <w:p w:rsidR="009534E2" w:rsidRDefault="003369EB">
            <w:pPr>
              <w:spacing w:after="1"/>
              <w:rPr>
                <w:b/>
                <w:color w:val="000000"/>
                <w:sz w:val="16"/>
              </w:rPr>
            </w:pPr>
            <w:r>
              <w:rPr>
                <w:rFonts w:ascii="Times New Roman" w:hAnsi="Times New Roman" w:eastAsia="Times New Roman" w:cs="Times New Roman"/>
                <w:b/>
                <w:color w:val="000000"/>
                <w:sz w:val="16"/>
              </w:rPr>
              <w:t>    </w:t>
            </w:r>
          </w:p>
        </w:tc>
        <w:tc>
          <w:tcPr>
            <w:tcW w:w="540"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As of</w:t>
            </w:r>
          </w:p>
        </w:tc>
      </w:tr>
      <w:tr w:rsidR="009534E2" w:rsidTr="00641503">
        <w:tc>
          <w:tcPr>
            <w:tcW w:w="4323" w:type="pct"/>
            <w:tcBorders>
              <w:top w:val="nil"/>
              <w:left w:val="nil"/>
              <w:bottom w:val="nil"/>
              <w:right w:val="nil"/>
              <w:tl2br w:val="nil"/>
              <w:tr2bl w:val="nil"/>
            </w:tcBorders>
            <w:shd w:val="clear" w:color="auto" w:fill="auto"/>
            <w:vAlign w:val="bottom"/>
          </w:tcPr>
          <w:p w:rsidR="009534E2" w:rsidRDefault="009534E2">
            <w:pPr>
              <w:spacing w:after="1"/>
              <w:rPr>
                <w:b/>
                <w:color w:val="000000"/>
                <w:sz w:val="16"/>
              </w:rPr>
            </w:pPr>
            <w:bookmarkStart w:name="_253b4295_eebf_4cc3_a189_7cb5edcc8979" w:id="2244"/>
            <w:bookmarkEnd w:id="2242"/>
          </w:p>
        </w:tc>
        <w:tc>
          <w:tcPr>
            <w:tcW w:w="137" w:type="pct"/>
            <w:tcBorders>
              <w:top w:val="nil"/>
              <w:left w:val="nil"/>
              <w:bottom w:val="nil"/>
              <w:right w:val="nil"/>
              <w:tl2br w:val="nil"/>
              <w:tr2bl w:val="nil"/>
            </w:tcBorders>
            <w:shd w:val="clear" w:color="auto" w:fill="auto"/>
            <w:noWrap/>
            <w:vAlign w:val="bottom"/>
          </w:tcPr>
          <w:p w:rsidR="009534E2" w:rsidRDefault="009534E2">
            <w:pPr>
              <w:spacing w:after="1"/>
              <w:rPr>
                <w:b/>
                <w:color w:val="000000"/>
                <w:sz w:val="16"/>
              </w:rPr>
            </w:pPr>
          </w:p>
        </w:tc>
        <w:tc>
          <w:tcPr>
            <w:tcW w:w="540"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December 31, </w:t>
            </w:r>
          </w:p>
        </w:tc>
      </w:tr>
      <w:tr w:rsidR="009534E2" w:rsidTr="00641503">
        <w:tc>
          <w:tcPr>
            <w:tcW w:w="4323" w:type="pct"/>
            <w:tcBorders>
              <w:top w:val="nil"/>
              <w:left w:val="nil"/>
              <w:bottom w:val="nil"/>
              <w:right w:val="nil"/>
              <w:tl2br w:val="nil"/>
              <w:tr2bl w:val="nil"/>
            </w:tcBorders>
            <w:shd w:val="clear" w:color="auto" w:fill="auto"/>
            <w:vAlign w:val="bottom"/>
          </w:tcPr>
          <w:p w:rsidR="009534E2" w:rsidRDefault="009534E2">
            <w:pPr>
              <w:spacing w:after="1"/>
              <w:rPr>
                <w:b/>
                <w:color w:val="000000"/>
                <w:sz w:val="16"/>
              </w:rPr>
            </w:pPr>
            <w:bookmarkStart w:name="_91e1a09c_e9ae_4979_85e1_61132fd038c6" w:id="2245"/>
            <w:bookmarkEnd w:id="2244"/>
          </w:p>
        </w:tc>
        <w:tc>
          <w:tcPr>
            <w:tcW w:w="137" w:type="pct"/>
            <w:tcBorders>
              <w:top w:val="nil"/>
              <w:left w:val="nil"/>
              <w:bottom w:val="nil"/>
              <w:right w:val="nil"/>
              <w:tl2br w:val="nil"/>
              <w:tr2bl w:val="nil"/>
            </w:tcBorders>
            <w:shd w:val="clear" w:color="auto" w:fill="auto"/>
            <w:noWrap/>
            <w:vAlign w:val="bottom"/>
          </w:tcPr>
          <w:p w:rsidR="009534E2" w:rsidRDefault="003369EB">
            <w:pPr>
              <w:spacing w:after="1"/>
              <w:rPr>
                <w:b/>
                <w:color w:val="000000"/>
                <w:sz w:val="16"/>
              </w:rPr>
            </w:pPr>
            <w:r>
              <w:rPr>
                <w:rFonts w:ascii="Times New Roman" w:hAnsi="Times New Roman" w:eastAsia="Times New Roman" w:cs="Times New Roman"/>
                <w:b/>
                <w:color w:val="000000"/>
                <w:sz w:val="16"/>
              </w:rPr>
              <w:t>    </w:t>
            </w:r>
          </w:p>
        </w:tc>
        <w:tc>
          <w:tcPr>
            <w:tcW w:w="540"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2022</w:t>
            </w:r>
          </w:p>
        </w:tc>
      </w:tr>
      <w:tr w:rsidR="009534E2" w:rsidTr="00641503">
        <w:tc>
          <w:tcPr>
            <w:tcW w:w="4323" w:type="pct"/>
            <w:tcBorders>
              <w:top w:val="nil"/>
              <w:left w:val="nil"/>
              <w:bottom w:val="nil"/>
              <w:right w:val="nil"/>
              <w:tl2br w:val="nil"/>
              <w:tr2bl w:val="nil"/>
            </w:tcBorders>
            <w:shd w:val="clear" w:color="auto" w:fill="auto"/>
            <w:vAlign w:val="bottom"/>
          </w:tcPr>
          <w:p w:rsidR="009534E2" w:rsidRDefault="009534E2">
            <w:pPr>
              <w:spacing w:after="1"/>
              <w:rPr>
                <w:b/>
                <w:color w:val="000000"/>
                <w:sz w:val="16"/>
              </w:rPr>
            </w:pPr>
            <w:bookmarkStart w:name="_efe10ce5_767b_45b9_86b3_d10d16f923b4" w:id="2246"/>
            <w:bookmarkEnd w:id="2245"/>
          </w:p>
        </w:tc>
        <w:tc>
          <w:tcPr>
            <w:tcW w:w="137" w:type="pct"/>
            <w:tcBorders>
              <w:top w:val="nil"/>
              <w:left w:val="nil"/>
              <w:bottom w:val="nil"/>
              <w:right w:val="nil"/>
              <w:tl2br w:val="nil"/>
              <w:tr2bl w:val="nil"/>
            </w:tcBorders>
            <w:shd w:val="clear" w:color="auto" w:fill="auto"/>
            <w:noWrap/>
            <w:vAlign w:val="bottom"/>
          </w:tcPr>
          <w:p w:rsidR="009534E2" w:rsidRDefault="009534E2">
            <w:pPr>
              <w:spacing w:after="1"/>
              <w:rPr>
                <w:b/>
                <w:color w:val="000000"/>
                <w:sz w:val="16"/>
              </w:rPr>
            </w:pPr>
          </w:p>
        </w:tc>
        <w:tc>
          <w:tcPr>
            <w:tcW w:w="540"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ADAH</w:t>
            </w:r>
          </w:p>
        </w:tc>
      </w:tr>
      <w:tr w:rsidR="009534E2" w:rsidTr="00641503">
        <w:tc>
          <w:tcPr>
            <w:tcW w:w="4323" w:type="pct"/>
            <w:tcBorders>
              <w:top w:val="nil"/>
              <w:left w:val="nil"/>
              <w:bottom w:val="nil"/>
              <w:right w:val="nil"/>
              <w:tl2br w:val="nil"/>
              <w:tr2bl w:val="nil"/>
            </w:tcBorders>
            <w:shd w:val="clear" w:color="auto" w:fill="CCEEFF"/>
            <w:vAlign w:val="bottom"/>
          </w:tcPr>
          <w:p w:rsidR="009534E2" w:rsidRDefault="003369EB">
            <w:pPr>
              <w:spacing w:after="1"/>
              <w:rPr>
                <w:bCs/>
                <w:color w:val="000000"/>
              </w:rPr>
            </w:pPr>
            <w:bookmarkStart w:name="_3e2b0d2c_ffe7_4500_aade_888434bd662f" w:id="2247"/>
            <w:bookmarkEnd w:id="2246"/>
            <w:r>
              <w:rPr>
                <w:rFonts w:ascii="Times New Roman" w:hAnsi="Times New Roman" w:eastAsia="Times New Roman" w:cs="Times New Roman"/>
                <w:bCs/>
                <w:color w:val="000000"/>
              </w:rPr>
              <w:t>Current assets, including cash and cash equivalent</w:t>
            </w:r>
            <w:r w:rsidR="000C5197">
              <w:rPr>
                <w:rFonts w:ascii="Times New Roman" w:hAnsi="Times New Roman" w:eastAsia="Times New Roman" w:cs="Times New Roman"/>
                <w:bCs/>
                <w:color w:val="000000"/>
              </w:rPr>
              <w:t>s of</w:t>
            </w:r>
            <w:r>
              <w:rPr>
                <w:rFonts w:ascii="Times New Roman" w:hAnsi="Times New Roman" w:eastAsia="Times New Roman" w:cs="Times New Roman"/>
                <w:bCs/>
                <w:color w:val="000000"/>
              </w:rPr>
              <w:t xml:space="preserve"> </w:t>
            </w:r>
            <w:bookmarkStart w:name="_c554afa4_f797_4908_a2ff_efe2ebacc60b" w:id="2248"/>
            <w:r w:rsidRPr="00641503">
              <w:rPr>
                <w:rFonts w:ascii="Times New Roman" w:hAnsi="Times New Roman" w:eastAsia="Times New Roman" w:cs="Times New Roman"/>
                <w:bCs/>
                <w:color w:val="000000"/>
              </w:rPr>
              <w:t>82</w:t>
            </w:r>
            <w:bookmarkEnd w:id="2248"/>
          </w:p>
        </w:tc>
        <w:tc>
          <w:tcPr>
            <w:tcW w:w="137" w:type="pct"/>
            <w:tcBorders>
              <w:top w:val="nil"/>
              <w:left w:val="nil"/>
              <w:bottom w:val="nil"/>
              <w:right w:val="nil"/>
              <w:tl2br w:val="nil"/>
              <w:tr2bl w:val="nil"/>
            </w:tcBorders>
            <w:shd w:val="clear" w:color="auto" w:fill="CCEEFF"/>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540" w:type="pct"/>
            <w:tcBorders>
              <w:top w:val="single" w:color="000000" w:sz="4" w:space="0"/>
              <w:left w:val="nil"/>
              <w:bottom w:val="nil"/>
              <w:right w:val="nil"/>
              <w:tl2br w:val="nil"/>
              <w:tr2bl w:val="nil"/>
            </w:tcBorders>
            <w:shd w:val="clear" w:color="auto" w:fill="CCEEFF"/>
            <w:noWrap/>
            <w:vAlign w:val="bottom"/>
          </w:tcPr>
          <w:p w:rsidRPr="00641503" w:rsidR="009534E2" w:rsidRDefault="003369EB">
            <w:pPr>
              <w:spacing w:after="1"/>
              <w:ind w:right="60"/>
              <w:jc w:val="right"/>
              <w:rPr>
                <w:color w:val="000000"/>
              </w:rPr>
            </w:pPr>
            <w:r w:rsidRPr="00641503">
              <w:rPr>
                <w:rFonts w:ascii="Times New Roman" w:hAnsi="Times New Roman" w:eastAsia="Times New Roman" w:cs="Times New Roman"/>
                <w:color w:val="000000"/>
              </w:rPr>
              <w:t xml:space="preserve"> 750</w:t>
            </w:r>
          </w:p>
        </w:tc>
      </w:tr>
      <w:tr w:rsidR="009534E2" w:rsidTr="00641503">
        <w:tc>
          <w:tcPr>
            <w:tcW w:w="4323" w:type="pct"/>
            <w:tcBorders>
              <w:top w:val="nil"/>
              <w:left w:val="nil"/>
              <w:bottom w:val="nil"/>
              <w:right w:val="nil"/>
              <w:tl2br w:val="nil"/>
              <w:tr2bl w:val="nil"/>
            </w:tcBorders>
            <w:shd w:val="clear" w:color="auto" w:fill="auto"/>
            <w:vAlign w:val="bottom"/>
          </w:tcPr>
          <w:p w:rsidR="009534E2" w:rsidRDefault="003369EB">
            <w:pPr>
              <w:spacing w:after="1"/>
              <w:rPr>
                <w:color w:val="000000"/>
              </w:rPr>
            </w:pPr>
            <w:bookmarkStart w:name="_0a66ec1d_7dba_4aef_b798_6de59280736c" w:id="2249"/>
            <w:bookmarkEnd w:id="2247"/>
            <w:r>
              <w:rPr>
                <w:rFonts w:ascii="Times New Roman" w:hAnsi="Times New Roman" w:eastAsia="Times New Roman" w:cs="Times New Roman"/>
                <w:color w:val="000000"/>
              </w:rPr>
              <w:t>Non-current assets</w:t>
            </w:r>
          </w:p>
        </w:tc>
        <w:tc>
          <w:tcPr>
            <w:tcW w:w="137" w:type="pct"/>
            <w:tcBorders>
              <w:top w:val="nil"/>
              <w:left w:val="nil"/>
              <w:bottom w:val="nil"/>
              <w:right w:val="nil"/>
              <w:tl2br w:val="nil"/>
              <w:tr2bl w:val="nil"/>
            </w:tcBorders>
            <w:shd w:val="clear" w:color="auto" w:fill="auto"/>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540" w:type="pct"/>
            <w:tcBorders>
              <w:top w:val="nil"/>
              <w:left w:val="nil"/>
              <w:bottom w:val="nil"/>
              <w:right w:val="nil"/>
              <w:tl2br w:val="nil"/>
              <w:tr2bl w:val="nil"/>
            </w:tcBorders>
            <w:shd w:val="clear" w:color="auto" w:fill="auto"/>
            <w:noWrap/>
            <w:vAlign w:val="bottom"/>
          </w:tcPr>
          <w:p w:rsidRPr="00641503" w:rsidR="009534E2" w:rsidRDefault="003369EB">
            <w:pPr>
              <w:spacing w:after="1"/>
              <w:ind w:right="60"/>
              <w:jc w:val="right"/>
              <w:rPr>
                <w:color w:val="000000"/>
              </w:rPr>
            </w:pPr>
            <w:r w:rsidRPr="00641503">
              <w:rPr>
                <w:rFonts w:ascii="Times New Roman" w:hAnsi="Times New Roman" w:eastAsia="Times New Roman" w:cs="Times New Roman"/>
                <w:color w:val="000000"/>
              </w:rPr>
              <w:t xml:space="preserve"> 497</w:t>
            </w:r>
          </w:p>
        </w:tc>
      </w:tr>
      <w:tr w:rsidR="009534E2" w:rsidTr="00641503">
        <w:tc>
          <w:tcPr>
            <w:tcW w:w="4323" w:type="pct"/>
            <w:tcBorders>
              <w:top w:val="nil"/>
              <w:left w:val="nil"/>
              <w:bottom w:val="nil"/>
              <w:right w:val="nil"/>
              <w:tl2br w:val="nil"/>
              <w:tr2bl w:val="nil"/>
            </w:tcBorders>
            <w:shd w:val="clear" w:color="auto" w:fill="CCEEFF"/>
            <w:vAlign w:val="bottom"/>
          </w:tcPr>
          <w:p w:rsidR="009534E2" w:rsidRDefault="003369EB">
            <w:pPr>
              <w:spacing w:after="1"/>
              <w:rPr>
                <w:color w:val="000000"/>
              </w:rPr>
            </w:pPr>
            <w:bookmarkStart w:name="_9a811974_9e34_412e_bb05_1b3b3726f061" w:id="2250"/>
            <w:bookmarkEnd w:id="2249"/>
            <w:r>
              <w:rPr>
                <w:rFonts w:ascii="Times New Roman" w:hAnsi="Times New Roman" w:eastAsia="Times New Roman" w:cs="Times New Roman"/>
                <w:color w:val="000000"/>
              </w:rPr>
              <w:t>Current liabilities</w:t>
            </w:r>
          </w:p>
        </w:tc>
        <w:tc>
          <w:tcPr>
            <w:tcW w:w="137" w:type="pct"/>
            <w:tcBorders>
              <w:top w:val="nil"/>
              <w:left w:val="nil"/>
              <w:bottom w:val="nil"/>
              <w:right w:val="nil"/>
              <w:tl2br w:val="nil"/>
              <w:tr2bl w:val="nil"/>
            </w:tcBorders>
            <w:shd w:val="clear" w:color="auto" w:fill="CCEEFF"/>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540" w:type="pct"/>
            <w:tcBorders>
              <w:top w:val="nil"/>
              <w:left w:val="nil"/>
              <w:bottom w:val="nil"/>
              <w:right w:val="nil"/>
              <w:tl2br w:val="nil"/>
              <w:tr2bl w:val="nil"/>
            </w:tcBorders>
            <w:shd w:val="clear" w:color="auto" w:fill="CCEEFF"/>
            <w:noWrap/>
            <w:vAlign w:val="bottom"/>
          </w:tcPr>
          <w:p w:rsidRPr="00641503" w:rsidR="009534E2" w:rsidRDefault="003369EB">
            <w:pPr>
              <w:spacing w:after="1"/>
              <w:jc w:val="right"/>
              <w:rPr>
                <w:color w:val="000000"/>
              </w:rPr>
            </w:pPr>
            <w:r w:rsidRPr="00641503">
              <w:rPr>
                <w:rFonts w:ascii="Times New Roman" w:hAnsi="Times New Roman" w:eastAsia="Times New Roman" w:cs="Times New Roman"/>
                <w:color w:val="000000"/>
              </w:rPr>
              <w:t xml:space="preserve"> (342)</w:t>
            </w:r>
          </w:p>
        </w:tc>
      </w:tr>
      <w:tr w:rsidR="009534E2" w:rsidTr="00641503">
        <w:tc>
          <w:tcPr>
            <w:tcW w:w="4323" w:type="pct"/>
            <w:tcBorders>
              <w:top w:val="nil"/>
              <w:left w:val="nil"/>
              <w:bottom w:val="nil"/>
              <w:right w:val="nil"/>
              <w:tl2br w:val="nil"/>
              <w:tr2bl w:val="nil"/>
            </w:tcBorders>
            <w:shd w:val="clear" w:color="auto" w:fill="auto"/>
            <w:vAlign w:val="bottom"/>
          </w:tcPr>
          <w:p w:rsidR="009534E2" w:rsidRDefault="003369EB">
            <w:pPr>
              <w:spacing w:after="1"/>
              <w:rPr>
                <w:color w:val="000000"/>
              </w:rPr>
            </w:pPr>
            <w:bookmarkStart w:name="_3599a44e_0620_49cc_a755_be82dc714d83" w:id="2251"/>
            <w:bookmarkEnd w:id="2250"/>
            <w:r>
              <w:rPr>
                <w:rFonts w:ascii="Times New Roman" w:hAnsi="Times New Roman" w:eastAsia="Times New Roman" w:cs="Times New Roman"/>
                <w:color w:val="000000"/>
              </w:rPr>
              <w:t>Non-current debt</w:t>
            </w:r>
          </w:p>
        </w:tc>
        <w:tc>
          <w:tcPr>
            <w:tcW w:w="137" w:type="pct"/>
            <w:tcBorders>
              <w:top w:val="nil"/>
              <w:left w:val="nil"/>
              <w:bottom w:val="nil"/>
              <w:right w:val="nil"/>
              <w:tl2br w:val="nil"/>
              <w:tr2bl w:val="nil"/>
            </w:tcBorders>
            <w:shd w:val="clear" w:color="auto" w:fill="auto"/>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540" w:type="pct"/>
            <w:tcBorders>
              <w:top w:val="nil"/>
              <w:left w:val="nil"/>
              <w:bottom w:val="single" w:color="000000" w:sz="4" w:space="0"/>
              <w:right w:val="nil"/>
              <w:tl2br w:val="nil"/>
              <w:tr2bl w:val="nil"/>
            </w:tcBorders>
            <w:shd w:val="clear" w:color="auto" w:fill="auto"/>
            <w:noWrap/>
            <w:vAlign w:val="bottom"/>
          </w:tcPr>
          <w:p w:rsidRPr="00641503" w:rsidR="009534E2" w:rsidRDefault="003369EB">
            <w:pPr>
              <w:spacing w:after="1"/>
              <w:jc w:val="right"/>
              <w:rPr>
                <w:color w:val="000000"/>
              </w:rPr>
            </w:pPr>
            <w:r w:rsidRPr="00641503">
              <w:rPr>
                <w:rFonts w:ascii="Times New Roman" w:hAnsi="Times New Roman" w:eastAsia="Times New Roman" w:cs="Times New Roman"/>
                <w:color w:val="000000"/>
              </w:rPr>
              <w:t xml:space="preserve"> (281)</w:t>
            </w:r>
          </w:p>
        </w:tc>
      </w:tr>
      <w:tr w:rsidR="009534E2" w:rsidTr="00641503">
        <w:tc>
          <w:tcPr>
            <w:tcW w:w="4323" w:type="pct"/>
            <w:tcBorders>
              <w:top w:val="nil"/>
              <w:left w:val="nil"/>
              <w:bottom w:val="nil"/>
              <w:right w:val="nil"/>
              <w:tl2br w:val="nil"/>
              <w:tr2bl w:val="nil"/>
            </w:tcBorders>
            <w:shd w:val="clear" w:color="auto" w:fill="CCEEFF"/>
            <w:vAlign w:val="bottom"/>
          </w:tcPr>
          <w:p w:rsidR="009534E2" w:rsidRDefault="003369EB">
            <w:pPr>
              <w:spacing w:after="1"/>
              <w:rPr>
                <w:b/>
                <w:color w:val="000000"/>
              </w:rPr>
            </w:pPr>
            <w:bookmarkStart w:name="_db6fb3fd_434b_43b5_b974_1ee73d46b3cc" w:id="2252"/>
            <w:bookmarkEnd w:id="2251"/>
            <w:r>
              <w:rPr>
                <w:rFonts w:ascii="Times New Roman" w:hAnsi="Times New Roman" w:eastAsia="Times New Roman" w:cs="Times New Roman"/>
                <w:b/>
                <w:color w:val="000000"/>
              </w:rPr>
              <w:t>Equity</w:t>
            </w:r>
          </w:p>
        </w:tc>
        <w:tc>
          <w:tcPr>
            <w:tcW w:w="137" w:type="pct"/>
            <w:tcBorders>
              <w:top w:val="nil"/>
              <w:left w:val="nil"/>
              <w:bottom w:val="nil"/>
              <w:right w:val="nil"/>
              <w:tl2br w:val="nil"/>
              <w:tr2bl w:val="nil"/>
            </w:tcBorders>
            <w:shd w:val="clear" w:color="auto" w:fill="CCEEFF"/>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540" w:type="pct"/>
            <w:tcBorders>
              <w:top w:val="single" w:color="000000" w:sz="4" w:space="0"/>
              <w:left w:val="nil"/>
              <w:bottom w:val="single" w:color="000000" w:sz="4" w:space="0"/>
              <w:right w:val="nil"/>
              <w:tl2br w:val="nil"/>
              <w:tr2bl w:val="nil"/>
            </w:tcBorders>
            <w:shd w:val="clear" w:color="auto" w:fill="CCEEFF"/>
            <w:noWrap/>
            <w:vAlign w:val="bottom"/>
          </w:tcPr>
          <w:p w:rsidRPr="00641503" w:rsidR="009534E2" w:rsidRDefault="003369EB">
            <w:pPr>
              <w:spacing w:after="1"/>
              <w:ind w:right="60"/>
              <w:jc w:val="right"/>
              <w:rPr>
                <w:color w:val="000000"/>
              </w:rPr>
            </w:pPr>
            <w:r w:rsidRPr="00641503">
              <w:rPr>
                <w:rFonts w:ascii="Times New Roman" w:hAnsi="Times New Roman" w:eastAsia="Times New Roman" w:cs="Times New Roman"/>
                <w:color w:val="000000"/>
              </w:rPr>
              <w:t xml:space="preserve"> 624</w:t>
            </w:r>
          </w:p>
        </w:tc>
      </w:tr>
      <w:tr w:rsidR="009534E2" w:rsidTr="00641503">
        <w:tc>
          <w:tcPr>
            <w:tcW w:w="4323" w:type="pct"/>
            <w:tcBorders>
              <w:top w:val="nil"/>
              <w:left w:val="nil"/>
              <w:bottom w:val="nil"/>
              <w:right w:val="nil"/>
              <w:tl2br w:val="nil"/>
              <w:tr2bl w:val="nil"/>
            </w:tcBorders>
            <w:shd w:val="clear" w:color="auto" w:fill="auto"/>
            <w:vAlign w:val="bottom"/>
          </w:tcPr>
          <w:p w:rsidR="009534E2" w:rsidRDefault="003369EB">
            <w:pPr>
              <w:spacing w:after="1"/>
              <w:rPr>
                <w:color w:val="000000"/>
              </w:rPr>
            </w:pPr>
            <w:bookmarkStart w:name="_c444a712_d767_485a_867f_193400736ec1" w:id="2253"/>
            <w:bookmarkEnd w:id="2252"/>
            <w:r>
              <w:rPr>
                <w:rFonts w:ascii="Times New Roman" w:hAnsi="Times New Roman" w:eastAsia="Times New Roman" w:cs="Times New Roman"/>
                <w:color w:val="000000"/>
              </w:rPr>
              <w:t xml:space="preserve">Group’s share in equity </w:t>
            </w:r>
            <w:bookmarkStart w:name="_1c40adc3_e5e1_460f_8c8e_012244936d8b" w:id="2254"/>
            <w:r w:rsidRPr="00641503">
              <w:rPr>
                <w:rFonts w:ascii="Times New Roman" w:hAnsi="Times New Roman" w:eastAsia="Times New Roman" w:cs="Times New Roman"/>
                <w:color w:val="000000"/>
              </w:rPr>
              <w:t>9.9%</w:t>
            </w:r>
            <w:bookmarkEnd w:id="2254"/>
            <w:r>
              <w:rPr>
                <w:rFonts w:ascii="Times New Roman" w:hAnsi="Times New Roman" w:eastAsia="Times New Roman" w:cs="Times New Roman"/>
                <w:color w:val="000000"/>
              </w:rPr>
              <w:t xml:space="preserve"> </w:t>
            </w:r>
          </w:p>
        </w:tc>
        <w:tc>
          <w:tcPr>
            <w:tcW w:w="137" w:type="pct"/>
            <w:tcBorders>
              <w:top w:val="nil"/>
              <w:left w:val="nil"/>
              <w:bottom w:val="nil"/>
              <w:right w:val="nil"/>
              <w:tl2br w:val="nil"/>
              <w:tr2bl w:val="nil"/>
            </w:tcBorders>
            <w:shd w:val="clear" w:color="auto" w:fill="auto"/>
            <w:noWrap/>
            <w:vAlign w:val="bottom"/>
          </w:tcPr>
          <w:p w:rsidR="009534E2" w:rsidRDefault="003369EB">
            <w:pPr>
              <w:spacing w:after="1"/>
              <w:rPr>
                <w:b/>
                <w:color w:val="000000"/>
              </w:rPr>
            </w:pPr>
            <w:r>
              <w:rPr>
                <w:rFonts w:ascii="Times New Roman" w:hAnsi="Times New Roman" w:eastAsia="Times New Roman" w:cs="Times New Roman"/>
                <w:b/>
                <w:color w:val="000000"/>
              </w:rPr>
              <w:t> </w:t>
            </w:r>
          </w:p>
        </w:tc>
        <w:tc>
          <w:tcPr>
            <w:tcW w:w="540" w:type="pct"/>
            <w:tcBorders>
              <w:top w:val="single" w:color="000000" w:sz="4" w:space="0"/>
              <w:left w:val="nil"/>
              <w:bottom w:val="single" w:color="000000" w:sz="4" w:space="0"/>
              <w:right w:val="nil"/>
              <w:tl2br w:val="nil"/>
              <w:tr2bl w:val="nil"/>
            </w:tcBorders>
            <w:shd w:val="clear" w:color="auto" w:fill="auto"/>
            <w:noWrap/>
            <w:vAlign w:val="bottom"/>
          </w:tcPr>
          <w:p w:rsidRPr="00641503" w:rsidR="009534E2" w:rsidRDefault="003369EB">
            <w:pPr>
              <w:spacing w:after="1"/>
              <w:ind w:right="60"/>
              <w:jc w:val="right"/>
              <w:rPr>
                <w:color w:val="000000"/>
              </w:rPr>
            </w:pPr>
            <w:r w:rsidRPr="00641503">
              <w:rPr>
                <w:rFonts w:ascii="Times New Roman" w:hAnsi="Times New Roman" w:eastAsia="Times New Roman" w:cs="Times New Roman"/>
                <w:color w:val="000000"/>
              </w:rPr>
              <w:t xml:space="preserve"> 62</w:t>
            </w:r>
          </w:p>
        </w:tc>
      </w:tr>
      <w:tr w:rsidR="009534E2" w:rsidTr="00641503">
        <w:tc>
          <w:tcPr>
            <w:tcW w:w="4323" w:type="pct"/>
            <w:tcBorders>
              <w:top w:val="nil"/>
              <w:left w:val="nil"/>
              <w:bottom w:val="nil"/>
              <w:right w:val="nil"/>
              <w:tl2br w:val="nil"/>
              <w:tr2bl w:val="nil"/>
            </w:tcBorders>
            <w:shd w:val="clear" w:color="auto" w:fill="CCEEFF"/>
            <w:vAlign w:val="bottom"/>
          </w:tcPr>
          <w:p w:rsidR="009534E2" w:rsidRDefault="003369EB">
            <w:pPr>
              <w:spacing w:after="1"/>
              <w:rPr>
                <w:color w:val="000000"/>
              </w:rPr>
            </w:pPr>
            <w:bookmarkStart w:name="_82d302bf_ff95_4067_9439_143a6c2cee02" w:id="2255"/>
            <w:bookmarkEnd w:id="2253"/>
            <w:r>
              <w:rPr>
                <w:rFonts w:ascii="Times New Roman" w:hAnsi="Times New Roman" w:eastAsia="Times New Roman" w:cs="Times New Roman"/>
                <w:color w:val="000000"/>
              </w:rPr>
              <w:t xml:space="preserve">Goodwill </w:t>
            </w:r>
          </w:p>
        </w:tc>
        <w:tc>
          <w:tcPr>
            <w:tcW w:w="137" w:type="pct"/>
            <w:tcBorders>
              <w:top w:val="nil"/>
              <w:left w:val="nil"/>
              <w:bottom w:val="nil"/>
              <w:right w:val="nil"/>
              <w:tl2br w:val="nil"/>
              <w:tr2bl w:val="nil"/>
            </w:tcBorders>
            <w:shd w:val="clear" w:color="auto" w:fill="CCEEFF"/>
            <w:noWrap/>
            <w:vAlign w:val="bottom"/>
          </w:tcPr>
          <w:p w:rsidR="009534E2" w:rsidRDefault="003369EB">
            <w:pPr>
              <w:spacing w:after="1"/>
              <w:rPr>
                <w:b/>
                <w:color w:val="000000"/>
              </w:rPr>
            </w:pPr>
            <w:r>
              <w:rPr>
                <w:rFonts w:ascii="Times New Roman" w:hAnsi="Times New Roman" w:eastAsia="Times New Roman" w:cs="Times New Roman"/>
                <w:b/>
                <w:color w:val="000000"/>
              </w:rPr>
              <w:t> </w:t>
            </w:r>
          </w:p>
        </w:tc>
        <w:tc>
          <w:tcPr>
            <w:tcW w:w="540" w:type="pct"/>
            <w:tcBorders>
              <w:top w:val="single" w:color="000000" w:sz="4" w:space="0"/>
              <w:left w:val="nil"/>
              <w:bottom w:val="single" w:color="000000" w:sz="4" w:space="0"/>
              <w:right w:val="nil"/>
              <w:tl2br w:val="nil"/>
              <w:tr2bl w:val="nil"/>
            </w:tcBorders>
            <w:shd w:val="clear" w:color="auto" w:fill="CCEEFF"/>
            <w:noWrap/>
            <w:vAlign w:val="bottom"/>
          </w:tcPr>
          <w:p w:rsidRPr="00641503" w:rsidR="009534E2" w:rsidRDefault="003369EB">
            <w:pPr>
              <w:spacing w:after="1"/>
              <w:ind w:right="60"/>
              <w:jc w:val="right"/>
              <w:rPr>
                <w:b/>
                <w:color w:val="000000"/>
              </w:rPr>
            </w:pPr>
            <w:r w:rsidRPr="00641503">
              <w:rPr>
                <w:rFonts w:ascii="Times New Roman" w:hAnsi="Times New Roman" w:eastAsia="Times New Roman" w:cs="Times New Roman"/>
                <w:b/>
                <w:color w:val="000000"/>
              </w:rPr>
              <w:t xml:space="preserve"> 241</w:t>
            </w:r>
          </w:p>
        </w:tc>
      </w:tr>
      <w:tr w:rsidR="009534E2" w:rsidTr="00641503">
        <w:tc>
          <w:tcPr>
            <w:tcW w:w="4323" w:type="pct"/>
            <w:tcBorders>
              <w:top w:val="nil"/>
              <w:left w:val="nil"/>
              <w:bottom w:val="nil"/>
              <w:right w:val="nil"/>
              <w:tl2br w:val="nil"/>
              <w:tr2bl w:val="nil"/>
            </w:tcBorders>
            <w:shd w:val="clear" w:color="auto" w:fill="auto"/>
            <w:noWrap/>
            <w:vAlign w:val="bottom"/>
          </w:tcPr>
          <w:p w:rsidR="009534E2" w:rsidRDefault="003369EB">
            <w:pPr>
              <w:spacing w:after="1"/>
              <w:rPr>
                <w:b/>
                <w:color w:val="000000"/>
              </w:rPr>
            </w:pPr>
            <w:bookmarkStart w:name="_e4848762_5e3b_4c3e_880f_a04a3c76ff16" w:id="2256"/>
            <w:bookmarkEnd w:id="2255"/>
            <w:r>
              <w:rPr>
                <w:rFonts w:ascii="Times New Roman" w:hAnsi="Times New Roman" w:eastAsia="Times New Roman" w:cs="Times New Roman"/>
                <w:b/>
                <w:color w:val="000000"/>
              </w:rPr>
              <w:t>Group’s carrying amount of the investment</w:t>
            </w:r>
          </w:p>
        </w:tc>
        <w:tc>
          <w:tcPr>
            <w:tcW w:w="137" w:type="pct"/>
            <w:tcBorders>
              <w:top w:val="nil"/>
              <w:left w:val="nil"/>
              <w:bottom w:val="nil"/>
              <w:right w:val="nil"/>
              <w:tl2br w:val="nil"/>
              <w:tr2bl w:val="nil"/>
            </w:tcBorders>
            <w:shd w:val="clear" w:color="auto" w:fill="auto"/>
            <w:noWrap/>
            <w:vAlign w:val="bottom"/>
          </w:tcPr>
          <w:p w:rsidR="009534E2" w:rsidRDefault="009534E2">
            <w:pPr>
              <w:spacing w:after="1"/>
              <w:rPr>
                <w:b/>
                <w:color w:val="000000"/>
              </w:rPr>
            </w:pPr>
          </w:p>
        </w:tc>
        <w:tc>
          <w:tcPr>
            <w:tcW w:w="540" w:type="pct"/>
            <w:tcBorders>
              <w:top w:val="single" w:color="000000" w:sz="4" w:space="0"/>
              <w:left w:val="nil"/>
              <w:bottom w:val="double" w:color="000000" w:sz="4" w:space="0"/>
              <w:right w:val="nil"/>
              <w:tl2br w:val="nil"/>
              <w:tr2bl w:val="nil"/>
            </w:tcBorders>
            <w:shd w:val="clear" w:color="auto" w:fill="auto"/>
            <w:noWrap/>
            <w:vAlign w:val="bottom"/>
          </w:tcPr>
          <w:p w:rsidRPr="00641503" w:rsidR="009534E2" w:rsidRDefault="003369EB">
            <w:pPr>
              <w:spacing w:after="1"/>
              <w:ind w:right="60"/>
              <w:jc w:val="right"/>
              <w:rPr>
                <w:b/>
                <w:color w:val="000000"/>
              </w:rPr>
            </w:pPr>
            <w:r w:rsidRPr="00641503">
              <w:rPr>
                <w:rFonts w:ascii="Times New Roman" w:hAnsi="Times New Roman" w:eastAsia="Times New Roman" w:cs="Times New Roman"/>
                <w:b/>
                <w:color w:val="000000"/>
              </w:rPr>
              <w:t xml:space="preserve"> 303</w:t>
            </w:r>
          </w:p>
        </w:tc>
      </w:tr>
      <w:bookmarkEnd w:id="2241"/>
      <w:bookmarkEnd w:id="2256"/>
    </w:tbl>
    <w:p w:rsidR="009534E2" w:rsidRDefault="009534E2">
      <w:pPr>
        <w:pStyle w:val="BodyText"/>
        <w:keepNext/>
        <w:suppressAutoHyphens/>
        <w:spacing w:after="0"/>
        <w:ind w:left="360" w:hanging="360"/>
        <w:rPr>
          <w:rFonts w:eastAsia="Times New Roma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198"/>
        <w:gridCol w:w="229"/>
        <w:gridCol w:w="901"/>
        <w:gridCol w:w="229"/>
        <w:gridCol w:w="901"/>
        <w:gridCol w:w="229"/>
        <w:gridCol w:w="901"/>
        <w:gridCol w:w="212"/>
      </w:tblGrid>
      <w:tr w:rsidR="00641503" w:rsidTr="00641503">
        <w:trPr>
          <w:trHeight w:val="20" w:hRule="exact"/>
        </w:trPr>
        <w:tc>
          <w:tcPr>
            <w:tcW w:w="3332" w:type="pct"/>
            <w:tcBorders>
              <w:top w:val="nil"/>
              <w:left w:val="nil"/>
              <w:bottom w:val="nil"/>
              <w:right w:val="nil"/>
            </w:tcBorders>
            <w:vAlign w:val="bottom"/>
          </w:tcPr>
          <w:p w:rsidR="009534E2" w:rsidRDefault="009534E2">
            <w:pPr>
              <w:keepNext/>
              <w:spacing w:after="1"/>
              <w:rPr>
                <w:sz w:val="2"/>
              </w:rPr>
            </w:pPr>
            <w:bookmarkStart w:name="_dbfa7074_321d_4d09_ac3f_7d8f0802a52e" w:colFirst="0" w:colLast="0" w:id="2257"/>
            <w:bookmarkStart w:name="_ffc977ef_9258_4349_b0b6_3a93100fb022" w:colFirst="1" w:colLast="1" w:id="2258"/>
            <w:bookmarkStart w:name="_6a96d9a0_fdac_4c88_824e_5438320c4c5e" w:colFirst="2" w:colLast="2" w:id="2259"/>
            <w:bookmarkStart w:name="_806a790b_591e_44cc_9770_69bc76397450" w:colFirst="3" w:colLast="3" w:id="2260"/>
            <w:bookmarkStart w:name="_865ebd53_6d86_46b6_b88b_8c8018199468" w:colFirst="4" w:colLast="4" w:id="2261"/>
            <w:bookmarkStart w:name="_a542b6d3_a9c7_4a90_a456_da82c295bcfa" w:colFirst="5" w:colLast="5" w:id="2262"/>
            <w:bookmarkStart w:name="_6be55d9a_dadd_4d71_bd71_a6cb69d40980" w:colFirst="6" w:colLast="6" w:id="2263"/>
            <w:bookmarkStart w:name="_eafc9b94_65f7_4b22_8774_25f31500b921" w:colFirst="7" w:colLast="7" w:id="2264"/>
            <w:bookmarkStart w:name="_853dc8b7_8861_4e2b_8a87_08aa49ff0f6d" w:id="2265"/>
          </w:p>
        </w:tc>
        <w:tc>
          <w:tcPr>
            <w:tcW w:w="106" w:type="pct"/>
            <w:tcBorders>
              <w:top w:val="nil"/>
              <w:left w:val="nil"/>
              <w:bottom w:val="nil"/>
              <w:right w:val="nil"/>
            </w:tcBorders>
            <w:noWrap/>
            <w:vAlign w:val="bottom"/>
          </w:tcPr>
          <w:p w:rsidR="009534E2" w:rsidRDefault="009534E2">
            <w:pPr>
              <w:keepNext/>
              <w:spacing w:after="1"/>
              <w:rPr>
                <w:sz w:val="2"/>
              </w:rPr>
            </w:pPr>
          </w:p>
        </w:tc>
        <w:tc>
          <w:tcPr>
            <w:tcW w:w="417" w:type="pct"/>
            <w:tcBorders>
              <w:top w:val="nil"/>
              <w:left w:val="nil"/>
              <w:bottom w:val="nil"/>
              <w:right w:val="nil"/>
            </w:tcBorders>
            <w:noWrap/>
            <w:vAlign w:val="bottom"/>
          </w:tcPr>
          <w:p w:rsidR="009534E2" w:rsidRDefault="009534E2">
            <w:pPr>
              <w:keepNext/>
              <w:spacing w:after="1"/>
              <w:rPr>
                <w:sz w:val="2"/>
              </w:rPr>
            </w:pPr>
          </w:p>
        </w:tc>
        <w:tc>
          <w:tcPr>
            <w:tcW w:w="106" w:type="pct"/>
            <w:tcBorders>
              <w:top w:val="nil"/>
              <w:left w:val="nil"/>
              <w:bottom w:val="nil"/>
              <w:right w:val="nil"/>
            </w:tcBorders>
            <w:noWrap/>
            <w:vAlign w:val="bottom"/>
          </w:tcPr>
          <w:p w:rsidR="009534E2" w:rsidRDefault="009534E2">
            <w:pPr>
              <w:keepNext/>
              <w:spacing w:after="1"/>
              <w:rPr>
                <w:sz w:val="2"/>
              </w:rPr>
            </w:pPr>
          </w:p>
        </w:tc>
        <w:tc>
          <w:tcPr>
            <w:tcW w:w="417" w:type="pct"/>
            <w:tcBorders>
              <w:top w:val="nil"/>
              <w:left w:val="nil"/>
              <w:bottom w:val="nil"/>
              <w:right w:val="nil"/>
            </w:tcBorders>
            <w:noWrap/>
            <w:vAlign w:val="bottom"/>
          </w:tcPr>
          <w:p w:rsidR="009534E2" w:rsidRDefault="009534E2">
            <w:pPr>
              <w:keepNext/>
              <w:spacing w:after="1"/>
              <w:rPr>
                <w:sz w:val="2"/>
              </w:rPr>
            </w:pPr>
          </w:p>
        </w:tc>
        <w:tc>
          <w:tcPr>
            <w:tcW w:w="106" w:type="pct"/>
            <w:tcBorders>
              <w:top w:val="nil"/>
              <w:left w:val="nil"/>
              <w:bottom w:val="nil"/>
              <w:right w:val="nil"/>
            </w:tcBorders>
            <w:noWrap/>
            <w:vAlign w:val="bottom"/>
          </w:tcPr>
          <w:p w:rsidR="009534E2" w:rsidRDefault="009534E2">
            <w:pPr>
              <w:keepNext/>
              <w:spacing w:after="1"/>
              <w:rPr>
                <w:sz w:val="2"/>
              </w:rPr>
            </w:pPr>
          </w:p>
        </w:tc>
        <w:tc>
          <w:tcPr>
            <w:tcW w:w="417" w:type="pct"/>
            <w:tcBorders>
              <w:top w:val="nil"/>
              <w:left w:val="nil"/>
              <w:bottom w:val="nil"/>
              <w:right w:val="nil"/>
            </w:tcBorders>
            <w:noWrap/>
            <w:vAlign w:val="bottom"/>
          </w:tcPr>
          <w:p w:rsidR="009534E2" w:rsidRDefault="009534E2">
            <w:pPr>
              <w:keepNext/>
              <w:spacing w:after="1"/>
              <w:rPr>
                <w:sz w:val="2"/>
              </w:rPr>
            </w:pPr>
          </w:p>
        </w:tc>
        <w:tc>
          <w:tcPr>
            <w:tcW w:w="98" w:type="pct"/>
            <w:tcBorders>
              <w:top w:val="nil"/>
              <w:left w:val="nil"/>
              <w:bottom w:val="nil"/>
              <w:right w:val="nil"/>
            </w:tcBorders>
            <w:noWrap/>
            <w:vAlign w:val="bottom"/>
          </w:tcPr>
          <w:p w:rsidR="009534E2" w:rsidRDefault="009534E2">
            <w:pPr>
              <w:keepNext/>
              <w:spacing w:after="1"/>
              <w:rPr>
                <w:sz w:val="2"/>
              </w:rPr>
            </w:pPr>
          </w:p>
        </w:tc>
      </w:tr>
      <w:tr w:rsidR="00641503" w:rsidTr="00641503">
        <w:tc>
          <w:tcPr>
            <w:tcW w:w="3332" w:type="pct"/>
            <w:tcBorders>
              <w:top w:val="nil"/>
              <w:left w:val="nil"/>
              <w:bottom w:val="nil"/>
              <w:right w:val="nil"/>
              <w:tl2br w:val="nil"/>
              <w:tr2bl w:val="nil"/>
            </w:tcBorders>
            <w:shd w:val="clear" w:color="auto" w:fill="auto"/>
            <w:vAlign w:val="bottom"/>
          </w:tcPr>
          <w:p w:rsidR="009534E2" w:rsidRDefault="009534E2">
            <w:pPr>
              <w:spacing w:after="1"/>
              <w:rPr>
                <w:color w:val="000000"/>
                <w:sz w:val="16"/>
              </w:rPr>
            </w:pPr>
            <w:bookmarkStart w:name="_9661ef96_9393_4960_b654_2ac40691a76c" w:id="2266"/>
            <w:bookmarkEnd w:id="2257"/>
            <w:bookmarkEnd w:id="2258"/>
            <w:bookmarkEnd w:id="2259"/>
            <w:bookmarkEnd w:id="2260"/>
            <w:bookmarkEnd w:id="2261"/>
            <w:bookmarkEnd w:id="2262"/>
            <w:bookmarkEnd w:id="2263"/>
            <w:bookmarkEnd w:id="2264"/>
          </w:p>
        </w:tc>
        <w:tc>
          <w:tcPr>
            <w:tcW w:w="106" w:type="pct"/>
            <w:tcBorders>
              <w:top w:val="nil"/>
              <w:left w:val="nil"/>
              <w:bottom w:val="nil"/>
              <w:right w:val="nil"/>
              <w:tl2br w:val="nil"/>
              <w:tr2bl w:val="nil"/>
            </w:tcBorders>
            <w:shd w:val="clear" w:color="auto" w:fill="auto"/>
            <w:noWrap/>
            <w:vAlign w:val="bottom"/>
          </w:tcPr>
          <w:p w:rsidR="009534E2" w:rsidRDefault="003369EB">
            <w:pPr>
              <w:spacing w:after="1"/>
              <w:rPr>
                <w:b/>
                <w:color w:val="000000"/>
                <w:sz w:val="16"/>
              </w:rPr>
            </w:pPr>
            <w:r>
              <w:rPr>
                <w:rFonts w:ascii="Times New Roman" w:hAnsi="Times New Roman" w:eastAsia="Times New Roman" w:cs="Times New Roman"/>
                <w:b/>
                <w:color w:val="000000"/>
                <w:sz w:val="16"/>
              </w:rPr>
              <w:t>    </w:t>
            </w:r>
          </w:p>
        </w:tc>
        <w:tc>
          <w:tcPr>
            <w:tcW w:w="417"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2020</w:t>
            </w:r>
          </w:p>
        </w:tc>
        <w:tc>
          <w:tcPr>
            <w:tcW w:w="106" w:type="pct"/>
            <w:tcBorders>
              <w:top w:val="nil"/>
              <w:left w:val="nil"/>
              <w:bottom w:val="nil"/>
              <w:right w:val="nil"/>
              <w:tl2br w:val="nil"/>
              <w:tr2bl w:val="nil"/>
            </w:tcBorders>
            <w:shd w:val="clear" w:color="auto" w:fill="auto"/>
            <w:noWrap/>
            <w:vAlign w:val="bottom"/>
          </w:tcPr>
          <w:p w:rsidR="009534E2" w:rsidRDefault="003369EB">
            <w:pPr>
              <w:spacing w:after="1"/>
              <w:rPr>
                <w:b/>
                <w:color w:val="000000"/>
                <w:sz w:val="16"/>
              </w:rPr>
            </w:pPr>
            <w:r>
              <w:rPr>
                <w:rFonts w:ascii="Times New Roman" w:hAnsi="Times New Roman" w:eastAsia="Times New Roman" w:cs="Times New Roman"/>
                <w:b/>
                <w:color w:val="000000"/>
                <w:sz w:val="16"/>
              </w:rPr>
              <w:t>    </w:t>
            </w:r>
          </w:p>
        </w:tc>
        <w:tc>
          <w:tcPr>
            <w:tcW w:w="417"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2021</w:t>
            </w:r>
          </w:p>
        </w:tc>
        <w:tc>
          <w:tcPr>
            <w:tcW w:w="106" w:type="pct"/>
            <w:tcBorders>
              <w:top w:val="nil"/>
              <w:left w:val="nil"/>
              <w:bottom w:val="nil"/>
              <w:right w:val="nil"/>
              <w:tl2br w:val="nil"/>
              <w:tr2bl w:val="nil"/>
            </w:tcBorders>
            <w:shd w:val="clear" w:color="auto" w:fill="auto"/>
            <w:noWrap/>
            <w:vAlign w:val="bottom"/>
          </w:tcPr>
          <w:p w:rsidR="009534E2" w:rsidRDefault="009534E2">
            <w:pPr>
              <w:spacing w:after="1"/>
              <w:rPr>
                <w:b/>
                <w:color w:val="000000"/>
                <w:sz w:val="16"/>
              </w:rPr>
            </w:pPr>
          </w:p>
        </w:tc>
        <w:tc>
          <w:tcPr>
            <w:tcW w:w="417"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2022</w:t>
            </w:r>
          </w:p>
        </w:tc>
        <w:tc>
          <w:tcPr>
            <w:tcW w:w="98" w:type="pct"/>
            <w:tcBorders>
              <w:top w:val="nil"/>
              <w:left w:val="nil"/>
              <w:bottom w:val="nil"/>
              <w:right w:val="nil"/>
              <w:tl2br w:val="nil"/>
              <w:tr2bl w:val="nil"/>
            </w:tcBorders>
            <w:shd w:val="clear" w:color="auto" w:fill="auto"/>
            <w:noWrap/>
            <w:vAlign w:val="bottom"/>
          </w:tcPr>
          <w:p w:rsidR="009534E2" w:rsidRDefault="009534E2">
            <w:pPr>
              <w:spacing w:after="1"/>
              <w:jc w:val="center"/>
              <w:rPr>
                <w:color w:val="000000"/>
                <w:sz w:val="16"/>
              </w:rPr>
            </w:pPr>
          </w:p>
        </w:tc>
      </w:tr>
      <w:tr w:rsidR="00641503" w:rsidTr="00641503">
        <w:tc>
          <w:tcPr>
            <w:tcW w:w="3332" w:type="pct"/>
            <w:tcBorders>
              <w:top w:val="nil"/>
              <w:left w:val="nil"/>
              <w:bottom w:val="nil"/>
              <w:right w:val="nil"/>
              <w:tl2br w:val="nil"/>
              <w:tr2bl w:val="nil"/>
            </w:tcBorders>
            <w:shd w:val="clear" w:color="auto" w:fill="auto"/>
            <w:vAlign w:val="bottom"/>
          </w:tcPr>
          <w:p w:rsidR="009534E2" w:rsidRDefault="009534E2">
            <w:pPr>
              <w:spacing w:after="1"/>
              <w:rPr>
                <w:color w:val="000000"/>
                <w:sz w:val="16"/>
              </w:rPr>
            </w:pPr>
            <w:bookmarkStart w:name="_34498d11_70a8_4225_b167_09a0e34dc385" w:id="2267"/>
            <w:bookmarkEnd w:id="2266"/>
          </w:p>
        </w:tc>
        <w:tc>
          <w:tcPr>
            <w:tcW w:w="106" w:type="pct"/>
            <w:tcBorders>
              <w:top w:val="nil"/>
              <w:left w:val="nil"/>
              <w:bottom w:val="nil"/>
              <w:right w:val="nil"/>
              <w:tl2br w:val="nil"/>
              <w:tr2bl w:val="nil"/>
            </w:tcBorders>
            <w:shd w:val="clear" w:color="auto" w:fill="auto"/>
            <w:noWrap/>
            <w:vAlign w:val="bottom"/>
          </w:tcPr>
          <w:p w:rsidR="009534E2" w:rsidRDefault="009534E2">
            <w:pPr>
              <w:spacing w:after="1"/>
              <w:rPr>
                <w:b/>
                <w:color w:val="000000"/>
                <w:sz w:val="16"/>
              </w:rPr>
            </w:pPr>
          </w:p>
        </w:tc>
        <w:tc>
          <w:tcPr>
            <w:tcW w:w="417"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Tochka</w:t>
            </w:r>
          </w:p>
        </w:tc>
        <w:tc>
          <w:tcPr>
            <w:tcW w:w="106" w:type="pct"/>
            <w:tcBorders>
              <w:top w:val="nil"/>
              <w:left w:val="nil"/>
              <w:bottom w:val="nil"/>
              <w:right w:val="nil"/>
              <w:tl2br w:val="nil"/>
              <w:tr2bl w:val="nil"/>
            </w:tcBorders>
            <w:shd w:val="clear" w:color="auto" w:fill="auto"/>
            <w:noWrap/>
            <w:vAlign w:val="bottom"/>
          </w:tcPr>
          <w:p w:rsidR="009534E2" w:rsidRDefault="009534E2">
            <w:pPr>
              <w:spacing w:after="1"/>
              <w:rPr>
                <w:b/>
                <w:color w:val="000000"/>
                <w:sz w:val="16"/>
              </w:rPr>
            </w:pPr>
          </w:p>
        </w:tc>
        <w:tc>
          <w:tcPr>
            <w:tcW w:w="417"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Tochka</w:t>
            </w:r>
          </w:p>
        </w:tc>
        <w:tc>
          <w:tcPr>
            <w:tcW w:w="106" w:type="pct"/>
            <w:tcBorders>
              <w:top w:val="nil"/>
              <w:left w:val="nil"/>
              <w:bottom w:val="nil"/>
              <w:right w:val="nil"/>
              <w:tl2br w:val="nil"/>
              <w:tr2bl w:val="nil"/>
            </w:tcBorders>
            <w:shd w:val="clear" w:color="auto" w:fill="auto"/>
            <w:noWrap/>
            <w:vAlign w:val="bottom"/>
          </w:tcPr>
          <w:p w:rsidR="009534E2" w:rsidRDefault="009534E2">
            <w:pPr>
              <w:spacing w:after="1"/>
              <w:rPr>
                <w:b/>
                <w:color w:val="000000"/>
                <w:sz w:val="16"/>
              </w:rPr>
            </w:pPr>
          </w:p>
        </w:tc>
        <w:tc>
          <w:tcPr>
            <w:tcW w:w="417"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ADAH</w:t>
            </w:r>
          </w:p>
        </w:tc>
        <w:tc>
          <w:tcPr>
            <w:tcW w:w="98" w:type="pct"/>
            <w:tcBorders>
              <w:top w:val="nil"/>
              <w:left w:val="nil"/>
              <w:bottom w:val="nil"/>
              <w:right w:val="nil"/>
              <w:tl2br w:val="nil"/>
              <w:tr2bl w:val="nil"/>
            </w:tcBorders>
            <w:shd w:val="clear" w:color="auto" w:fill="auto"/>
            <w:noWrap/>
            <w:vAlign w:val="bottom"/>
          </w:tcPr>
          <w:p w:rsidR="009534E2" w:rsidRDefault="009534E2">
            <w:pPr>
              <w:spacing w:after="1"/>
              <w:rPr>
                <w:b/>
                <w:color w:val="000000"/>
                <w:sz w:val="16"/>
              </w:rPr>
            </w:pPr>
          </w:p>
        </w:tc>
      </w:tr>
      <w:tr w:rsidR="00641503" w:rsidTr="00641503">
        <w:tc>
          <w:tcPr>
            <w:tcW w:w="3332" w:type="pct"/>
            <w:tcBorders>
              <w:top w:val="nil"/>
              <w:left w:val="nil"/>
              <w:bottom w:val="nil"/>
              <w:right w:val="nil"/>
              <w:tl2br w:val="nil"/>
              <w:tr2bl w:val="nil"/>
            </w:tcBorders>
            <w:shd w:val="clear" w:color="auto" w:fill="CCEEFF"/>
            <w:vAlign w:val="bottom"/>
          </w:tcPr>
          <w:p w:rsidR="009534E2" w:rsidRDefault="003369EB">
            <w:pPr>
              <w:spacing w:after="1"/>
              <w:rPr>
                <w:color w:val="000000"/>
              </w:rPr>
            </w:pPr>
            <w:bookmarkStart w:name="_28cd975f_ef0c_4929_8c94_8093b84caeeb" w:id="2268"/>
            <w:bookmarkEnd w:id="2267"/>
            <w:r>
              <w:rPr>
                <w:rFonts w:ascii="Times New Roman" w:hAnsi="Times New Roman" w:eastAsia="Times New Roman" w:cs="Times New Roman"/>
                <w:color w:val="000000"/>
              </w:rPr>
              <w:t>Revenue</w:t>
            </w:r>
          </w:p>
        </w:tc>
        <w:tc>
          <w:tcPr>
            <w:tcW w:w="106" w:type="pct"/>
            <w:tcBorders>
              <w:top w:val="nil"/>
              <w:left w:val="nil"/>
              <w:bottom w:val="nil"/>
              <w:right w:val="nil"/>
              <w:tl2br w:val="nil"/>
              <w:tr2bl w:val="nil"/>
            </w:tcBorders>
            <w:shd w:val="clear" w:color="auto" w:fill="CCEEFF"/>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17" w:type="pct"/>
            <w:tcBorders>
              <w:top w:val="nil"/>
              <w:left w:val="nil"/>
              <w:bottom w:val="nil"/>
              <w:right w:val="nil"/>
              <w:tl2br w:val="nil"/>
              <w:tr2bl w:val="nil"/>
            </w:tcBorders>
            <w:shd w:val="clear" w:color="auto" w:fill="CCEEFF"/>
            <w:noWrap/>
            <w:vAlign w:val="bottom"/>
          </w:tcPr>
          <w:p w:rsidRPr="00641503" w:rsidR="009534E2" w:rsidRDefault="003369EB">
            <w:pPr>
              <w:spacing w:after="1"/>
              <w:ind w:right="60"/>
              <w:jc w:val="right"/>
              <w:rPr>
                <w:color w:val="000000"/>
              </w:rPr>
            </w:pPr>
            <w:r w:rsidRPr="00641503">
              <w:rPr>
                <w:rFonts w:ascii="Times New Roman" w:hAnsi="Times New Roman" w:eastAsia="Times New Roman" w:cs="Times New Roman"/>
                <w:color w:val="000000"/>
              </w:rPr>
              <w:t>7,697</w:t>
            </w:r>
          </w:p>
        </w:tc>
        <w:tc>
          <w:tcPr>
            <w:tcW w:w="106"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417" w:type="pct"/>
            <w:tcBorders>
              <w:top w:val="nil"/>
              <w:left w:val="nil"/>
              <w:bottom w:val="nil"/>
              <w:right w:val="nil"/>
              <w:tl2br w:val="nil"/>
              <w:tr2bl w:val="nil"/>
            </w:tcBorders>
            <w:shd w:val="clear" w:color="auto" w:fill="CCEEFF"/>
            <w:noWrap/>
            <w:vAlign w:val="bottom"/>
          </w:tcPr>
          <w:p w:rsidRPr="00641503" w:rsidR="009534E2" w:rsidRDefault="003369EB">
            <w:pPr>
              <w:spacing w:after="1"/>
              <w:ind w:right="60"/>
              <w:jc w:val="right"/>
              <w:rPr>
                <w:color w:val="000000"/>
              </w:rPr>
            </w:pPr>
            <w:r w:rsidRPr="00641503">
              <w:rPr>
                <w:rFonts w:ascii="Times New Roman" w:hAnsi="Times New Roman" w:eastAsia="Times New Roman" w:cs="Times New Roman"/>
                <w:color w:val="000000"/>
              </w:rPr>
              <w:t>4,296</w:t>
            </w:r>
          </w:p>
        </w:tc>
        <w:tc>
          <w:tcPr>
            <w:tcW w:w="106"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417" w:type="pct"/>
            <w:tcBorders>
              <w:top w:val="nil"/>
              <w:left w:val="nil"/>
              <w:bottom w:val="nil"/>
              <w:right w:val="nil"/>
              <w:tl2br w:val="nil"/>
              <w:tr2bl w:val="nil"/>
            </w:tcBorders>
            <w:shd w:val="clear" w:color="auto" w:fill="CCEEFF"/>
            <w:noWrap/>
            <w:vAlign w:val="bottom"/>
          </w:tcPr>
          <w:p w:rsidRPr="00641503" w:rsidR="009534E2" w:rsidRDefault="003369EB">
            <w:pPr>
              <w:spacing w:after="1"/>
              <w:ind w:right="60"/>
              <w:jc w:val="right"/>
              <w:rPr>
                <w:color w:val="000000"/>
              </w:rPr>
            </w:pPr>
            <w:r w:rsidRPr="00641503">
              <w:rPr>
                <w:rFonts w:ascii="Times New Roman" w:hAnsi="Times New Roman" w:eastAsia="Times New Roman" w:cs="Times New Roman"/>
                <w:color w:val="000000"/>
              </w:rPr>
              <w:t>165</w:t>
            </w:r>
          </w:p>
        </w:tc>
        <w:tc>
          <w:tcPr>
            <w:tcW w:w="98"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r>
      <w:tr w:rsidR="00641503" w:rsidTr="00641503">
        <w:tc>
          <w:tcPr>
            <w:tcW w:w="3332" w:type="pct"/>
            <w:tcBorders>
              <w:top w:val="nil"/>
              <w:left w:val="nil"/>
              <w:bottom w:val="nil"/>
              <w:right w:val="nil"/>
              <w:tl2br w:val="nil"/>
              <w:tr2bl w:val="nil"/>
            </w:tcBorders>
            <w:vAlign w:val="bottom"/>
          </w:tcPr>
          <w:p w:rsidR="009534E2" w:rsidRDefault="003369EB">
            <w:pPr>
              <w:spacing w:after="1"/>
              <w:rPr>
                <w:color w:val="000000"/>
              </w:rPr>
            </w:pPr>
            <w:bookmarkStart w:name="_67db00c5_b20c_4dec_963e_1325a85a2b2f" w:id="2269"/>
            <w:bookmarkEnd w:id="2268"/>
            <w:r>
              <w:rPr>
                <w:rFonts w:ascii="Times New Roman" w:hAnsi="Times New Roman" w:eastAsia="Times New Roman" w:cs="Times New Roman"/>
                <w:color w:val="000000"/>
              </w:rPr>
              <w:t>Cost of revenue</w:t>
            </w:r>
          </w:p>
        </w:tc>
        <w:tc>
          <w:tcPr>
            <w:tcW w:w="106" w:type="pct"/>
            <w:tcBorders>
              <w:top w:val="nil"/>
              <w:left w:val="nil"/>
              <w:bottom w:val="nil"/>
              <w:right w:val="nil"/>
              <w:tl2br w:val="nil"/>
              <w:tr2bl w:val="nil"/>
            </w:tcBorders>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17" w:type="pct"/>
            <w:tcBorders>
              <w:top w:val="nil"/>
              <w:left w:val="nil"/>
              <w:bottom w:val="nil"/>
              <w:right w:val="nil"/>
              <w:tl2br w:val="nil"/>
              <w:tr2bl w:val="nil"/>
            </w:tcBorders>
            <w:noWrap/>
            <w:vAlign w:val="bottom"/>
          </w:tcPr>
          <w:p w:rsidRPr="00641503" w:rsidR="009534E2" w:rsidRDefault="003369EB">
            <w:pPr>
              <w:spacing w:after="1"/>
              <w:jc w:val="right"/>
              <w:rPr>
                <w:color w:val="000000"/>
              </w:rPr>
            </w:pPr>
            <w:r w:rsidRPr="00641503">
              <w:rPr>
                <w:rFonts w:ascii="Times New Roman" w:hAnsi="Times New Roman" w:eastAsia="Times New Roman" w:cs="Times New Roman"/>
                <w:color w:val="000000"/>
              </w:rPr>
              <w:t xml:space="preserve"> (453)</w:t>
            </w:r>
          </w:p>
        </w:tc>
        <w:tc>
          <w:tcPr>
            <w:tcW w:w="106" w:type="pct"/>
            <w:tcBorders>
              <w:top w:val="nil"/>
              <w:left w:val="nil"/>
              <w:bottom w:val="nil"/>
              <w:right w:val="nil"/>
              <w:tl2br w:val="nil"/>
              <w:tr2bl w:val="nil"/>
            </w:tcBorders>
            <w:noWrap/>
            <w:vAlign w:val="bottom"/>
          </w:tcPr>
          <w:p w:rsidR="009534E2" w:rsidRDefault="009534E2">
            <w:pPr>
              <w:spacing w:after="1"/>
              <w:rPr>
                <w:color w:val="000000"/>
              </w:rPr>
            </w:pPr>
          </w:p>
        </w:tc>
        <w:tc>
          <w:tcPr>
            <w:tcW w:w="417" w:type="pct"/>
            <w:tcBorders>
              <w:top w:val="nil"/>
              <w:left w:val="nil"/>
              <w:bottom w:val="nil"/>
              <w:right w:val="nil"/>
              <w:tl2br w:val="nil"/>
              <w:tr2bl w:val="nil"/>
            </w:tcBorders>
            <w:noWrap/>
            <w:vAlign w:val="bottom"/>
          </w:tcPr>
          <w:p w:rsidRPr="00641503" w:rsidR="009534E2" w:rsidRDefault="003369EB">
            <w:pPr>
              <w:spacing w:after="1"/>
              <w:jc w:val="right"/>
              <w:rPr>
                <w:color w:val="000000"/>
              </w:rPr>
            </w:pPr>
            <w:r w:rsidRPr="00641503">
              <w:rPr>
                <w:rFonts w:ascii="Times New Roman" w:hAnsi="Times New Roman" w:eastAsia="Times New Roman" w:cs="Times New Roman"/>
                <w:color w:val="000000"/>
              </w:rPr>
              <w:t xml:space="preserve"> (333)</w:t>
            </w:r>
          </w:p>
        </w:tc>
        <w:tc>
          <w:tcPr>
            <w:tcW w:w="106" w:type="pct"/>
            <w:tcBorders>
              <w:top w:val="nil"/>
              <w:left w:val="nil"/>
              <w:bottom w:val="nil"/>
              <w:right w:val="nil"/>
              <w:tl2br w:val="nil"/>
              <w:tr2bl w:val="nil"/>
            </w:tcBorders>
            <w:noWrap/>
            <w:vAlign w:val="bottom"/>
          </w:tcPr>
          <w:p w:rsidR="009534E2" w:rsidRDefault="009534E2">
            <w:pPr>
              <w:spacing w:after="1"/>
              <w:rPr>
                <w:color w:val="000000"/>
              </w:rPr>
            </w:pPr>
          </w:p>
        </w:tc>
        <w:tc>
          <w:tcPr>
            <w:tcW w:w="417" w:type="pct"/>
            <w:tcBorders>
              <w:top w:val="nil"/>
              <w:left w:val="nil"/>
              <w:bottom w:val="nil"/>
              <w:right w:val="nil"/>
              <w:tl2br w:val="nil"/>
              <w:tr2bl w:val="nil"/>
            </w:tcBorders>
            <w:noWrap/>
            <w:vAlign w:val="bottom"/>
          </w:tcPr>
          <w:p w:rsidRPr="00641503" w:rsidR="009534E2" w:rsidRDefault="003369EB">
            <w:pPr>
              <w:spacing w:after="1"/>
              <w:jc w:val="right"/>
              <w:rPr>
                <w:color w:val="000000"/>
              </w:rPr>
            </w:pPr>
            <w:r w:rsidRPr="00641503">
              <w:rPr>
                <w:rFonts w:ascii="Times New Roman" w:hAnsi="Times New Roman" w:eastAsia="Times New Roman" w:cs="Times New Roman"/>
                <w:color w:val="000000"/>
              </w:rPr>
              <w:t xml:space="preserve"> (138)</w:t>
            </w:r>
          </w:p>
        </w:tc>
        <w:tc>
          <w:tcPr>
            <w:tcW w:w="98" w:type="pct"/>
            <w:tcBorders>
              <w:top w:val="nil"/>
              <w:left w:val="nil"/>
              <w:bottom w:val="nil"/>
              <w:right w:val="nil"/>
              <w:tl2br w:val="nil"/>
              <w:tr2bl w:val="nil"/>
            </w:tcBorders>
            <w:noWrap/>
            <w:vAlign w:val="bottom"/>
          </w:tcPr>
          <w:p w:rsidR="009534E2" w:rsidRDefault="009534E2">
            <w:pPr>
              <w:spacing w:after="1"/>
              <w:rPr>
                <w:color w:val="000000"/>
              </w:rPr>
            </w:pPr>
          </w:p>
        </w:tc>
      </w:tr>
      <w:tr w:rsidR="00641503" w:rsidTr="00641503">
        <w:tc>
          <w:tcPr>
            <w:tcW w:w="3332" w:type="pct"/>
            <w:tcBorders>
              <w:top w:val="nil"/>
              <w:left w:val="nil"/>
              <w:bottom w:val="nil"/>
              <w:right w:val="nil"/>
              <w:tl2br w:val="nil"/>
              <w:tr2bl w:val="nil"/>
            </w:tcBorders>
            <w:shd w:val="clear" w:color="auto" w:fill="CCEEFF"/>
            <w:vAlign w:val="bottom"/>
          </w:tcPr>
          <w:p w:rsidR="009534E2" w:rsidRDefault="003369EB">
            <w:pPr>
              <w:spacing w:after="1"/>
              <w:rPr>
                <w:color w:val="000000"/>
              </w:rPr>
            </w:pPr>
            <w:bookmarkStart w:name="_83f89a40_808d_4372_aae7_9ed369372058" w:id="2270"/>
            <w:bookmarkEnd w:id="2269"/>
            <w:r>
              <w:rPr>
                <w:rFonts w:ascii="Times New Roman" w:hAnsi="Times New Roman" w:eastAsia="Times New Roman" w:cs="Times New Roman"/>
                <w:color w:val="000000"/>
              </w:rPr>
              <w:t>Other income and expenses, net</w:t>
            </w:r>
          </w:p>
        </w:tc>
        <w:tc>
          <w:tcPr>
            <w:tcW w:w="106" w:type="pct"/>
            <w:tcBorders>
              <w:top w:val="nil"/>
              <w:left w:val="nil"/>
              <w:bottom w:val="nil"/>
              <w:right w:val="nil"/>
              <w:tl2br w:val="nil"/>
              <w:tr2bl w:val="nil"/>
            </w:tcBorders>
            <w:shd w:val="clear" w:color="auto" w:fill="CCEEFF"/>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17" w:type="pct"/>
            <w:tcBorders>
              <w:top w:val="nil"/>
              <w:left w:val="nil"/>
              <w:bottom w:val="nil"/>
              <w:right w:val="nil"/>
              <w:tl2br w:val="nil"/>
              <w:tr2bl w:val="nil"/>
            </w:tcBorders>
            <w:shd w:val="clear" w:color="auto" w:fill="CCEEFF"/>
            <w:noWrap/>
            <w:vAlign w:val="bottom"/>
          </w:tcPr>
          <w:p w:rsidRPr="00641503" w:rsidR="009534E2" w:rsidRDefault="003369EB">
            <w:pPr>
              <w:spacing w:after="1"/>
              <w:jc w:val="right"/>
              <w:rPr>
                <w:color w:val="000000"/>
              </w:rPr>
            </w:pPr>
            <w:r w:rsidRPr="00641503">
              <w:rPr>
                <w:rFonts w:ascii="Times New Roman" w:hAnsi="Times New Roman" w:eastAsia="Times New Roman" w:cs="Times New Roman"/>
                <w:color w:val="000000"/>
              </w:rPr>
              <w:t xml:space="preserve"> (5,752)</w:t>
            </w:r>
          </w:p>
        </w:tc>
        <w:tc>
          <w:tcPr>
            <w:tcW w:w="106"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417" w:type="pct"/>
            <w:tcBorders>
              <w:top w:val="nil"/>
              <w:left w:val="nil"/>
              <w:bottom w:val="nil"/>
              <w:right w:val="nil"/>
              <w:tl2br w:val="nil"/>
              <w:tr2bl w:val="nil"/>
            </w:tcBorders>
            <w:shd w:val="clear" w:color="auto" w:fill="CCEEFF"/>
            <w:noWrap/>
            <w:vAlign w:val="bottom"/>
          </w:tcPr>
          <w:p w:rsidRPr="00641503" w:rsidR="009534E2" w:rsidRDefault="003369EB">
            <w:pPr>
              <w:spacing w:after="1"/>
              <w:jc w:val="right"/>
              <w:rPr>
                <w:color w:val="000000"/>
              </w:rPr>
            </w:pPr>
            <w:r w:rsidRPr="00641503">
              <w:rPr>
                <w:rFonts w:ascii="Times New Roman" w:hAnsi="Times New Roman" w:eastAsia="Times New Roman" w:cs="Times New Roman"/>
                <w:color w:val="000000"/>
              </w:rPr>
              <w:t xml:space="preserve"> (3,264)</w:t>
            </w:r>
          </w:p>
        </w:tc>
        <w:tc>
          <w:tcPr>
            <w:tcW w:w="106"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417" w:type="pct"/>
            <w:tcBorders>
              <w:top w:val="nil"/>
              <w:left w:val="nil"/>
              <w:bottom w:val="nil"/>
              <w:right w:val="nil"/>
              <w:tl2br w:val="nil"/>
              <w:tr2bl w:val="nil"/>
            </w:tcBorders>
            <w:shd w:val="clear" w:color="auto" w:fill="CCEEFF"/>
            <w:noWrap/>
            <w:vAlign w:val="bottom"/>
          </w:tcPr>
          <w:p w:rsidRPr="00641503" w:rsidR="009534E2" w:rsidRDefault="003369EB">
            <w:pPr>
              <w:spacing w:after="1"/>
              <w:jc w:val="right"/>
              <w:rPr>
                <w:color w:val="000000"/>
              </w:rPr>
            </w:pPr>
            <w:r w:rsidRPr="00641503">
              <w:rPr>
                <w:rFonts w:ascii="Times New Roman" w:hAnsi="Times New Roman" w:eastAsia="Times New Roman" w:cs="Times New Roman"/>
                <w:color w:val="000000"/>
              </w:rPr>
              <w:t xml:space="preserve"> (419)</w:t>
            </w:r>
          </w:p>
        </w:tc>
        <w:tc>
          <w:tcPr>
            <w:tcW w:w="98"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r>
      <w:tr w:rsidR="00641503" w:rsidTr="00641503">
        <w:tc>
          <w:tcPr>
            <w:tcW w:w="3332" w:type="pct"/>
            <w:tcBorders>
              <w:top w:val="nil"/>
              <w:left w:val="nil"/>
              <w:bottom w:val="nil"/>
              <w:right w:val="nil"/>
              <w:tl2br w:val="nil"/>
              <w:tr2bl w:val="nil"/>
            </w:tcBorders>
            <w:vAlign w:val="bottom"/>
          </w:tcPr>
          <w:p w:rsidR="009534E2" w:rsidRDefault="003369EB">
            <w:pPr>
              <w:spacing w:after="1"/>
              <w:ind w:left="120"/>
              <w:rPr>
                <w:i/>
                <w:color w:val="000000"/>
              </w:rPr>
            </w:pPr>
            <w:bookmarkStart w:name="_4c57353f_2a3e_44ea_be63_6a1992ee4b87" w:id="2271"/>
            <w:bookmarkEnd w:id="2270"/>
            <w:r>
              <w:rPr>
                <w:rFonts w:ascii="Times New Roman" w:hAnsi="Times New Roman" w:eastAsia="Times New Roman" w:cs="Times New Roman"/>
                <w:i/>
                <w:color w:val="000000"/>
              </w:rPr>
              <w:t>including personnel expenses</w:t>
            </w:r>
          </w:p>
        </w:tc>
        <w:tc>
          <w:tcPr>
            <w:tcW w:w="106" w:type="pct"/>
            <w:tcBorders>
              <w:top w:val="nil"/>
              <w:left w:val="nil"/>
              <w:bottom w:val="nil"/>
              <w:right w:val="nil"/>
              <w:tl2br w:val="nil"/>
              <w:tr2bl w:val="nil"/>
            </w:tcBorders>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17" w:type="pct"/>
            <w:tcBorders>
              <w:top w:val="nil"/>
              <w:left w:val="nil"/>
              <w:bottom w:val="nil"/>
              <w:right w:val="nil"/>
              <w:tl2br w:val="nil"/>
              <w:tr2bl w:val="nil"/>
            </w:tcBorders>
            <w:noWrap/>
            <w:vAlign w:val="bottom"/>
          </w:tcPr>
          <w:p w:rsidRPr="00641503" w:rsidR="009534E2" w:rsidRDefault="003369EB">
            <w:pPr>
              <w:spacing w:after="1"/>
              <w:jc w:val="right"/>
              <w:rPr>
                <w:i/>
                <w:color w:val="000000"/>
              </w:rPr>
            </w:pPr>
            <w:r w:rsidRPr="00641503">
              <w:rPr>
                <w:rFonts w:ascii="Times New Roman" w:hAnsi="Times New Roman" w:eastAsia="Times New Roman" w:cs="Times New Roman"/>
                <w:i/>
                <w:color w:val="000000"/>
              </w:rPr>
              <w:t xml:space="preserve"> (2,965)</w:t>
            </w:r>
          </w:p>
        </w:tc>
        <w:tc>
          <w:tcPr>
            <w:tcW w:w="106" w:type="pct"/>
            <w:tcBorders>
              <w:top w:val="nil"/>
              <w:left w:val="nil"/>
              <w:bottom w:val="nil"/>
              <w:right w:val="nil"/>
              <w:tl2br w:val="nil"/>
              <w:tr2bl w:val="nil"/>
            </w:tcBorders>
            <w:noWrap/>
            <w:vAlign w:val="bottom"/>
          </w:tcPr>
          <w:p w:rsidR="009534E2" w:rsidRDefault="009534E2">
            <w:pPr>
              <w:spacing w:after="1"/>
              <w:rPr>
                <w:color w:val="000000"/>
              </w:rPr>
            </w:pPr>
          </w:p>
        </w:tc>
        <w:tc>
          <w:tcPr>
            <w:tcW w:w="417" w:type="pct"/>
            <w:tcBorders>
              <w:top w:val="nil"/>
              <w:left w:val="nil"/>
              <w:bottom w:val="nil"/>
              <w:right w:val="nil"/>
              <w:tl2br w:val="nil"/>
              <w:tr2bl w:val="nil"/>
            </w:tcBorders>
            <w:noWrap/>
            <w:vAlign w:val="bottom"/>
          </w:tcPr>
          <w:p w:rsidRPr="00641503" w:rsidR="009534E2" w:rsidRDefault="003369EB">
            <w:pPr>
              <w:spacing w:after="1"/>
              <w:jc w:val="right"/>
              <w:rPr>
                <w:i/>
                <w:color w:val="000000"/>
              </w:rPr>
            </w:pPr>
            <w:r w:rsidRPr="00641503">
              <w:rPr>
                <w:rFonts w:ascii="Times New Roman" w:hAnsi="Times New Roman" w:eastAsia="Times New Roman" w:cs="Times New Roman"/>
                <w:i/>
                <w:color w:val="000000"/>
              </w:rPr>
              <w:t xml:space="preserve"> (1,853)</w:t>
            </w:r>
          </w:p>
        </w:tc>
        <w:tc>
          <w:tcPr>
            <w:tcW w:w="106" w:type="pct"/>
            <w:tcBorders>
              <w:top w:val="nil"/>
              <w:left w:val="nil"/>
              <w:bottom w:val="nil"/>
              <w:right w:val="nil"/>
              <w:tl2br w:val="nil"/>
              <w:tr2bl w:val="nil"/>
            </w:tcBorders>
            <w:noWrap/>
            <w:vAlign w:val="bottom"/>
          </w:tcPr>
          <w:p w:rsidR="009534E2" w:rsidRDefault="009534E2">
            <w:pPr>
              <w:spacing w:after="1"/>
              <w:rPr>
                <w:color w:val="000000"/>
              </w:rPr>
            </w:pPr>
          </w:p>
        </w:tc>
        <w:tc>
          <w:tcPr>
            <w:tcW w:w="417" w:type="pct"/>
            <w:tcBorders>
              <w:top w:val="nil"/>
              <w:left w:val="nil"/>
              <w:bottom w:val="nil"/>
              <w:right w:val="nil"/>
              <w:tl2br w:val="nil"/>
              <w:tr2bl w:val="nil"/>
            </w:tcBorders>
            <w:noWrap/>
            <w:vAlign w:val="bottom"/>
          </w:tcPr>
          <w:p w:rsidRPr="00641503" w:rsidR="009534E2" w:rsidRDefault="003369EB">
            <w:pPr>
              <w:spacing w:after="1"/>
              <w:jc w:val="right"/>
              <w:rPr>
                <w:i/>
                <w:color w:val="000000"/>
              </w:rPr>
            </w:pPr>
            <w:r w:rsidRPr="00641503">
              <w:rPr>
                <w:rFonts w:ascii="Times New Roman" w:hAnsi="Times New Roman" w:eastAsia="Times New Roman" w:cs="Times New Roman"/>
                <w:i/>
                <w:color w:val="000000"/>
              </w:rPr>
              <w:t xml:space="preserve"> (185)</w:t>
            </w:r>
          </w:p>
        </w:tc>
        <w:tc>
          <w:tcPr>
            <w:tcW w:w="98" w:type="pct"/>
            <w:tcBorders>
              <w:top w:val="nil"/>
              <w:left w:val="nil"/>
              <w:bottom w:val="nil"/>
              <w:right w:val="nil"/>
              <w:tl2br w:val="nil"/>
              <w:tr2bl w:val="nil"/>
            </w:tcBorders>
            <w:noWrap/>
            <w:vAlign w:val="bottom"/>
          </w:tcPr>
          <w:p w:rsidR="009534E2" w:rsidRDefault="009534E2">
            <w:pPr>
              <w:spacing w:after="1"/>
              <w:rPr>
                <w:color w:val="000000"/>
              </w:rPr>
            </w:pPr>
          </w:p>
        </w:tc>
      </w:tr>
      <w:tr w:rsidR="00641503" w:rsidTr="00641503">
        <w:tc>
          <w:tcPr>
            <w:tcW w:w="3332" w:type="pct"/>
            <w:tcBorders>
              <w:top w:val="nil"/>
              <w:left w:val="nil"/>
              <w:bottom w:val="nil"/>
              <w:right w:val="nil"/>
              <w:tl2br w:val="nil"/>
              <w:tr2bl w:val="nil"/>
            </w:tcBorders>
            <w:shd w:val="clear" w:color="auto" w:fill="CCEEFF"/>
            <w:vAlign w:val="bottom"/>
          </w:tcPr>
          <w:p w:rsidR="009534E2" w:rsidRDefault="003369EB">
            <w:pPr>
              <w:spacing w:after="1"/>
              <w:ind w:left="120"/>
              <w:rPr>
                <w:i/>
                <w:color w:val="000000"/>
              </w:rPr>
            </w:pPr>
            <w:bookmarkStart w:name="_5145c123_58f0_4960_adea_ec8a7d22f110" w:id="2272"/>
            <w:bookmarkEnd w:id="2271"/>
            <w:r>
              <w:rPr>
                <w:rFonts w:ascii="Times New Roman" w:hAnsi="Times New Roman" w:eastAsia="Times New Roman" w:cs="Times New Roman"/>
                <w:i/>
                <w:color w:val="000000"/>
              </w:rPr>
              <w:t>including depreciation and amortization</w:t>
            </w:r>
          </w:p>
        </w:tc>
        <w:tc>
          <w:tcPr>
            <w:tcW w:w="106" w:type="pct"/>
            <w:tcBorders>
              <w:top w:val="nil"/>
              <w:left w:val="nil"/>
              <w:bottom w:val="nil"/>
              <w:right w:val="nil"/>
              <w:tl2br w:val="nil"/>
              <w:tr2bl w:val="nil"/>
            </w:tcBorders>
            <w:shd w:val="clear" w:color="auto" w:fill="CCEEFF"/>
            <w:noWrap/>
            <w:vAlign w:val="bottom"/>
          </w:tcPr>
          <w:p w:rsidR="009534E2" w:rsidRDefault="003369EB">
            <w:pPr>
              <w:spacing w:after="1"/>
              <w:rPr>
                <w:b/>
                <w:color w:val="000000"/>
              </w:rPr>
            </w:pPr>
            <w:r>
              <w:rPr>
                <w:rFonts w:ascii="Times New Roman" w:hAnsi="Times New Roman" w:eastAsia="Times New Roman" w:cs="Times New Roman"/>
                <w:b/>
                <w:color w:val="000000"/>
              </w:rPr>
              <w:t> </w:t>
            </w:r>
          </w:p>
        </w:tc>
        <w:tc>
          <w:tcPr>
            <w:tcW w:w="417" w:type="pct"/>
            <w:tcBorders>
              <w:top w:val="nil"/>
              <w:left w:val="nil"/>
              <w:bottom w:val="single" w:color="000000" w:sz="4" w:space="0"/>
              <w:right w:val="nil"/>
              <w:tl2br w:val="nil"/>
              <w:tr2bl w:val="nil"/>
            </w:tcBorders>
            <w:shd w:val="clear" w:color="auto" w:fill="CCEEFF"/>
            <w:noWrap/>
            <w:vAlign w:val="bottom"/>
          </w:tcPr>
          <w:p w:rsidRPr="00641503" w:rsidR="009534E2" w:rsidRDefault="003369EB">
            <w:pPr>
              <w:spacing w:after="1"/>
              <w:jc w:val="right"/>
              <w:rPr>
                <w:i/>
                <w:color w:val="000000"/>
              </w:rPr>
            </w:pPr>
            <w:r w:rsidRPr="00641503">
              <w:rPr>
                <w:rFonts w:ascii="Times New Roman" w:hAnsi="Times New Roman" w:eastAsia="Times New Roman" w:cs="Times New Roman"/>
                <w:i/>
                <w:color w:val="000000"/>
              </w:rPr>
              <w:t xml:space="preserve"> (297)</w:t>
            </w:r>
          </w:p>
        </w:tc>
        <w:tc>
          <w:tcPr>
            <w:tcW w:w="106"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417" w:type="pct"/>
            <w:tcBorders>
              <w:top w:val="nil"/>
              <w:left w:val="nil"/>
              <w:bottom w:val="single" w:color="000000" w:sz="4" w:space="0"/>
              <w:right w:val="nil"/>
              <w:tl2br w:val="nil"/>
              <w:tr2bl w:val="nil"/>
            </w:tcBorders>
            <w:shd w:val="clear" w:color="auto" w:fill="CCEEFF"/>
            <w:noWrap/>
            <w:vAlign w:val="bottom"/>
          </w:tcPr>
          <w:p w:rsidRPr="00641503" w:rsidR="009534E2" w:rsidRDefault="003369EB">
            <w:pPr>
              <w:spacing w:after="1"/>
              <w:jc w:val="right"/>
              <w:rPr>
                <w:i/>
                <w:color w:val="000000"/>
              </w:rPr>
            </w:pPr>
            <w:r w:rsidRPr="00641503">
              <w:rPr>
                <w:rFonts w:ascii="Times New Roman" w:hAnsi="Times New Roman" w:eastAsia="Times New Roman" w:cs="Times New Roman"/>
                <w:i/>
                <w:color w:val="000000"/>
              </w:rPr>
              <w:t xml:space="preserve"> (168)</w:t>
            </w:r>
          </w:p>
        </w:tc>
        <w:tc>
          <w:tcPr>
            <w:tcW w:w="106"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417" w:type="pct"/>
            <w:tcBorders>
              <w:top w:val="nil"/>
              <w:left w:val="nil"/>
              <w:bottom w:val="single" w:color="000000" w:sz="4" w:space="0"/>
              <w:right w:val="nil"/>
              <w:tl2br w:val="nil"/>
              <w:tr2bl w:val="nil"/>
            </w:tcBorders>
            <w:shd w:val="clear" w:color="auto" w:fill="CCEEFF"/>
            <w:noWrap/>
            <w:vAlign w:val="bottom"/>
          </w:tcPr>
          <w:p w:rsidRPr="00641503" w:rsidR="009534E2" w:rsidRDefault="003369EB">
            <w:pPr>
              <w:spacing w:after="1"/>
              <w:jc w:val="right"/>
              <w:rPr>
                <w:i/>
                <w:color w:val="000000"/>
              </w:rPr>
            </w:pPr>
            <w:r w:rsidRPr="00641503">
              <w:rPr>
                <w:rFonts w:ascii="Times New Roman" w:hAnsi="Times New Roman" w:eastAsia="Times New Roman" w:cs="Times New Roman"/>
                <w:i/>
                <w:color w:val="000000"/>
              </w:rPr>
              <w:t xml:space="preserve"> (16)</w:t>
            </w:r>
          </w:p>
        </w:tc>
        <w:tc>
          <w:tcPr>
            <w:tcW w:w="98"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r>
      <w:tr w:rsidR="00641503" w:rsidTr="00641503">
        <w:tc>
          <w:tcPr>
            <w:tcW w:w="3332" w:type="pct"/>
            <w:tcBorders>
              <w:top w:val="nil"/>
              <w:left w:val="nil"/>
              <w:bottom w:val="nil"/>
              <w:right w:val="nil"/>
              <w:tl2br w:val="nil"/>
              <w:tr2bl w:val="nil"/>
            </w:tcBorders>
            <w:vAlign w:val="bottom"/>
          </w:tcPr>
          <w:p w:rsidR="009534E2" w:rsidRDefault="003369EB">
            <w:pPr>
              <w:spacing w:after="1"/>
              <w:rPr>
                <w:b/>
                <w:color w:val="000000"/>
              </w:rPr>
            </w:pPr>
            <w:bookmarkStart w:name="_07d3703b_b60b_441a_8494_7d15a5adaf42" w:id="2273"/>
            <w:bookmarkEnd w:id="2272"/>
            <w:r>
              <w:rPr>
                <w:rFonts w:ascii="Times New Roman" w:hAnsi="Times New Roman" w:eastAsia="Times New Roman" w:cs="Times New Roman"/>
                <w:b/>
                <w:color w:val="000000"/>
              </w:rPr>
              <w:t>Total net profit/(loss)</w:t>
            </w:r>
          </w:p>
        </w:tc>
        <w:tc>
          <w:tcPr>
            <w:tcW w:w="106" w:type="pct"/>
            <w:tcBorders>
              <w:top w:val="nil"/>
              <w:left w:val="nil"/>
              <w:bottom w:val="nil"/>
              <w:right w:val="nil"/>
              <w:tl2br w:val="nil"/>
              <w:tr2bl w:val="nil"/>
            </w:tcBorders>
            <w:noWrap/>
            <w:vAlign w:val="bottom"/>
          </w:tcPr>
          <w:p w:rsidR="009534E2" w:rsidRDefault="003369EB">
            <w:pPr>
              <w:spacing w:after="1"/>
              <w:rPr>
                <w:b/>
                <w:color w:val="000000"/>
              </w:rPr>
            </w:pPr>
            <w:r>
              <w:rPr>
                <w:rFonts w:ascii="Times New Roman" w:hAnsi="Times New Roman" w:eastAsia="Times New Roman" w:cs="Times New Roman"/>
                <w:b/>
                <w:color w:val="000000"/>
              </w:rPr>
              <w:t> </w:t>
            </w:r>
          </w:p>
        </w:tc>
        <w:tc>
          <w:tcPr>
            <w:tcW w:w="417" w:type="pct"/>
            <w:tcBorders>
              <w:top w:val="nil"/>
              <w:left w:val="nil"/>
              <w:bottom w:val="single" w:color="000000" w:sz="4" w:space="0"/>
              <w:right w:val="nil"/>
              <w:tl2br w:val="nil"/>
              <w:tr2bl w:val="nil"/>
            </w:tcBorders>
            <w:noWrap/>
            <w:vAlign w:val="bottom"/>
          </w:tcPr>
          <w:p w:rsidRPr="00641503" w:rsidR="009534E2" w:rsidRDefault="003369EB">
            <w:pPr>
              <w:spacing w:after="1"/>
              <w:ind w:right="60"/>
              <w:jc w:val="right"/>
              <w:rPr>
                <w:b/>
                <w:color w:val="000000"/>
              </w:rPr>
            </w:pPr>
            <w:r w:rsidRPr="00641503">
              <w:rPr>
                <w:rFonts w:ascii="Times New Roman" w:hAnsi="Times New Roman" w:eastAsia="Times New Roman" w:cs="Times New Roman"/>
                <w:b/>
                <w:color w:val="000000"/>
              </w:rPr>
              <w:t xml:space="preserve"> 1,492</w:t>
            </w:r>
          </w:p>
        </w:tc>
        <w:tc>
          <w:tcPr>
            <w:tcW w:w="106" w:type="pct"/>
            <w:tcBorders>
              <w:top w:val="nil"/>
              <w:left w:val="nil"/>
              <w:bottom w:val="nil"/>
              <w:right w:val="nil"/>
              <w:tl2br w:val="nil"/>
              <w:tr2bl w:val="nil"/>
            </w:tcBorders>
            <w:noWrap/>
            <w:vAlign w:val="bottom"/>
          </w:tcPr>
          <w:p w:rsidR="009534E2" w:rsidRDefault="009534E2">
            <w:pPr>
              <w:spacing w:after="1"/>
              <w:rPr>
                <w:b/>
                <w:color w:val="000000"/>
              </w:rPr>
            </w:pPr>
          </w:p>
        </w:tc>
        <w:tc>
          <w:tcPr>
            <w:tcW w:w="417" w:type="pct"/>
            <w:tcBorders>
              <w:top w:val="nil"/>
              <w:left w:val="nil"/>
              <w:bottom w:val="single" w:color="000000" w:sz="4" w:space="0"/>
              <w:right w:val="nil"/>
              <w:tl2br w:val="nil"/>
              <w:tr2bl w:val="nil"/>
            </w:tcBorders>
            <w:noWrap/>
            <w:vAlign w:val="bottom"/>
          </w:tcPr>
          <w:p w:rsidRPr="00641503" w:rsidR="009534E2" w:rsidRDefault="003369EB">
            <w:pPr>
              <w:spacing w:after="1"/>
              <w:ind w:right="60"/>
              <w:jc w:val="right"/>
              <w:rPr>
                <w:b/>
                <w:color w:val="000000"/>
              </w:rPr>
            </w:pPr>
            <w:r w:rsidRPr="00641503">
              <w:rPr>
                <w:rFonts w:ascii="Times New Roman" w:hAnsi="Times New Roman" w:eastAsia="Times New Roman" w:cs="Times New Roman"/>
                <w:b/>
                <w:color w:val="000000"/>
              </w:rPr>
              <w:t xml:space="preserve"> 699</w:t>
            </w:r>
          </w:p>
        </w:tc>
        <w:tc>
          <w:tcPr>
            <w:tcW w:w="106" w:type="pct"/>
            <w:tcBorders>
              <w:top w:val="nil"/>
              <w:left w:val="nil"/>
              <w:bottom w:val="nil"/>
              <w:right w:val="nil"/>
              <w:tl2br w:val="nil"/>
              <w:tr2bl w:val="nil"/>
            </w:tcBorders>
            <w:noWrap/>
            <w:vAlign w:val="bottom"/>
          </w:tcPr>
          <w:p w:rsidR="009534E2" w:rsidRDefault="009534E2">
            <w:pPr>
              <w:spacing w:after="1"/>
              <w:rPr>
                <w:b/>
                <w:color w:val="000000"/>
              </w:rPr>
            </w:pPr>
          </w:p>
        </w:tc>
        <w:tc>
          <w:tcPr>
            <w:tcW w:w="417" w:type="pct"/>
            <w:tcBorders>
              <w:top w:val="nil"/>
              <w:left w:val="nil"/>
              <w:bottom w:val="single" w:color="000000" w:sz="4" w:space="0"/>
              <w:right w:val="nil"/>
              <w:tl2br w:val="nil"/>
              <w:tr2bl w:val="nil"/>
            </w:tcBorders>
            <w:noWrap/>
            <w:vAlign w:val="bottom"/>
          </w:tcPr>
          <w:p w:rsidRPr="00641503" w:rsidR="009534E2" w:rsidRDefault="003369EB">
            <w:pPr>
              <w:spacing w:after="1"/>
              <w:jc w:val="right"/>
              <w:rPr>
                <w:b/>
                <w:color w:val="000000"/>
              </w:rPr>
            </w:pPr>
            <w:r w:rsidRPr="00641503">
              <w:rPr>
                <w:rFonts w:ascii="Times New Roman" w:hAnsi="Times New Roman" w:eastAsia="Times New Roman" w:cs="Times New Roman"/>
                <w:b/>
                <w:color w:val="000000"/>
              </w:rPr>
              <w:t xml:space="preserve"> (392)</w:t>
            </w:r>
          </w:p>
        </w:tc>
        <w:tc>
          <w:tcPr>
            <w:tcW w:w="98" w:type="pct"/>
            <w:tcBorders>
              <w:top w:val="nil"/>
              <w:left w:val="nil"/>
              <w:bottom w:val="nil"/>
              <w:right w:val="nil"/>
              <w:tl2br w:val="nil"/>
              <w:tr2bl w:val="nil"/>
            </w:tcBorders>
            <w:noWrap/>
            <w:vAlign w:val="bottom"/>
          </w:tcPr>
          <w:p w:rsidR="009534E2" w:rsidRDefault="009534E2">
            <w:pPr>
              <w:spacing w:after="1"/>
              <w:rPr>
                <w:b/>
                <w:color w:val="000000"/>
              </w:rPr>
            </w:pPr>
          </w:p>
        </w:tc>
      </w:tr>
      <w:tr w:rsidR="00641503" w:rsidTr="00641503">
        <w:tc>
          <w:tcPr>
            <w:tcW w:w="3332" w:type="pct"/>
            <w:tcBorders>
              <w:top w:val="nil"/>
              <w:left w:val="nil"/>
              <w:bottom w:val="nil"/>
              <w:right w:val="nil"/>
              <w:tl2br w:val="nil"/>
              <w:tr2bl w:val="nil"/>
            </w:tcBorders>
            <w:shd w:val="clear" w:color="auto" w:fill="CCEEFF"/>
            <w:vAlign w:val="bottom"/>
          </w:tcPr>
          <w:p w:rsidR="009534E2" w:rsidRDefault="003369EB">
            <w:pPr>
              <w:spacing w:after="1"/>
              <w:rPr>
                <w:color w:val="000000"/>
              </w:rPr>
            </w:pPr>
            <w:bookmarkStart w:name="_5ec72d69_09f9_4e6d_839c_4306a912c496" w:id="2274"/>
            <w:bookmarkStart w:name="_f2115922_f635_41ec_8157_059d966ec171" w:colFirst="6" w:colLast="6" w:id="2275"/>
            <w:bookmarkEnd w:id="2273"/>
            <w:r>
              <w:rPr>
                <w:rFonts w:ascii="Times New Roman" w:hAnsi="Times New Roman" w:eastAsia="Times New Roman" w:cs="Times New Roman"/>
                <w:color w:val="000000"/>
              </w:rPr>
              <w:t>Group’s share in equity</w:t>
            </w:r>
          </w:p>
        </w:tc>
        <w:tc>
          <w:tcPr>
            <w:tcW w:w="106"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417" w:type="pct"/>
            <w:tcBorders>
              <w:top w:val="nil"/>
              <w:left w:val="nil"/>
              <w:bottom w:val="nil"/>
              <w:right w:val="nil"/>
              <w:tl2br w:val="nil"/>
              <w:tr2bl w:val="nil"/>
            </w:tcBorders>
            <w:shd w:val="clear" w:color="auto" w:fill="CCEEFF"/>
            <w:noWrap/>
            <w:vAlign w:val="bottom"/>
          </w:tcPr>
          <w:p w:rsidRPr="00641503" w:rsidR="009534E2" w:rsidRDefault="003369EB">
            <w:pPr>
              <w:spacing w:after="1"/>
              <w:ind w:right="60"/>
              <w:jc w:val="right"/>
              <w:rPr>
                <w:color w:val="000000"/>
              </w:rPr>
            </w:pPr>
            <w:r w:rsidRPr="00641503">
              <w:rPr>
                <w:rFonts w:ascii="Times New Roman" w:hAnsi="Times New Roman" w:eastAsia="Times New Roman" w:cs="Times New Roman"/>
                <w:color w:val="000000"/>
              </w:rPr>
              <w:t xml:space="preserve"> 45</w:t>
            </w:r>
          </w:p>
        </w:tc>
        <w:tc>
          <w:tcPr>
            <w:tcW w:w="106" w:type="pct"/>
            <w:tcBorders>
              <w:top w:val="nil"/>
              <w:left w:val="nil"/>
              <w:bottom w:val="nil"/>
              <w:right w:val="nil"/>
              <w:tl2br w:val="nil"/>
              <w:tr2bl w:val="nil"/>
            </w:tcBorders>
            <w:shd w:val="clear" w:color="auto" w:fill="CCEEFF"/>
            <w:noWrap/>
            <w:vAlign w:val="bottom"/>
          </w:tcPr>
          <w:p w:rsidR="009534E2" w:rsidRDefault="003369EB">
            <w:pPr>
              <w:spacing w:after="1"/>
              <w:rPr>
                <w:color w:val="000000"/>
              </w:rPr>
            </w:pPr>
            <w:r>
              <w:rPr>
                <w:rFonts w:ascii="Times New Roman" w:hAnsi="Times New Roman" w:eastAsia="Times New Roman" w:cs="Times New Roman"/>
                <w:color w:val="000000"/>
              </w:rPr>
              <w:t>%</w:t>
            </w:r>
          </w:p>
        </w:tc>
        <w:tc>
          <w:tcPr>
            <w:tcW w:w="417" w:type="pct"/>
            <w:tcBorders>
              <w:top w:val="nil"/>
              <w:left w:val="nil"/>
              <w:bottom w:val="nil"/>
              <w:right w:val="nil"/>
              <w:tl2br w:val="nil"/>
              <w:tr2bl w:val="nil"/>
            </w:tcBorders>
            <w:shd w:val="clear" w:color="auto" w:fill="CCEEFF"/>
            <w:noWrap/>
            <w:vAlign w:val="bottom"/>
          </w:tcPr>
          <w:p w:rsidRPr="00641503" w:rsidR="009534E2" w:rsidRDefault="003369EB">
            <w:pPr>
              <w:spacing w:after="1"/>
              <w:ind w:right="60"/>
              <w:jc w:val="right"/>
              <w:rPr>
                <w:color w:val="000000"/>
              </w:rPr>
            </w:pPr>
            <w:r w:rsidRPr="00641503">
              <w:rPr>
                <w:rFonts w:ascii="Times New Roman" w:hAnsi="Times New Roman" w:eastAsia="Times New Roman" w:cs="Times New Roman"/>
                <w:color w:val="000000"/>
              </w:rPr>
              <w:t xml:space="preserve"> 45</w:t>
            </w:r>
          </w:p>
        </w:tc>
        <w:tc>
          <w:tcPr>
            <w:tcW w:w="106" w:type="pct"/>
            <w:tcBorders>
              <w:top w:val="nil"/>
              <w:left w:val="nil"/>
              <w:bottom w:val="nil"/>
              <w:right w:val="nil"/>
              <w:tl2br w:val="nil"/>
              <w:tr2bl w:val="nil"/>
            </w:tcBorders>
            <w:shd w:val="clear" w:color="auto" w:fill="CCEEFF"/>
            <w:noWrap/>
            <w:vAlign w:val="bottom"/>
          </w:tcPr>
          <w:p w:rsidR="009534E2" w:rsidRDefault="003369EB">
            <w:pPr>
              <w:spacing w:after="1"/>
              <w:rPr>
                <w:color w:val="000000"/>
              </w:rPr>
            </w:pPr>
            <w:r>
              <w:rPr>
                <w:rFonts w:ascii="Times New Roman" w:hAnsi="Times New Roman" w:eastAsia="Times New Roman" w:cs="Times New Roman"/>
                <w:color w:val="000000"/>
              </w:rPr>
              <w:t>%</w:t>
            </w:r>
          </w:p>
        </w:tc>
        <w:tc>
          <w:tcPr>
            <w:tcW w:w="417" w:type="pct"/>
            <w:tcBorders>
              <w:top w:val="nil"/>
              <w:left w:val="nil"/>
              <w:bottom w:val="nil"/>
              <w:right w:val="nil"/>
              <w:tl2br w:val="nil"/>
              <w:tr2bl w:val="nil"/>
            </w:tcBorders>
            <w:shd w:val="clear" w:color="auto" w:fill="CCEEFF"/>
            <w:noWrap/>
            <w:vAlign w:val="bottom"/>
          </w:tcPr>
          <w:p w:rsidRPr="00641503" w:rsidR="009534E2" w:rsidRDefault="003369EB">
            <w:pPr>
              <w:spacing w:after="1"/>
              <w:ind w:right="60"/>
              <w:jc w:val="right"/>
              <w:rPr>
                <w:color w:val="000000"/>
              </w:rPr>
            </w:pPr>
            <w:r w:rsidRPr="00641503">
              <w:rPr>
                <w:rFonts w:ascii="Times New Roman" w:hAnsi="Times New Roman" w:eastAsia="Times New Roman" w:cs="Times New Roman"/>
                <w:color w:val="000000"/>
              </w:rPr>
              <w:t xml:space="preserve"> 9.9</w:t>
            </w:r>
          </w:p>
        </w:tc>
        <w:tc>
          <w:tcPr>
            <w:tcW w:w="98" w:type="pct"/>
            <w:tcBorders>
              <w:top w:val="nil"/>
              <w:left w:val="nil"/>
              <w:bottom w:val="nil"/>
              <w:right w:val="nil"/>
              <w:tl2br w:val="nil"/>
              <w:tr2bl w:val="nil"/>
            </w:tcBorders>
            <w:shd w:val="clear" w:color="auto" w:fill="CCEEFF"/>
            <w:noWrap/>
            <w:vAlign w:val="bottom"/>
          </w:tcPr>
          <w:p w:rsidR="009534E2" w:rsidRDefault="003369EB">
            <w:pPr>
              <w:spacing w:after="1"/>
              <w:rPr>
                <w:color w:val="000000"/>
              </w:rPr>
            </w:pPr>
            <w:r>
              <w:rPr>
                <w:rFonts w:ascii="Times New Roman" w:hAnsi="Times New Roman" w:eastAsia="Times New Roman" w:cs="Times New Roman"/>
                <w:color w:val="000000"/>
              </w:rPr>
              <w:t>%</w:t>
            </w:r>
          </w:p>
        </w:tc>
      </w:tr>
      <w:tr w:rsidR="00641503" w:rsidTr="00641503">
        <w:tc>
          <w:tcPr>
            <w:tcW w:w="3332" w:type="pct"/>
            <w:tcBorders>
              <w:top w:val="nil"/>
              <w:left w:val="nil"/>
              <w:bottom w:val="nil"/>
              <w:right w:val="nil"/>
              <w:tl2br w:val="nil"/>
              <w:tr2bl w:val="nil"/>
            </w:tcBorders>
            <w:vAlign w:val="bottom"/>
          </w:tcPr>
          <w:p w:rsidR="009534E2" w:rsidRDefault="003369EB">
            <w:pPr>
              <w:spacing w:after="1"/>
              <w:rPr>
                <w:b/>
                <w:color w:val="000000"/>
              </w:rPr>
            </w:pPr>
            <w:bookmarkStart w:name="_2f82f856_6b60_45cb_b846_449f9f415045" w:id="2276"/>
            <w:bookmarkEnd w:id="2274"/>
            <w:bookmarkEnd w:id="2275"/>
            <w:r>
              <w:rPr>
                <w:rFonts w:ascii="Times New Roman" w:hAnsi="Times New Roman" w:eastAsia="Times New Roman" w:cs="Times New Roman"/>
                <w:b/>
                <w:color w:val="000000"/>
              </w:rPr>
              <w:t xml:space="preserve">Group’s share of total net profit/(loss) </w:t>
            </w:r>
          </w:p>
        </w:tc>
        <w:tc>
          <w:tcPr>
            <w:tcW w:w="106" w:type="pct"/>
            <w:tcBorders>
              <w:top w:val="nil"/>
              <w:left w:val="nil"/>
              <w:bottom w:val="nil"/>
              <w:right w:val="nil"/>
              <w:tl2br w:val="nil"/>
              <w:tr2bl w:val="nil"/>
            </w:tcBorders>
            <w:noWrap/>
            <w:vAlign w:val="bottom"/>
          </w:tcPr>
          <w:p w:rsidR="009534E2" w:rsidRDefault="009534E2">
            <w:pPr>
              <w:spacing w:after="1"/>
              <w:rPr>
                <w:b/>
                <w:color w:val="000000"/>
              </w:rPr>
            </w:pPr>
          </w:p>
        </w:tc>
        <w:tc>
          <w:tcPr>
            <w:tcW w:w="417" w:type="pct"/>
            <w:tcBorders>
              <w:top w:val="nil"/>
              <w:left w:val="nil"/>
              <w:bottom w:val="nil"/>
              <w:right w:val="nil"/>
              <w:tl2br w:val="nil"/>
              <w:tr2bl w:val="nil"/>
            </w:tcBorders>
            <w:noWrap/>
            <w:vAlign w:val="bottom"/>
          </w:tcPr>
          <w:p w:rsidRPr="00641503" w:rsidR="009534E2" w:rsidRDefault="003369EB">
            <w:pPr>
              <w:spacing w:after="1"/>
              <w:ind w:right="60"/>
              <w:jc w:val="right"/>
              <w:rPr>
                <w:b/>
                <w:color w:val="000000"/>
              </w:rPr>
            </w:pPr>
            <w:r w:rsidRPr="00641503">
              <w:rPr>
                <w:rFonts w:ascii="Times New Roman" w:hAnsi="Times New Roman" w:eastAsia="Times New Roman" w:cs="Times New Roman"/>
                <w:b/>
                <w:color w:val="000000"/>
              </w:rPr>
              <w:t xml:space="preserve"> 672</w:t>
            </w:r>
          </w:p>
        </w:tc>
        <w:tc>
          <w:tcPr>
            <w:tcW w:w="106" w:type="pct"/>
            <w:tcBorders>
              <w:top w:val="nil"/>
              <w:left w:val="nil"/>
              <w:bottom w:val="nil"/>
              <w:right w:val="nil"/>
              <w:tl2br w:val="nil"/>
              <w:tr2bl w:val="nil"/>
            </w:tcBorders>
            <w:noWrap/>
            <w:vAlign w:val="bottom"/>
          </w:tcPr>
          <w:p w:rsidR="009534E2" w:rsidRDefault="009534E2">
            <w:pPr>
              <w:spacing w:after="1"/>
              <w:rPr>
                <w:b/>
                <w:color w:val="000000"/>
              </w:rPr>
            </w:pPr>
          </w:p>
        </w:tc>
        <w:tc>
          <w:tcPr>
            <w:tcW w:w="417" w:type="pct"/>
            <w:tcBorders>
              <w:top w:val="nil"/>
              <w:left w:val="nil"/>
              <w:bottom w:val="nil"/>
              <w:right w:val="nil"/>
              <w:tl2br w:val="nil"/>
              <w:tr2bl w:val="nil"/>
            </w:tcBorders>
            <w:noWrap/>
            <w:vAlign w:val="bottom"/>
          </w:tcPr>
          <w:p w:rsidRPr="00641503" w:rsidR="009534E2" w:rsidRDefault="003369EB">
            <w:pPr>
              <w:spacing w:after="1"/>
              <w:ind w:right="60"/>
              <w:jc w:val="right"/>
              <w:rPr>
                <w:b/>
                <w:color w:val="000000"/>
              </w:rPr>
            </w:pPr>
            <w:r w:rsidRPr="00641503">
              <w:rPr>
                <w:rFonts w:ascii="Times New Roman" w:hAnsi="Times New Roman" w:eastAsia="Times New Roman" w:cs="Times New Roman"/>
                <w:b/>
                <w:color w:val="000000"/>
              </w:rPr>
              <w:t xml:space="preserve"> 314</w:t>
            </w:r>
          </w:p>
        </w:tc>
        <w:tc>
          <w:tcPr>
            <w:tcW w:w="106" w:type="pct"/>
            <w:tcBorders>
              <w:top w:val="nil"/>
              <w:left w:val="nil"/>
              <w:bottom w:val="nil"/>
              <w:right w:val="nil"/>
              <w:tl2br w:val="nil"/>
              <w:tr2bl w:val="nil"/>
            </w:tcBorders>
            <w:noWrap/>
            <w:vAlign w:val="bottom"/>
          </w:tcPr>
          <w:p w:rsidR="009534E2" w:rsidRDefault="009534E2">
            <w:pPr>
              <w:spacing w:after="1"/>
              <w:rPr>
                <w:b/>
                <w:color w:val="000000"/>
              </w:rPr>
            </w:pPr>
          </w:p>
        </w:tc>
        <w:tc>
          <w:tcPr>
            <w:tcW w:w="417" w:type="pct"/>
            <w:tcBorders>
              <w:top w:val="nil"/>
              <w:left w:val="nil"/>
              <w:bottom w:val="nil"/>
              <w:right w:val="nil"/>
              <w:tl2br w:val="nil"/>
              <w:tr2bl w:val="nil"/>
            </w:tcBorders>
            <w:noWrap/>
            <w:vAlign w:val="bottom"/>
          </w:tcPr>
          <w:p w:rsidRPr="00641503" w:rsidR="009534E2" w:rsidRDefault="003369EB">
            <w:pPr>
              <w:spacing w:after="1"/>
              <w:jc w:val="right"/>
              <w:rPr>
                <w:b/>
                <w:color w:val="000000"/>
              </w:rPr>
            </w:pPr>
            <w:r w:rsidRPr="00641503">
              <w:rPr>
                <w:rFonts w:ascii="Times New Roman" w:hAnsi="Times New Roman" w:eastAsia="Times New Roman" w:cs="Times New Roman"/>
                <w:b/>
                <w:color w:val="000000"/>
              </w:rPr>
              <w:t xml:space="preserve"> (39)</w:t>
            </w:r>
          </w:p>
        </w:tc>
        <w:tc>
          <w:tcPr>
            <w:tcW w:w="98" w:type="pct"/>
            <w:tcBorders>
              <w:top w:val="nil"/>
              <w:left w:val="nil"/>
              <w:bottom w:val="nil"/>
              <w:right w:val="nil"/>
              <w:tl2br w:val="nil"/>
              <w:tr2bl w:val="nil"/>
            </w:tcBorders>
            <w:noWrap/>
            <w:vAlign w:val="bottom"/>
          </w:tcPr>
          <w:p w:rsidR="009534E2" w:rsidRDefault="009534E2">
            <w:pPr>
              <w:spacing w:after="1"/>
              <w:rPr>
                <w:b/>
                <w:color w:val="000000"/>
              </w:rPr>
            </w:pPr>
          </w:p>
        </w:tc>
      </w:tr>
      <w:tr w:rsidR="00641503" w:rsidTr="00641503">
        <w:tc>
          <w:tcPr>
            <w:tcW w:w="3332" w:type="pct"/>
            <w:tcBorders>
              <w:top w:val="nil"/>
              <w:left w:val="nil"/>
              <w:bottom w:val="nil"/>
              <w:right w:val="nil"/>
              <w:tl2br w:val="nil"/>
              <w:tr2bl w:val="nil"/>
            </w:tcBorders>
            <w:shd w:val="clear" w:color="auto" w:fill="CCEEFF"/>
            <w:vAlign w:val="bottom"/>
          </w:tcPr>
          <w:p w:rsidR="009534E2" w:rsidRDefault="003369EB">
            <w:pPr>
              <w:spacing w:after="1"/>
              <w:rPr>
                <w:color w:val="000000"/>
              </w:rPr>
            </w:pPr>
            <w:bookmarkStart w:name="_81053b24_1720_46b7_95a2_cc618242de2d" w:id="2277"/>
            <w:bookmarkEnd w:id="2276"/>
            <w:r>
              <w:rPr>
                <w:rFonts w:ascii="Times New Roman" w:hAnsi="Times New Roman" w:eastAsia="Times New Roman" w:cs="Times New Roman"/>
                <w:color w:val="000000"/>
              </w:rPr>
              <w:t>Other comprehensive income</w:t>
            </w:r>
          </w:p>
        </w:tc>
        <w:tc>
          <w:tcPr>
            <w:tcW w:w="106"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417" w:type="pct"/>
            <w:tcBorders>
              <w:top w:val="nil"/>
              <w:left w:val="nil"/>
              <w:bottom w:val="nil"/>
              <w:right w:val="nil"/>
              <w:tl2br w:val="nil"/>
              <w:tr2bl w:val="nil"/>
            </w:tcBorders>
            <w:shd w:val="clear" w:color="auto" w:fill="CCEEFF"/>
            <w:noWrap/>
            <w:vAlign w:val="bottom"/>
          </w:tcPr>
          <w:p w:rsidRPr="00641503" w:rsidR="009534E2" w:rsidRDefault="003369EB">
            <w:pPr>
              <w:spacing w:after="1"/>
              <w:ind w:right="60"/>
              <w:jc w:val="right"/>
              <w:rPr>
                <w:color w:val="000000"/>
              </w:rPr>
            </w:pPr>
            <w:r w:rsidRPr="00641503">
              <w:rPr>
                <w:rFonts w:ascii="Times New Roman" w:hAnsi="Times New Roman" w:eastAsia="Times New Roman" w:cs="Times New Roman"/>
                <w:color w:val="000000"/>
              </w:rPr>
              <w:t xml:space="preserve"> —</w:t>
            </w:r>
          </w:p>
        </w:tc>
        <w:tc>
          <w:tcPr>
            <w:tcW w:w="106"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417" w:type="pct"/>
            <w:tcBorders>
              <w:top w:val="nil"/>
              <w:left w:val="nil"/>
              <w:bottom w:val="nil"/>
              <w:right w:val="nil"/>
              <w:tl2br w:val="nil"/>
              <w:tr2bl w:val="nil"/>
            </w:tcBorders>
            <w:shd w:val="clear" w:color="auto" w:fill="CCEEFF"/>
            <w:noWrap/>
            <w:vAlign w:val="bottom"/>
          </w:tcPr>
          <w:p w:rsidRPr="00641503" w:rsidR="009534E2" w:rsidRDefault="003369EB">
            <w:pPr>
              <w:spacing w:after="1"/>
              <w:ind w:right="60"/>
              <w:jc w:val="right"/>
              <w:rPr>
                <w:color w:val="000000"/>
              </w:rPr>
            </w:pPr>
            <w:r w:rsidRPr="00641503">
              <w:rPr>
                <w:rFonts w:ascii="Times New Roman" w:hAnsi="Times New Roman" w:eastAsia="Times New Roman" w:cs="Times New Roman"/>
                <w:color w:val="000000"/>
              </w:rPr>
              <w:t xml:space="preserve"> —</w:t>
            </w:r>
          </w:p>
        </w:tc>
        <w:tc>
          <w:tcPr>
            <w:tcW w:w="106"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417" w:type="pct"/>
            <w:tcBorders>
              <w:top w:val="nil"/>
              <w:left w:val="nil"/>
              <w:bottom w:val="nil"/>
              <w:right w:val="nil"/>
              <w:tl2br w:val="nil"/>
              <w:tr2bl w:val="nil"/>
            </w:tcBorders>
            <w:shd w:val="clear" w:color="auto" w:fill="CCEEFF"/>
            <w:noWrap/>
            <w:vAlign w:val="bottom"/>
          </w:tcPr>
          <w:p w:rsidRPr="00641503" w:rsidR="009534E2" w:rsidRDefault="003369EB">
            <w:pPr>
              <w:spacing w:after="1"/>
              <w:ind w:right="60"/>
              <w:jc w:val="right"/>
              <w:rPr>
                <w:color w:val="000000"/>
              </w:rPr>
            </w:pPr>
            <w:r w:rsidRPr="00641503">
              <w:rPr>
                <w:rFonts w:ascii="Times New Roman" w:hAnsi="Times New Roman" w:eastAsia="Times New Roman" w:cs="Times New Roman"/>
                <w:color w:val="000000"/>
              </w:rPr>
              <w:t xml:space="preserve"> 163</w:t>
            </w:r>
          </w:p>
        </w:tc>
        <w:tc>
          <w:tcPr>
            <w:tcW w:w="98"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r>
      <w:tr w:rsidR="00641503" w:rsidTr="00641503">
        <w:tc>
          <w:tcPr>
            <w:tcW w:w="3332" w:type="pct"/>
            <w:tcBorders>
              <w:top w:val="nil"/>
              <w:left w:val="nil"/>
              <w:bottom w:val="nil"/>
              <w:right w:val="nil"/>
              <w:tl2br w:val="nil"/>
              <w:tr2bl w:val="nil"/>
            </w:tcBorders>
            <w:noWrap/>
            <w:vAlign w:val="bottom"/>
          </w:tcPr>
          <w:p w:rsidR="009534E2" w:rsidRDefault="003369EB">
            <w:pPr>
              <w:spacing w:after="1"/>
              <w:rPr>
                <w:b/>
                <w:color w:val="000000"/>
              </w:rPr>
            </w:pPr>
            <w:bookmarkStart w:name="_23fa6f6f_3a90_4b2d_9df6_acb6dc0f52ef" w:id="2278"/>
            <w:bookmarkEnd w:id="2277"/>
            <w:r>
              <w:rPr>
                <w:rFonts w:ascii="Times New Roman" w:hAnsi="Times New Roman" w:eastAsia="Times New Roman" w:cs="Times New Roman"/>
                <w:b/>
                <w:color w:val="000000"/>
              </w:rPr>
              <w:t>Group’s share of other comprehensive income</w:t>
            </w:r>
          </w:p>
        </w:tc>
        <w:tc>
          <w:tcPr>
            <w:tcW w:w="106" w:type="pct"/>
            <w:tcBorders>
              <w:top w:val="nil"/>
              <w:left w:val="nil"/>
              <w:bottom w:val="nil"/>
              <w:right w:val="nil"/>
              <w:tl2br w:val="nil"/>
              <w:tr2bl w:val="nil"/>
            </w:tcBorders>
            <w:noWrap/>
            <w:vAlign w:val="bottom"/>
          </w:tcPr>
          <w:p w:rsidR="009534E2" w:rsidRDefault="009534E2">
            <w:pPr>
              <w:spacing w:after="1"/>
              <w:rPr>
                <w:b/>
                <w:color w:val="000000"/>
              </w:rPr>
            </w:pPr>
          </w:p>
        </w:tc>
        <w:tc>
          <w:tcPr>
            <w:tcW w:w="417" w:type="pct"/>
            <w:tcBorders>
              <w:top w:val="nil"/>
              <w:left w:val="nil"/>
              <w:bottom w:val="double" w:color="000000" w:sz="4" w:space="0"/>
              <w:right w:val="nil"/>
              <w:tl2br w:val="nil"/>
              <w:tr2bl w:val="nil"/>
            </w:tcBorders>
            <w:noWrap/>
            <w:vAlign w:val="bottom"/>
          </w:tcPr>
          <w:p w:rsidRPr="00641503" w:rsidR="009534E2" w:rsidRDefault="003369EB">
            <w:pPr>
              <w:spacing w:after="1"/>
              <w:ind w:right="60"/>
              <w:jc w:val="right"/>
              <w:rPr>
                <w:b/>
                <w:color w:val="000000"/>
              </w:rPr>
            </w:pPr>
            <w:r w:rsidRPr="00641503">
              <w:rPr>
                <w:rFonts w:ascii="Times New Roman" w:hAnsi="Times New Roman" w:eastAsia="Times New Roman" w:cs="Times New Roman"/>
                <w:b/>
                <w:color w:val="000000"/>
              </w:rPr>
              <w:t xml:space="preserve"> —</w:t>
            </w:r>
          </w:p>
        </w:tc>
        <w:tc>
          <w:tcPr>
            <w:tcW w:w="106" w:type="pct"/>
            <w:tcBorders>
              <w:top w:val="nil"/>
              <w:left w:val="nil"/>
              <w:bottom w:val="nil"/>
              <w:right w:val="nil"/>
              <w:tl2br w:val="nil"/>
              <w:tr2bl w:val="nil"/>
            </w:tcBorders>
            <w:noWrap/>
            <w:vAlign w:val="bottom"/>
          </w:tcPr>
          <w:p w:rsidR="009534E2" w:rsidRDefault="009534E2">
            <w:pPr>
              <w:spacing w:after="1"/>
              <w:rPr>
                <w:b/>
                <w:color w:val="000000"/>
              </w:rPr>
            </w:pPr>
          </w:p>
        </w:tc>
        <w:tc>
          <w:tcPr>
            <w:tcW w:w="417" w:type="pct"/>
            <w:tcBorders>
              <w:top w:val="nil"/>
              <w:left w:val="nil"/>
              <w:bottom w:val="double" w:color="000000" w:sz="4" w:space="0"/>
              <w:right w:val="nil"/>
              <w:tl2br w:val="nil"/>
              <w:tr2bl w:val="nil"/>
            </w:tcBorders>
            <w:noWrap/>
            <w:vAlign w:val="bottom"/>
          </w:tcPr>
          <w:p w:rsidRPr="00641503" w:rsidR="009534E2" w:rsidRDefault="003369EB">
            <w:pPr>
              <w:spacing w:after="1"/>
              <w:ind w:right="60"/>
              <w:jc w:val="right"/>
              <w:rPr>
                <w:b/>
                <w:color w:val="000000"/>
              </w:rPr>
            </w:pPr>
            <w:r w:rsidRPr="00641503">
              <w:rPr>
                <w:rFonts w:ascii="Times New Roman" w:hAnsi="Times New Roman" w:eastAsia="Times New Roman" w:cs="Times New Roman"/>
                <w:b/>
                <w:color w:val="000000"/>
              </w:rPr>
              <w:t xml:space="preserve"> —</w:t>
            </w:r>
          </w:p>
        </w:tc>
        <w:tc>
          <w:tcPr>
            <w:tcW w:w="106" w:type="pct"/>
            <w:tcBorders>
              <w:top w:val="nil"/>
              <w:left w:val="nil"/>
              <w:bottom w:val="nil"/>
              <w:right w:val="nil"/>
              <w:tl2br w:val="nil"/>
              <w:tr2bl w:val="nil"/>
            </w:tcBorders>
            <w:noWrap/>
            <w:vAlign w:val="bottom"/>
          </w:tcPr>
          <w:p w:rsidR="009534E2" w:rsidRDefault="009534E2">
            <w:pPr>
              <w:spacing w:after="1"/>
              <w:rPr>
                <w:b/>
                <w:color w:val="000000"/>
              </w:rPr>
            </w:pPr>
          </w:p>
        </w:tc>
        <w:tc>
          <w:tcPr>
            <w:tcW w:w="417" w:type="pct"/>
            <w:tcBorders>
              <w:top w:val="nil"/>
              <w:left w:val="nil"/>
              <w:bottom w:val="double" w:color="000000" w:sz="4" w:space="0"/>
              <w:right w:val="nil"/>
              <w:tl2br w:val="nil"/>
              <w:tr2bl w:val="nil"/>
            </w:tcBorders>
            <w:noWrap/>
            <w:vAlign w:val="bottom"/>
          </w:tcPr>
          <w:p w:rsidRPr="00641503" w:rsidR="009534E2" w:rsidRDefault="003369EB">
            <w:pPr>
              <w:spacing w:after="1"/>
              <w:ind w:right="60"/>
              <w:jc w:val="right"/>
              <w:rPr>
                <w:b/>
                <w:color w:val="000000"/>
              </w:rPr>
            </w:pPr>
            <w:r w:rsidRPr="00641503">
              <w:rPr>
                <w:rFonts w:ascii="Times New Roman" w:hAnsi="Times New Roman" w:eastAsia="Times New Roman" w:cs="Times New Roman"/>
                <w:b/>
                <w:color w:val="000000"/>
              </w:rPr>
              <w:t xml:space="preserve"> 16</w:t>
            </w:r>
          </w:p>
        </w:tc>
        <w:tc>
          <w:tcPr>
            <w:tcW w:w="98" w:type="pct"/>
            <w:tcBorders>
              <w:top w:val="nil"/>
              <w:left w:val="nil"/>
              <w:bottom w:val="nil"/>
              <w:right w:val="nil"/>
              <w:tl2br w:val="nil"/>
              <w:tr2bl w:val="nil"/>
            </w:tcBorders>
            <w:noWrap/>
            <w:vAlign w:val="bottom"/>
          </w:tcPr>
          <w:p w:rsidR="009534E2" w:rsidRDefault="009534E2">
            <w:pPr>
              <w:spacing w:after="1"/>
              <w:rPr>
                <w:b/>
                <w:color w:val="000000"/>
              </w:rPr>
            </w:pPr>
          </w:p>
        </w:tc>
      </w:tr>
      <w:bookmarkEnd w:id="2243"/>
      <w:bookmarkEnd w:id="2265"/>
      <w:bookmarkEnd w:id="2278"/>
    </w:tbl>
    <w:p w:rsidR="009534E2" w:rsidRDefault="009534E2">
      <w:pPr>
        <w:pStyle w:val="BodyText"/>
        <w:suppressAutoHyphens/>
        <w:spacing w:after="0"/>
        <w:ind w:left="360" w:hanging="360"/>
        <w:rPr>
          <w:rFonts w:eastAsia="Times New Roman"/>
          <w:sz w:val="2"/>
        </w:rPr>
      </w:pPr>
    </w:p>
    <w:p w:rsidR="009534E2" w:rsidRDefault="00EC0AE1">
      <w:pPr>
        <w:pStyle w:val="BodyText"/>
        <w:suppressAutoHyphens/>
        <w:spacing w:after="0"/>
        <w:ind w:left="360" w:hanging="360"/>
        <w:rPr>
          <w:rFonts w:eastAsia="Times New Roman"/>
          <w:sz w:val="2"/>
        </w:rPr>
      </w:pPr>
    </w:p>
    <w:p w:rsidR="009534E2" w:rsidRDefault="009534E2">
      <w:pPr>
        <w:pStyle w:val="BodyText"/>
        <w:suppressAutoHyphens/>
        <w:spacing w:after="0"/>
        <w:ind w:left="360" w:hanging="360"/>
        <w:rPr>
          <w:rFonts w:eastAsia="Times New Roman" w:asciiTheme="majorHAnsi" w:hAnsiTheme="majorHAnsi" w:cstheme="majorHAnsi"/>
          <w:sz w:val="2"/>
        </w:rPr>
      </w:pPr>
    </w:p>
    <w:p w:rsidR="009534E2" w:rsidRDefault="009534E2">
      <w:pPr>
        <w:rPr>
          <w:rFonts w:eastAsia="Times New Roman" w:asciiTheme="majorHAnsi" w:hAnsiTheme="majorHAnsi" w:cstheme="majorHAnsi"/>
        </w:rPr>
      </w:pPr>
    </w:p>
    <w:bookmarkStart w:name="_124c805e_86e0_43c7_93a1_36a538b74633" w:displacedByCustomXml="next" w:id="2279"/>
    <w:bookmarkEnd w:displacedByCustomXml="next" w:id="2279"/>
    <w:p w:rsidR="009534E2" w:rsidRDefault="003369EB">
      <w:pPr>
        <w:pStyle w:val="Heading1"/>
        <w:ind w:left="360" w:hanging="360"/>
        <w:rPr>
          <w:rFonts w:eastAsiaTheme="minorHAnsi"/>
          <w:b w:val="0"/>
          <w:szCs w:val="20"/>
          <w:lang w:eastAsia="ru-RU"/>
        </w:rPr>
      </w:pPr>
      <w:r>
        <w:rPr>
          <w:lang w:eastAsia="ru-RU"/>
        </w:rPr>
        <w:t>18.</w:t>
      </w:r>
      <w:r>
        <w:rPr>
          <w:lang w:eastAsia="ru-RU"/>
        </w:rPr>
        <w:tab/>
        <w:t>Share capital, additional paid-in capital, share premium and other reserves</w:t>
      </w:r>
    </w:p>
    <w:p w:rsidR="009534E2" w:rsidRDefault="003369EB">
      <w:pPr>
        <w:pStyle w:val="BodyText"/>
        <w:keepNext/>
        <w:keepLines/>
        <w:spacing w:after="0"/>
        <w:rPr>
          <w:rFonts w:eastAsia="Times New Roman" w:asciiTheme="majorHAnsi" w:hAnsiTheme="majorHAnsi" w:cstheme="majorHAnsi"/>
          <w:lang w:eastAsia="ru-RU"/>
        </w:rPr>
      </w:pPr>
      <w:r>
        <w:rPr>
          <w:rFonts w:eastAsia="Times New Roman" w:asciiTheme="majorHAnsi" w:hAnsiTheme="majorHAnsi" w:cstheme="majorHAnsi"/>
        </w:rPr>
        <w:t xml:space="preserve">The Capital of the Company is divided into </w:t>
      </w:r>
      <w:bookmarkStart w:name="_041a42bf_4fb0_4e44_93fc_c9ae5530f545" w:id="2280"/>
      <w:r>
        <w:rPr>
          <w:rFonts w:eastAsia="Times New Roman" w:asciiTheme="majorHAnsi" w:hAnsiTheme="majorHAnsi" w:cstheme="majorHAnsi"/>
        </w:rPr>
        <w:t>two</w:t>
      </w:r>
      <w:bookmarkEnd w:id="2280"/>
      <w:r>
        <w:rPr>
          <w:rFonts w:eastAsia="Times New Roman" w:asciiTheme="majorHAnsi" w:hAnsiTheme="majorHAnsi" w:cstheme="majorHAnsi"/>
        </w:rPr>
        <w:t xml:space="preserve"> classes. Each class A share has the right to </w:t>
      </w:r>
      <w:bookmarkStart w:name="_a6cf804c_537a_4ee4_b55f_d621acbbcbc7" w:id="2281"/>
      <w:r>
        <w:rPr>
          <w:rFonts w:eastAsia="Times New Roman" w:asciiTheme="majorHAnsi" w:hAnsiTheme="majorHAnsi" w:cstheme="majorHAnsi"/>
        </w:rPr>
        <w:t>ten</w:t>
      </w:r>
      <w:bookmarkEnd w:id="2281"/>
      <w:r>
        <w:rPr>
          <w:rFonts w:eastAsia="Times New Roman" w:asciiTheme="majorHAnsi" w:hAnsiTheme="majorHAnsi" w:cstheme="majorHAnsi"/>
        </w:rPr>
        <w:t xml:space="preserve"> votes at a meeting of shareholders and each class B share has the right to </w:t>
      </w:r>
      <w:bookmarkStart w:name="_df21ce2c_9978_4b61_9c84_44c553dc96cc" w:id="2282"/>
      <w:r>
        <w:rPr>
          <w:rFonts w:eastAsia="Times New Roman" w:asciiTheme="majorHAnsi" w:hAnsiTheme="majorHAnsi" w:cstheme="majorHAnsi"/>
        </w:rPr>
        <w:t>one</w:t>
      </w:r>
      <w:bookmarkEnd w:id="2282"/>
      <w:r>
        <w:rPr>
          <w:rFonts w:eastAsia="Times New Roman" w:asciiTheme="majorHAnsi" w:hAnsiTheme="majorHAnsi" w:cstheme="majorHAnsi"/>
        </w:rPr>
        <w:t xml:space="preserve"> vote at a meeting of shareholders. </w:t>
      </w:r>
      <w:r>
        <w:rPr>
          <w:rFonts w:eastAsia="Times New Roman" w:asciiTheme="majorHAnsi" w:hAnsiTheme="majorHAnsi" w:cstheme="majorHAnsi"/>
          <w:lang w:eastAsia="ru-RU"/>
        </w:rPr>
        <w:t xml:space="preserve">The class A shares and the class B shares have the right to an equal share in any dividend or other distribution the Company pays and have a nominal value of EUR </w:t>
      </w:r>
      <w:bookmarkStart w:name="_ff255f5c_a136_470a_b029_aa068b5a2b90" w:id="2283"/>
      <w:r>
        <w:rPr>
          <w:rFonts w:eastAsia="Times New Roman" w:asciiTheme="majorHAnsi" w:hAnsiTheme="majorHAnsi" w:cstheme="majorHAnsi"/>
          <w:lang w:eastAsia="ru-RU"/>
        </w:rPr>
        <w:t>0.0005</w:t>
      </w:r>
      <w:bookmarkEnd w:id="2283"/>
      <w:r>
        <w:rPr>
          <w:rFonts w:eastAsia="Times New Roman" w:asciiTheme="majorHAnsi" w:hAnsiTheme="majorHAnsi" w:cstheme="majorHAnsi"/>
          <w:lang w:eastAsia="ru-RU"/>
        </w:rPr>
        <w:t xml:space="preserve"> </w:t>
      </w:r>
      <w:bookmarkStart w:name="_8857502d_396c_45ba_b035_8cb6a069cbd9" w:id="2284"/>
      <w:r>
        <w:rPr>
          <w:rFonts w:eastAsia="Times New Roman" w:asciiTheme="majorHAnsi" w:hAnsiTheme="majorHAnsi" w:cstheme="majorHAnsi"/>
          <w:lang w:eastAsia="ru-RU"/>
        </w:rPr>
        <w:t>each</w:t>
      </w:r>
      <w:bookmarkEnd w:id="2284"/>
      <w:r>
        <w:rPr>
          <w:rFonts w:eastAsia="Times New Roman" w:asciiTheme="majorHAnsi" w:hAnsiTheme="majorHAnsi" w:cstheme="majorHAnsi"/>
          <w:lang w:eastAsia="ru-RU"/>
        </w:rPr>
        <w:t>.</w:t>
      </w:r>
    </w:p>
    <w:p w:rsidRPr="00A27544" w:rsidR="009534E2" w:rsidRDefault="009534E2">
      <w:pPr>
        <w:pStyle w:val="BodyText"/>
        <w:keepNext/>
        <w:spacing w:after="0"/>
        <w:rPr>
          <w:rFonts w:eastAsia="Times New Roman" w:asciiTheme="majorHAnsi" w:hAnsiTheme="majorHAnsi" w:cstheme="majorHAnsi"/>
          <w:lang w:eastAsia="ru-RU"/>
        </w:rPr>
      </w:pPr>
      <w:bookmarkStart w:name="_cd602ce1_df32_4a77_8ad9_24be4f68dd3c" w:id="2285"/>
      <w:bookmarkStart w:name="_458bd0b4_7bcb_4f47_9a13_707467b8d2a7" w:id="2286"/>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021"/>
        <w:gridCol w:w="223"/>
        <w:gridCol w:w="1041"/>
        <w:gridCol w:w="222"/>
        <w:gridCol w:w="1041"/>
        <w:gridCol w:w="222"/>
        <w:gridCol w:w="1030"/>
      </w:tblGrid>
      <w:tr w:rsidRPr="00A27544" w:rsidR="009534E2">
        <w:trPr>
          <w:trHeight w:val="20" w:hRule="exact"/>
          <w:jc w:val="center"/>
        </w:trPr>
        <w:tc>
          <w:tcPr>
            <w:tcW w:w="3250"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bookmarkStart w:name="_01163047_a9bf_4b3c_b75c_d49dce060b52" w:colFirst="0" w:colLast="0" w:id="2287"/>
            <w:bookmarkStart w:name="_d251fd2d_bd6a_478d_bb0b_17f5d935620a" w:colFirst="1" w:colLast="1" w:id="2288"/>
            <w:bookmarkStart w:name="_3e3dfad6_8cde_4306_9756_a8440897d61f" w:colFirst="2" w:colLast="2" w:id="2289"/>
            <w:bookmarkStart w:name="_a1c2fa74_8d63_470c_91a7_6e6f7773a4fe" w:colFirst="3" w:colLast="3" w:id="2290"/>
            <w:bookmarkStart w:name="_4e36e75e_157c_4e8b_be1d_c98cd17f5567" w:colFirst="4" w:colLast="4" w:id="2291"/>
            <w:bookmarkStart w:name="_23d79fc8_fd6b_4c64_924a_5a661fdafca8" w:colFirst="5" w:colLast="5" w:id="2292"/>
            <w:bookmarkStart w:name="_45477f74_5612_4c68_96d8_dd79de3857b0" w:colFirst="6" w:colLast="6" w:id="2293"/>
            <w:bookmarkStart w:name="_cb93ec55_d0a1_4915_aad1_f84288b7f51e" w:id="2294"/>
          </w:p>
        </w:tc>
        <w:tc>
          <w:tcPr>
            <w:tcW w:w="103"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482"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103"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482"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103"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c>
          <w:tcPr>
            <w:tcW w:w="477" w:type="pct"/>
            <w:tcBorders>
              <w:top w:val="nil"/>
              <w:left w:val="nil"/>
              <w:bottom w:val="nil"/>
              <w:right w:val="nil"/>
            </w:tcBorders>
            <w:noWrap/>
            <w:vAlign w:val="bottom"/>
          </w:tcPr>
          <w:p w:rsidRPr="00A27544" w:rsidR="009534E2" w:rsidRDefault="009534E2">
            <w:pPr>
              <w:keepNext/>
              <w:spacing w:after="1"/>
              <w:rPr>
                <w:rFonts w:asciiTheme="majorHAnsi" w:hAnsiTheme="majorHAnsi" w:cstheme="majorHAnsi"/>
                <w:sz w:val="2"/>
              </w:rPr>
            </w:pPr>
          </w:p>
        </w:tc>
      </w:tr>
      <w:tr w:rsidRPr="00A27544" w:rsidR="009534E2">
        <w:trPr>
          <w:jc w:val="center"/>
        </w:trPr>
        <w:tc>
          <w:tcPr>
            <w:tcW w:w="3250" w:type="pct"/>
            <w:tcBorders>
              <w:top w:val="nil"/>
              <w:left w:val="nil"/>
              <w:bottom w:val="nil"/>
              <w:right w:val="nil"/>
              <w:tl2br w:val="nil"/>
              <w:tr2bl w:val="nil"/>
            </w:tcBorders>
            <w:shd w:val="clear" w:color="auto" w:fill="auto"/>
            <w:noWrap/>
            <w:vAlign w:val="bottom"/>
          </w:tcPr>
          <w:p w:rsidRPr="00A27544" w:rsidR="009534E2" w:rsidRDefault="009534E2">
            <w:pPr>
              <w:keepNext/>
              <w:spacing w:after="1"/>
              <w:jc w:val="center"/>
              <w:rPr>
                <w:rFonts w:eastAsia="Calibri" w:asciiTheme="majorHAnsi" w:hAnsiTheme="majorHAnsi" w:cstheme="majorHAnsi"/>
                <w:color w:val="000000"/>
                <w:sz w:val="16"/>
              </w:rPr>
            </w:pPr>
            <w:bookmarkStart w:name="_ecf118e2_974d_4491_8aab_b38444ac2e09" w:id="2295"/>
            <w:bookmarkEnd w:id="2287"/>
            <w:bookmarkEnd w:id="2288"/>
            <w:bookmarkEnd w:id="2289"/>
            <w:bookmarkEnd w:id="2290"/>
            <w:bookmarkEnd w:id="2291"/>
            <w:bookmarkEnd w:id="2292"/>
            <w:bookmarkEnd w:id="2293"/>
          </w:p>
        </w:tc>
        <w:tc>
          <w:tcPr>
            <w:tcW w:w="103" w:type="pct"/>
            <w:tcBorders>
              <w:top w:val="nil"/>
              <w:left w:val="nil"/>
              <w:bottom w:val="nil"/>
              <w:right w:val="nil"/>
              <w:tl2br w:val="nil"/>
              <w:tr2bl w:val="nil"/>
            </w:tcBorders>
            <w:shd w:val="clear" w:color="auto" w:fill="auto"/>
            <w:noWrap/>
            <w:vAlign w:val="bottom"/>
          </w:tcPr>
          <w:p w:rsidRPr="00A27544" w:rsidR="009534E2" w:rsidRDefault="003369EB">
            <w:pPr>
              <w:keepNext/>
              <w:spacing w:after="1"/>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82" w:type="pct"/>
            <w:tcBorders>
              <w:top w:val="nil"/>
              <w:left w:val="nil"/>
              <w:bottom w:val="nil"/>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As of</w:t>
            </w:r>
          </w:p>
        </w:tc>
        <w:tc>
          <w:tcPr>
            <w:tcW w:w="103" w:type="pct"/>
            <w:tcBorders>
              <w:top w:val="nil"/>
              <w:left w:val="nil"/>
              <w:bottom w:val="nil"/>
              <w:right w:val="nil"/>
              <w:tl2br w:val="nil"/>
              <w:tr2bl w:val="nil"/>
            </w:tcBorders>
            <w:shd w:val="clear" w:color="auto" w:fill="auto"/>
            <w:noWrap/>
            <w:vAlign w:val="bottom"/>
          </w:tcPr>
          <w:p w:rsidRPr="00A27544" w:rsidR="009534E2" w:rsidRDefault="003369EB">
            <w:pPr>
              <w:keepNext/>
              <w:spacing w:after="1"/>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82" w:type="pct"/>
            <w:tcBorders>
              <w:top w:val="nil"/>
              <w:left w:val="nil"/>
              <w:bottom w:val="nil"/>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As of</w:t>
            </w:r>
          </w:p>
        </w:tc>
        <w:tc>
          <w:tcPr>
            <w:tcW w:w="103" w:type="pct"/>
            <w:tcBorders>
              <w:top w:val="nil"/>
              <w:left w:val="nil"/>
              <w:bottom w:val="nil"/>
              <w:right w:val="nil"/>
              <w:tl2br w:val="nil"/>
              <w:tr2bl w:val="nil"/>
            </w:tcBorders>
            <w:shd w:val="clear" w:color="auto" w:fill="auto"/>
            <w:noWrap/>
            <w:vAlign w:val="bottom"/>
          </w:tcPr>
          <w:p w:rsidRPr="00A27544" w:rsidR="009534E2" w:rsidRDefault="003369EB">
            <w:pPr>
              <w:keepNext/>
              <w:spacing w:after="1"/>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77" w:type="pct"/>
            <w:tcBorders>
              <w:top w:val="nil"/>
              <w:left w:val="nil"/>
              <w:bottom w:val="nil"/>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As of</w:t>
            </w:r>
          </w:p>
        </w:tc>
      </w:tr>
      <w:tr w:rsidRPr="00A27544" w:rsidR="009534E2">
        <w:trPr>
          <w:jc w:val="center"/>
        </w:trPr>
        <w:tc>
          <w:tcPr>
            <w:tcW w:w="3250" w:type="pct"/>
            <w:tcBorders>
              <w:top w:val="nil"/>
              <w:left w:val="nil"/>
              <w:bottom w:val="nil"/>
              <w:right w:val="nil"/>
              <w:tl2br w:val="nil"/>
              <w:tr2bl w:val="nil"/>
            </w:tcBorders>
            <w:shd w:val="clear" w:color="auto" w:fill="auto"/>
            <w:vAlign w:val="bottom"/>
          </w:tcPr>
          <w:p w:rsidRPr="00A27544" w:rsidR="009534E2" w:rsidRDefault="009534E2">
            <w:pPr>
              <w:keepNext/>
              <w:spacing w:after="1"/>
              <w:rPr>
                <w:rFonts w:asciiTheme="majorHAnsi" w:hAnsiTheme="majorHAnsi" w:cstheme="majorHAnsi"/>
                <w:b/>
                <w:color w:val="000000"/>
                <w:sz w:val="16"/>
              </w:rPr>
            </w:pPr>
            <w:bookmarkStart w:name="_aa880230_293f_476f_9ab4_7f92eba91ba0" w:id="2296"/>
            <w:bookmarkEnd w:id="2295"/>
          </w:p>
        </w:tc>
        <w:tc>
          <w:tcPr>
            <w:tcW w:w="103" w:type="pct"/>
            <w:tcBorders>
              <w:top w:val="nil"/>
              <w:left w:val="nil"/>
              <w:bottom w:val="nil"/>
              <w:right w:val="nil"/>
              <w:tl2br w:val="nil"/>
              <w:tr2bl w:val="nil"/>
            </w:tcBorders>
            <w:shd w:val="clear" w:color="auto" w:fill="auto"/>
            <w:noWrap/>
            <w:vAlign w:val="bottom"/>
          </w:tcPr>
          <w:p w:rsidRPr="00A27544" w:rsidR="009534E2" w:rsidRDefault="009534E2">
            <w:pPr>
              <w:keepNext/>
              <w:spacing w:after="1"/>
              <w:rPr>
                <w:rFonts w:asciiTheme="majorHAnsi" w:hAnsiTheme="majorHAnsi" w:cstheme="majorHAnsi"/>
                <w:b/>
                <w:color w:val="000000"/>
                <w:sz w:val="16"/>
              </w:rPr>
            </w:pPr>
          </w:p>
        </w:tc>
        <w:tc>
          <w:tcPr>
            <w:tcW w:w="482" w:type="pct"/>
            <w:tcBorders>
              <w:top w:val="nil"/>
              <w:left w:val="nil"/>
              <w:bottom w:val="nil"/>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December 31, </w:t>
            </w:r>
          </w:p>
        </w:tc>
        <w:tc>
          <w:tcPr>
            <w:tcW w:w="103" w:type="pct"/>
            <w:tcBorders>
              <w:top w:val="nil"/>
              <w:left w:val="nil"/>
              <w:bottom w:val="nil"/>
              <w:right w:val="nil"/>
              <w:tl2br w:val="nil"/>
              <w:tr2bl w:val="nil"/>
            </w:tcBorders>
            <w:shd w:val="clear" w:color="auto" w:fill="auto"/>
            <w:noWrap/>
            <w:vAlign w:val="bottom"/>
          </w:tcPr>
          <w:p w:rsidRPr="00A27544" w:rsidR="009534E2" w:rsidRDefault="009534E2">
            <w:pPr>
              <w:keepNext/>
              <w:spacing w:after="1"/>
              <w:rPr>
                <w:rFonts w:asciiTheme="majorHAnsi" w:hAnsiTheme="majorHAnsi" w:cstheme="majorHAnsi"/>
                <w:b/>
                <w:color w:val="000000"/>
                <w:sz w:val="16"/>
              </w:rPr>
            </w:pPr>
          </w:p>
        </w:tc>
        <w:tc>
          <w:tcPr>
            <w:tcW w:w="482" w:type="pct"/>
            <w:tcBorders>
              <w:top w:val="nil"/>
              <w:left w:val="nil"/>
              <w:bottom w:val="nil"/>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December 31, </w:t>
            </w:r>
          </w:p>
        </w:tc>
        <w:tc>
          <w:tcPr>
            <w:tcW w:w="103" w:type="pct"/>
            <w:tcBorders>
              <w:top w:val="nil"/>
              <w:left w:val="nil"/>
              <w:bottom w:val="nil"/>
              <w:right w:val="nil"/>
              <w:tl2br w:val="nil"/>
              <w:tr2bl w:val="nil"/>
            </w:tcBorders>
            <w:shd w:val="clear" w:color="auto" w:fill="auto"/>
            <w:noWrap/>
            <w:vAlign w:val="bottom"/>
          </w:tcPr>
          <w:p w:rsidRPr="00A27544" w:rsidR="009534E2" w:rsidRDefault="009534E2">
            <w:pPr>
              <w:keepNext/>
              <w:spacing w:after="1"/>
              <w:rPr>
                <w:rFonts w:asciiTheme="majorHAnsi" w:hAnsiTheme="majorHAnsi" w:cstheme="majorHAnsi"/>
                <w:b/>
                <w:color w:val="000000"/>
                <w:sz w:val="16"/>
              </w:rPr>
            </w:pPr>
          </w:p>
        </w:tc>
        <w:tc>
          <w:tcPr>
            <w:tcW w:w="477" w:type="pct"/>
            <w:tcBorders>
              <w:top w:val="nil"/>
              <w:left w:val="nil"/>
              <w:bottom w:val="nil"/>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December 31, </w:t>
            </w:r>
          </w:p>
        </w:tc>
      </w:tr>
      <w:tr w:rsidRPr="00A27544" w:rsidR="009534E2">
        <w:trPr>
          <w:jc w:val="center"/>
        </w:trPr>
        <w:tc>
          <w:tcPr>
            <w:tcW w:w="3250" w:type="pct"/>
            <w:tcBorders>
              <w:top w:val="nil"/>
              <w:left w:val="nil"/>
              <w:bottom w:val="nil"/>
              <w:right w:val="nil"/>
              <w:tl2br w:val="nil"/>
              <w:tr2bl w:val="nil"/>
            </w:tcBorders>
            <w:shd w:val="clear" w:color="auto" w:fill="auto"/>
            <w:vAlign w:val="bottom"/>
          </w:tcPr>
          <w:p w:rsidRPr="00A27544" w:rsidR="009534E2" w:rsidRDefault="003369EB">
            <w:pPr>
              <w:keepNext/>
              <w:spacing w:after="1"/>
              <w:rPr>
                <w:rFonts w:asciiTheme="majorHAnsi" w:hAnsiTheme="majorHAnsi" w:cstheme="majorHAnsi"/>
                <w:b/>
                <w:color w:val="000000"/>
                <w:sz w:val="16"/>
              </w:rPr>
            </w:pPr>
            <w:bookmarkStart w:name="_e71fd5c1_6efc_41b6_b4fd_bb283527ea51" w:id="2297"/>
            <w:bookmarkEnd w:id="2296"/>
            <w:r w:rsidRPr="00A27544">
              <w:rPr>
                <w:rFonts w:eastAsia="Times New Roman" w:asciiTheme="majorHAnsi" w:hAnsiTheme="majorHAnsi" w:cstheme="majorHAnsi"/>
                <w:b/>
                <w:color w:val="000000"/>
                <w:sz w:val="16"/>
              </w:rPr>
              <w:t>Authorised shares</w:t>
            </w:r>
          </w:p>
        </w:tc>
        <w:tc>
          <w:tcPr>
            <w:tcW w:w="103" w:type="pct"/>
            <w:tcBorders>
              <w:top w:val="nil"/>
              <w:left w:val="nil"/>
              <w:bottom w:val="nil"/>
              <w:right w:val="nil"/>
              <w:tl2br w:val="nil"/>
              <w:tr2bl w:val="nil"/>
            </w:tcBorders>
            <w:shd w:val="clear" w:color="auto" w:fill="auto"/>
            <w:noWrap/>
            <w:vAlign w:val="bottom"/>
          </w:tcPr>
          <w:p w:rsidRPr="00A27544" w:rsidR="009534E2" w:rsidRDefault="003369EB">
            <w:pPr>
              <w:keepNext/>
              <w:spacing w:after="1"/>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82"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2020</w:t>
            </w:r>
          </w:p>
        </w:tc>
        <w:tc>
          <w:tcPr>
            <w:tcW w:w="103" w:type="pct"/>
            <w:tcBorders>
              <w:top w:val="nil"/>
              <w:left w:val="nil"/>
              <w:bottom w:val="nil"/>
              <w:right w:val="nil"/>
              <w:tl2br w:val="nil"/>
              <w:tr2bl w:val="nil"/>
            </w:tcBorders>
            <w:shd w:val="clear" w:color="auto" w:fill="auto"/>
            <w:noWrap/>
            <w:vAlign w:val="bottom"/>
          </w:tcPr>
          <w:p w:rsidRPr="00A27544" w:rsidR="009534E2" w:rsidRDefault="003369EB">
            <w:pPr>
              <w:keepNext/>
              <w:spacing w:after="1"/>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82"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2021</w:t>
            </w:r>
          </w:p>
        </w:tc>
        <w:tc>
          <w:tcPr>
            <w:tcW w:w="103" w:type="pct"/>
            <w:tcBorders>
              <w:top w:val="nil"/>
              <w:left w:val="nil"/>
              <w:bottom w:val="nil"/>
              <w:right w:val="nil"/>
              <w:tl2br w:val="nil"/>
              <w:tr2bl w:val="nil"/>
            </w:tcBorders>
            <w:shd w:val="clear" w:color="auto" w:fill="auto"/>
            <w:noWrap/>
            <w:vAlign w:val="bottom"/>
          </w:tcPr>
          <w:p w:rsidRPr="00A27544" w:rsidR="009534E2" w:rsidRDefault="003369EB">
            <w:pPr>
              <w:keepNext/>
              <w:spacing w:after="1"/>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77"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2022</w:t>
            </w:r>
          </w:p>
        </w:tc>
      </w:tr>
      <w:tr w:rsidRPr="00A27544" w:rsidR="009534E2">
        <w:trPr>
          <w:jc w:val="center"/>
        </w:trPr>
        <w:tc>
          <w:tcPr>
            <w:tcW w:w="3250" w:type="pct"/>
            <w:tcBorders>
              <w:top w:val="nil"/>
              <w:left w:val="nil"/>
              <w:bottom w:val="nil"/>
              <w:right w:val="nil"/>
              <w:tl2br w:val="nil"/>
              <w:tr2bl w:val="nil"/>
            </w:tcBorders>
            <w:shd w:val="clear" w:color="auto" w:fill="auto"/>
            <w:vAlign w:val="bottom"/>
          </w:tcPr>
          <w:p w:rsidRPr="00A27544" w:rsidR="009534E2" w:rsidRDefault="009534E2">
            <w:pPr>
              <w:keepNext/>
              <w:spacing w:after="1"/>
              <w:rPr>
                <w:rFonts w:asciiTheme="majorHAnsi" w:hAnsiTheme="majorHAnsi" w:cstheme="majorHAnsi"/>
                <w:color w:val="000000"/>
                <w:sz w:val="16"/>
              </w:rPr>
            </w:pPr>
            <w:bookmarkStart w:name="_57db62c4_23d7_4229_95c7_d4b574433f5a" w:id="2298"/>
            <w:bookmarkEnd w:id="2297"/>
          </w:p>
        </w:tc>
        <w:tc>
          <w:tcPr>
            <w:tcW w:w="103" w:type="pct"/>
            <w:tcBorders>
              <w:top w:val="nil"/>
              <w:left w:val="nil"/>
              <w:bottom w:val="nil"/>
              <w:right w:val="nil"/>
              <w:tl2br w:val="nil"/>
              <w:tr2bl w:val="nil"/>
            </w:tcBorders>
            <w:shd w:val="clear" w:color="auto" w:fill="auto"/>
            <w:noWrap/>
            <w:vAlign w:val="bottom"/>
          </w:tcPr>
          <w:p w:rsidRPr="00A27544" w:rsidR="009534E2" w:rsidRDefault="009534E2">
            <w:pPr>
              <w:keepNext/>
              <w:spacing w:after="1"/>
              <w:rPr>
                <w:rFonts w:asciiTheme="majorHAnsi" w:hAnsiTheme="majorHAnsi" w:cstheme="majorHAnsi"/>
                <w:b/>
                <w:color w:val="000000"/>
                <w:sz w:val="16"/>
              </w:rPr>
            </w:pPr>
          </w:p>
        </w:tc>
        <w:tc>
          <w:tcPr>
            <w:tcW w:w="482" w:type="pct"/>
            <w:tcBorders>
              <w:top w:val="nil"/>
              <w:left w:val="nil"/>
              <w:bottom w:val="nil"/>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Thousands</w:t>
            </w:r>
          </w:p>
        </w:tc>
        <w:tc>
          <w:tcPr>
            <w:tcW w:w="103" w:type="pct"/>
            <w:tcBorders>
              <w:top w:val="nil"/>
              <w:left w:val="nil"/>
              <w:bottom w:val="nil"/>
              <w:right w:val="nil"/>
              <w:tl2br w:val="nil"/>
              <w:tr2bl w:val="nil"/>
            </w:tcBorders>
            <w:shd w:val="clear" w:color="auto" w:fill="auto"/>
            <w:noWrap/>
            <w:vAlign w:val="bottom"/>
          </w:tcPr>
          <w:p w:rsidRPr="00A27544" w:rsidR="009534E2" w:rsidRDefault="009534E2">
            <w:pPr>
              <w:keepNext/>
              <w:spacing w:after="1"/>
              <w:rPr>
                <w:rFonts w:asciiTheme="majorHAnsi" w:hAnsiTheme="majorHAnsi" w:cstheme="majorHAnsi"/>
                <w:b/>
                <w:color w:val="000000"/>
                <w:sz w:val="16"/>
              </w:rPr>
            </w:pPr>
          </w:p>
        </w:tc>
        <w:tc>
          <w:tcPr>
            <w:tcW w:w="482" w:type="pct"/>
            <w:tcBorders>
              <w:top w:val="nil"/>
              <w:left w:val="nil"/>
              <w:bottom w:val="nil"/>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Thousands</w:t>
            </w:r>
          </w:p>
        </w:tc>
        <w:tc>
          <w:tcPr>
            <w:tcW w:w="103" w:type="pct"/>
            <w:tcBorders>
              <w:top w:val="nil"/>
              <w:left w:val="nil"/>
              <w:bottom w:val="nil"/>
              <w:right w:val="nil"/>
              <w:tl2br w:val="nil"/>
              <w:tr2bl w:val="nil"/>
            </w:tcBorders>
            <w:shd w:val="clear" w:color="auto" w:fill="auto"/>
            <w:noWrap/>
            <w:vAlign w:val="bottom"/>
          </w:tcPr>
          <w:p w:rsidRPr="00A27544" w:rsidR="009534E2" w:rsidRDefault="009534E2">
            <w:pPr>
              <w:keepNext/>
              <w:spacing w:after="1"/>
              <w:rPr>
                <w:rFonts w:asciiTheme="majorHAnsi" w:hAnsiTheme="majorHAnsi" w:cstheme="majorHAnsi"/>
                <w:b/>
                <w:color w:val="000000"/>
                <w:sz w:val="16"/>
              </w:rPr>
            </w:pPr>
          </w:p>
        </w:tc>
        <w:tc>
          <w:tcPr>
            <w:tcW w:w="477" w:type="pct"/>
            <w:tcBorders>
              <w:top w:val="nil"/>
              <w:left w:val="nil"/>
              <w:bottom w:val="nil"/>
              <w:right w:val="nil"/>
              <w:tl2br w:val="nil"/>
              <w:tr2bl w:val="nil"/>
            </w:tcBorders>
            <w:shd w:val="clear" w:color="auto" w:fill="auto"/>
            <w:noWrap/>
            <w:vAlign w:val="bottom"/>
          </w:tcPr>
          <w:p w:rsidRPr="00A27544" w:rsidR="009534E2" w:rsidRDefault="003369EB">
            <w:pPr>
              <w:keepNext/>
              <w:spacing w:after="1"/>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Thousands</w:t>
            </w:r>
          </w:p>
        </w:tc>
      </w:tr>
      <w:tr w:rsidRPr="00A27544" w:rsidR="009534E2">
        <w:trPr>
          <w:jc w:val="center"/>
        </w:trPr>
        <w:tc>
          <w:tcPr>
            <w:tcW w:w="3250" w:type="pct"/>
            <w:tcBorders>
              <w:top w:val="nil"/>
              <w:left w:val="nil"/>
              <w:bottom w:val="nil"/>
              <w:right w:val="nil"/>
              <w:tl2br w:val="nil"/>
              <w:tr2bl w:val="nil"/>
            </w:tcBorders>
            <w:shd w:val="clear" w:color="auto" w:fill="CCEEFF"/>
            <w:vAlign w:val="bottom"/>
          </w:tcPr>
          <w:p w:rsidRPr="00A27544" w:rsidR="009534E2" w:rsidRDefault="003369EB">
            <w:pPr>
              <w:keepNext/>
              <w:spacing w:after="1"/>
              <w:rPr>
                <w:rFonts w:asciiTheme="majorHAnsi" w:hAnsiTheme="majorHAnsi" w:cstheme="majorHAnsi"/>
                <w:color w:val="000000"/>
              </w:rPr>
            </w:pPr>
            <w:bookmarkStart w:name="_d6b0d701_711a_4db1_a539_195300c07af9" w:id="2299"/>
            <w:bookmarkEnd w:id="2298"/>
            <w:r w:rsidRPr="00A27544">
              <w:rPr>
                <w:rFonts w:eastAsia="Times New Roman" w:asciiTheme="majorHAnsi" w:hAnsiTheme="majorHAnsi" w:cstheme="majorHAnsi"/>
                <w:color w:val="000000"/>
              </w:rPr>
              <w:t>Ordinary Class A shares</w:t>
            </w:r>
          </w:p>
        </w:tc>
        <w:tc>
          <w:tcPr>
            <w:tcW w:w="103" w:type="pct"/>
            <w:tcBorders>
              <w:top w:val="nil"/>
              <w:left w:val="nil"/>
              <w:bottom w:val="nil"/>
              <w:right w:val="nil"/>
              <w:tl2br w:val="nil"/>
              <w:tr2bl w:val="nil"/>
            </w:tcBorders>
            <w:shd w:val="clear" w:color="auto" w:fill="CCEEFF"/>
            <w:noWrap/>
            <w:vAlign w:val="bottom"/>
          </w:tcPr>
          <w:p w:rsidRPr="00A27544" w:rsidR="009534E2" w:rsidRDefault="009534E2">
            <w:pPr>
              <w:keepNext/>
              <w:spacing w:after="1"/>
              <w:rPr>
                <w:rFonts w:asciiTheme="majorHAnsi" w:hAnsiTheme="majorHAnsi" w:cstheme="majorHAnsi"/>
                <w:color w:val="000000"/>
              </w:rPr>
            </w:pPr>
          </w:p>
        </w:tc>
        <w:tc>
          <w:tcPr>
            <w:tcW w:w="482"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127,914</w:t>
            </w:r>
          </w:p>
        </w:tc>
        <w:tc>
          <w:tcPr>
            <w:tcW w:w="103" w:type="pct"/>
            <w:tcBorders>
              <w:top w:val="nil"/>
              <w:left w:val="nil"/>
              <w:bottom w:val="nil"/>
              <w:right w:val="nil"/>
              <w:tl2br w:val="nil"/>
              <w:tr2bl w:val="nil"/>
            </w:tcBorders>
            <w:shd w:val="clear" w:color="auto" w:fill="CCEEFF"/>
            <w:noWrap/>
            <w:vAlign w:val="bottom"/>
          </w:tcPr>
          <w:p w:rsidRPr="00A27544" w:rsidR="009534E2" w:rsidRDefault="009534E2">
            <w:pPr>
              <w:keepNext/>
              <w:spacing w:after="1"/>
              <w:rPr>
                <w:rFonts w:asciiTheme="majorHAnsi" w:hAnsiTheme="majorHAnsi" w:cstheme="majorHAnsi"/>
                <w:color w:val="000000"/>
              </w:rPr>
            </w:pPr>
          </w:p>
        </w:tc>
        <w:tc>
          <w:tcPr>
            <w:tcW w:w="482"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127,914</w:t>
            </w:r>
          </w:p>
        </w:tc>
        <w:tc>
          <w:tcPr>
            <w:tcW w:w="103" w:type="pct"/>
            <w:tcBorders>
              <w:top w:val="nil"/>
              <w:left w:val="nil"/>
              <w:bottom w:val="nil"/>
              <w:right w:val="nil"/>
              <w:tl2br w:val="nil"/>
              <w:tr2bl w:val="nil"/>
            </w:tcBorders>
            <w:shd w:val="clear" w:color="auto" w:fill="CCEEFF"/>
            <w:noWrap/>
            <w:vAlign w:val="bottom"/>
          </w:tcPr>
          <w:p w:rsidRPr="00A27544" w:rsidR="009534E2" w:rsidRDefault="009534E2">
            <w:pPr>
              <w:keepNext/>
              <w:spacing w:after="1"/>
              <w:rPr>
                <w:rFonts w:asciiTheme="majorHAnsi" w:hAnsiTheme="majorHAnsi" w:cstheme="majorHAnsi"/>
                <w:color w:val="000000"/>
              </w:rPr>
            </w:pPr>
          </w:p>
        </w:tc>
        <w:tc>
          <w:tcPr>
            <w:tcW w:w="477"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127,914</w:t>
            </w:r>
          </w:p>
        </w:tc>
      </w:tr>
      <w:tr w:rsidRPr="00A27544" w:rsidR="009534E2">
        <w:trPr>
          <w:jc w:val="center"/>
        </w:trPr>
        <w:tc>
          <w:tcPr>
            <w:tcW w:w="3250" w:type="pct"/>
            <w:tcBorders>
              <w:top w:val="nil"/>
              <w:left w:val="nil"/>
              <w:bottom w:val="nil"/>
              <w:right w:val="nil"/>
              <w:tl2br w:val="nil"/>
              <w:tr2bl w:val="nil"/>
            </w:tcBorders>
            <w:vAlign w:val="bottom"/>
          </w:tcPr>
          <w:p w:rsidRPr="00A27544" w:rsidR="009534E2" w:rsidRDefault="003369EB">
            <w:pPr>
              <w:keepNext/>
              <w:spacing w:after="1"/>
              <w:rPr>
                <w:rFonts w:asciiTheme="majorHAnsi" w:hAnsiTheme="majorHAnsi" w:cstheme="majorHAnsi"/>
                <w:color w:val="000000"/>
              </w:rPr>
            </w:pPr>
            <w:bookmarkStart w:name="_721d372a_1ee8_45ef_a8b9_ffbbc46bd38e" w:id="2300"/>
            <w:bookmarkEnd w:id="2299"/>
            <w:r w:rsidRPr="00A27544">
              <w:rPr>
                <w:rFonts w:eastAsia="Times New Roman" w:asciiTheme="majorHAnsi" w:hAnsiTheme="majorHAnsi" w:cstheme="majorHAnsi"/>
                <w:color w:val="000000"/>
              </w:rPr>
              <w:t>Ordinary Class B shares</w:t>
            </w:r>
          </w:p>
        </w:tc>
        <w:tc>
          <w:tcPr>
            <w:tcW w:w="103" w:type="pct"/>
            <w:tcBorders>
              <w:top w:val="nil"/>
              <w:left w:val="nil"/>
              <w:bottom w:val="nil"/>
              <w:right w:val="nil"/>
              <w:tl2br w:val="nil"/>
              <w:tr2bl w:val="nil"/>
            </w:tcBorders>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82" w:type="pct"/>
            <w:tcBorders>
              <w:top w:val="nil"/>
              <w:left w:val="nil"/>
              <w:bottom w:val="single" w:color="000000" w:sz="4" w:space="0"/>
              <w:right w:val="nil"/>
              <w:tl2br w:val="nil"/>
              <w:tr2bl w:val="nil"/>
            </w:tcBorders>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102,936</w:t>
            </w:r>
          </w:p>
        </w:tc>
        <w:tc>
          <w:tcPr>
            <w:tcW w:w="103" w:type="pct"/>
            <w:tcBorders>
              <w:top w:val="nil"/>
              <w:left w:val="nil"/>
              <w:bottom w:val="nil"/>
              <w:right w:val="nil"/>
              <w:tl2br w:val="nil"/>
              <w:tr2bl w:val="nil"/>
            </w:tcBorders>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82" w:type="pct"/>
            <w:tcBorders>
              <w:top w:val="nil"/>
              <w:left w:val="nil"/>
              <w:bottom w:val="single" w:color="000000" w:sz="4" w:space="0"/>
              <w:right w:val="nil"/>
              <w:tl2br w:val="nil"/>
              <w:tr2bl w:val="nil"/>
            </w:tcBorders>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102,936</w:t>
            </w:r>
          </w:p>
        </w:tc>
        <w:tc>
          <w:tcPr>
            <w:tcW w:w="103" w:type="pct"/>
            <w:tcBorders>
              <w:top w:val="nil"/>
              <w:left w:val="nil"/>
              <w:bottom w:val="nil"/>
              <w:right w:val="nil"/>
              <w:tl2br w:val="nil"/>
              <w:tr2bl w:val="nil"/>
            </w:tcBorders>
            <w:noWrap/>
            <w:vAlign w:val="bottom"/>
          </w:tcPr>
          <w:p w:rsidRPr="00A27544" w:rsidR="009534E2" w:rsidRDefault="003369EB">
            <w:pPr>
              <w:keepNext/>
              <w:spacing w:after="1"/>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77" w:type="pct"/>
            <w:tcBorders>
              <w:top w:val="nil"/>
              <w:left w:val="nil"/>
              <w:bottom w:val="single" w:color="000000" w:sz="4" w:space="0"/>
              <w:right w:val="nil"/>
              <w:tl2br w:val="nil"/>
              <w:tr2bl w:val="nil"/>
            </w:tcBorders>
            <w:noWrap/>
            <w:vAlign w:val="bottom"/>
          </w:tcPr>
          <w:p w:rsidRPr="00A27544" w:rsidR="009534E2" w:rsidRDefault="003369EB">
            <w:pPr>
              <w:keepNext/>
              <w:spacing w:after="1"/>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102,936</w:t>
            </w:r>
          </w:p>
        </w:tc>
      </w:tr>
      <w:tr w:rsidRPr="00A27544" w:rsidR="009534E2">
        <w:trPr>
          <w:jc w:val="center"/>
        </w:trPr>
        <w:tc>
          <w:tcPr>
            <w:tcW w:w="3250" w:type="pct"/>
            <w:tcBorders>
              <w:top w:val="nil"/>
              <w:left w:val="nil"/>
              <w:bottom w:val="nil"/>
              <w:right w:val="nil"/>
              <w:tl2br w:val="nil"/>
              <w:tr2bl w:val="nil"/>
            </w:tcBorders>
            <w:shd w:val="clear" w:color="auto" w:fill="CCEEFF"/>
            <w:vAlign w:val="bottom"/>
          </w:tcPr>
          <w:p w:rsidRPr="00A27544" w:rsidR="009534E2" w:rsidRDefault="003369EB">
            <w:pPr>
              <w:keepNext/>
              <w:spacing w:after="1"/>
              <w:rPr>
                <w:rFonts w:asciiTheme="majorHAnsi" w:hAnsiTheme="majorHAnsi" w:cstheme="majorHAnsi"/>
                <w:b/>
                <w:color w:val="000000"/>
              </w:rPr>
            </w:pPr>
            <w:bookmarkStart w:name="_dfefb2fb_398e_4a48_8ca9_fe2570faa67a" w:id="2301"/>
            <w:bookmarkEnd w:id="2300"/>
            <w:r w:rsidRPr="00A27544">
              <w:rPr>
                <w:rFonts w:eastAsia="Times New Roman" w:asciiTheme="majorHAnsi" w:hAnsiTheme="majorHAnsi" w:cstheme="majorHAnsi"/>
                <w:b/>
                <w:color w:val="000000"/>
              </w:rPr>
              <w:t>Total authorised shares</w:t>
            </w:r>
          </w:p>
        </w:tc>
        <w:tc>
          <w:tcPr>
            <w:tcW w:w="103"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82"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230,850</w:t>
            </w:r>
          </w:p>
        </w:tc>
        <w:tc>
          <w:tcPr>
            <w:tcW w:w="103"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82"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230,850</w:t>
            </w:r>
          </w:p>
        </w:tc>
        <w:tc>
          <w:tcPr>
            <w:tcW w:w="103" w:type="pct"/>
            <w:tcBorders>
              <w:top w:val="nil"/>
              <w:left w:val="nil"/>
              <w:bottom w:val="nil"/>
              <w:right w:val="nil"/>
              <w:tl2br w:val="nil"/>
              <w:tr2bl w:val="nil"/>
            </w:tcBorders>
            <w:shd w:val="clear" w:color="auto" w:fill="CCEEFF"/>
            <w:noWrap/>
            <w:vAlign w:val="bottom"/>
          </w:tcPr>
          <w:p w:rsidRPr="00A27544" w:rsidR="009534E2" w:rsidRDefault="003369EB">
            <w:pPr>
              <w:keepNext/>
              <w:spacing w:after="1"/>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77"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spacing w:after="1"/>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230,850</w:t>
            </w:r>
          </w:p>
        </w:tc>
      </w:tr>
      <w:bookmarkEnd w:id="2294"/>
      <w:bookmarkEnd w:id="2301"/>
    </w:tbl>
    <w:p w:rsidRPr="00A27544" w:rsidR="009534E2" w:rsidRDefault="009534E2">
      <w:pPr>
        <w:pStyle w:val="BodyText"/>
        <w:keepNext/>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021"/>
        <w:gridCol w:w="223"/>
        <w:gridCol w:w="1041"/>
        <w:gridCol w:w="222"/>
        <w:gridCol w:w="1041"/>
        <w:gridCol w:w="222"/>
        <w:gridCol w:w="1030"/>
      </w:tblGrid>
      <w:tr w:rsidRPr="00A27544" w:rsidR="009534E2">
        <w:trPr>
          <w:trHeight w:val="20" w:hRule="exact"/>
          <w:jc w:val="center"/>
        </w:trPr>
        <w:tc>
          <w:tcPr>
            <w:tcW w:w="3250"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bookmarkStart w:name="_91ca54d9_815c_4efc_bc94_c4f6b63cc208" w:id="2302"/>
            <w:bookmarkStart w:name="_e4838aa6_c4b5_454e_8720_b04f8c9a84cd" w:id="2303"/>
            <w:bookmarkStart w:name="_712d1e59_ae1f_41e4_a89c_feec36de1f65" w:colFirst="0" w:colLast="0" w:id="2304"/>
            <w:bookmarkStart w:name="_e1882072_609d_4033_ba9b_2ea2ae914cc0" w:colFirst="1" w:colLast="1" w:id="2305"/>
            <w:bookmarkStart w:name="_33f3e962_2762_40d3_ba97_e7b14c3f98d9" w:colFirst="2" w:colLast="2" w:id="2306"/>
            <w:bookmarkStart w:name="_6ba4b9e1_4fb5_43d4_b9ff_20b66d388152" w:colFirst="3" w:colLast="3" w:id="2307"/>
            <w:bookmarkStart w:name="_ec49a8d2_9aca_4040_8682_c2e2fe9802f0" w:colFirst="4" w:colLast="4" w:id="2308"/>
            <w:bookmarkStart w:name="_79b901c0_babd_4ae3_9711_ca3cc2bd04d2" w:colFirst="5" w:colLast="5" w:id="2309"/>
            <w:bookmarkStart w:name="_7a95b73d_20ec_4f4f_9d36_25161cfaac44" w:colFirst="6" w:colLast="6" w:id="2310"/>
            <w:bookmarkStart w:name="_31b2ebff_9911_4b58_bd4e_b0690acb3858" w:id="2311"/>
            <w:bookmarkEnd w:id="2302"/>
            <w:bookmarkEnd w:id="2303"/>
          </w:p>
        </w:tc>
        <w:tc>
          <w:tcPr>
            <w:tcW w:w="103"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82"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103"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82"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103"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c>
          <w:tcPr>
            <w:tcW w:w="477" w:type="pct"/>
            <w:tcBorders>
              <w:top w:val="nil"/>
              <w:left w:val="nil"/>
              <w:bottom w:val="nil"/>
              <w:right w:val="nil"/>
            </w:tcBorders>
            <w:noWrap/>
            <w:vAlign w:val="bottom"/>
          </w:tcPr>
          <w:p w:rsidRPr="00A27544" w:rsidR="009534E2" w:rsidRDefault="009534E2">
            <w:pPr>
              <w:keepNext/>
              <w:rPr>
                <w:rFonts w:asciiTheme="majorHAnsi" w:hAnsiTheme="majorHAnsi" w:cstheme="majorHAnsi"/>
                <w:sz w:val="2"/>
              </w:rPr>
            </w:pPr>
          </w:p>
        </w:tc>
      </w:tr>
      <w:tr w:rsidRPr="00A27544" w:rsidR="009534E2">
        <w:trPr>
          <w:jc w:val="center"/>
        </w:trPr>
        <w:tc>
          <w:tcPr>
            <w:tcW w:w="3250" w:type="pct"/>
            <w:tcBorders>
              <w:top w:val="nil"/>
              <w:left w:val="nil"/>
              <w:bottom w:val="nil"/>
              <w:right w:val="nil"/>
              <w:tl2br w:val="nil"/>
              <w:tr2bl w:val="nil"/>
            </w:tcBorders>
            <w:shd w:val="clear" w:color="auto" w:fill="auto"/>
            <w:noWrap/>
            <w:vAlign w:val="bottom"/>
          </w:tcPr>
          <w:p w:rsidRPr="00A27544" w:rsidR="009534E2" w:rsidRDefault="009534E2">
            <w:pPr>
              <w:keepNext/>
              <w:jc w:val="center"/>
              <w:rPr>
                <w:rFonts w:eastAsia="Calibri" w:asciiTheme="majorHAnsi" w:hAnsiTheme="majorHAnsi" w:cstheme="majorHAnsi"/>
                <w:color w:val="000000"/>
                <w:sz w:val="16"/>
              </w:rPr>
            </w:pPr>
            <w:bookmarkStart w:name="_635f7aa6_aeed_4627_b91a_e4e4c0cf3ee9" w:id="2312"/>
            <w:bookmarkEnd w:id="2304"/>
            <w:bookmarkEnd w:id="2305"/>
            <w:bookmarkEnd w:id="2306"/>
            <w:bookmarkEnd w:id="2307"/>
            <w:bookmarkEnd w:id="2308"/>
            <w:bookmarkEnd w:id="2309"/>
            <w:bookmarkEnd w:id="2310"/>
          </w:p>
        </w:tc>
        <w:tc>
          <w:tcPr>
            <w:tcW w:w="103"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82" w:type="pct"/>
            <w:tcBorders>
              <w:top w:val="nil"/>
              <w:left w:val="nil"/>
              <w:bottom w:val="nil"/>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As of</w:t>
            </w:r>
          </w:p>
        </w:tc>
        <w:tc>
          <w:tcPr>
            <w:tcW w:w="103"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82" w:type="pct"/>
            <w:tcBorders>
              <w:top w:val="nil"/>
              <w:left w:val="nil"/>
              <w:bottom w:val="nil"/>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As of</w:t>
            </w:r>
          </w:p>
        </w:tc>
        <w:tc>
          <w:tcPr>
            <w:tcW w:w="103"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77" w:type="pct"/>
            <w:tcBorders>
              <w:top w:val="nil"/>
              <w:left w:val="nil"/>
              <w:bottom w:val="nil"/>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As of</w:t>
            </w:r>
          </w:p>
        </w:tc>
      </w:tr>
      <w:tr w:rsidRPr="00A27544" w:rsidR="009534E2">
        <w:trPr>
          <w:jc w:val="center"/>
        </w:trPr>
        <w:tc>
          <w:tcPr>
            <w:tcW w:w="3250" w:type="pct"/>
            <w:tcBorders>
              <w:top w:val="nil"/>
              <w:left w:val="nil"/>
              <w:bottom w:val="nil"/>
              <w:right w:val="nil"/>
              <w:tl2br w:val="nil"/>
              <w:tr2bl w:val="nil"/>
            </w:tcBorders>
            <w:shd w:val="clear" w:color="auto" w:fill="auto"/>
            <w:vAlign w:val="bottom"/>
          </w:tcPr>
          <w:p w:rsidRPr="00A27544" w:rsidR="009534E2" w:rsidRDefault="009534E2">
            <w:pPr>
              <w:keepNext/>
              <w:rPr>
                <w:rFonts w:asciiTheme="majorHAnsi" w:hAnsiTheme="majorHAnsi" w:cstheme="majorHAnsi"/>
                <w:b/>
                <w:color w:val="000000"/>
                <w:sz w:val="16"/>
              </w:rPr>
            </w:pPr>
            <w:bookmarkStart w:name="_e16355fe_9e9c_4ea6_90e4_2c8283c03e25" w:id="2313"/>
            <w:bookmarkEnd w:id="2312"/>
          </w:p>
        </w:tc>
        <w:tc>
          <w:tcPr>
            <w:tcW w:w="103" w:type="pct"/>
            <w:tcBorders>
              <w:top w:val="nil"/>
              <w:left w:val="nil"/>
              <w:bottom w:val="nil"/>
              <w:right w:val="nil"/>
              <w:tl2br w:val="nil"/>
              <w:tr2bl w:val="nil"/>
            </w:tcBorders>
            <w:shd w:val="clear" w:color="auto" w:fill="auto"/>
            <w:noWrap/>
            <w:vAlign w:val="bottom"/>
          </w:tcPr>
          <w:p w:rsidRPr="00A27544" w:rsidR="009534E2" w:rsidRDefault="009534E2">
            <w:pPr>
              <w:keepNext/>
              <w:rPr>
                <w:rFonts w:asciiTheme="majorHAnsi" w:hAnsiTheme="majorHAnsi" w:cstheme="majorHAnsi"/>
                <w:b/>
                <w:color w:val="000000"/>
                <w:sz w:val="16"/>
              </w:rPr>
            </w:pPr>
          </w:p>
        </w:tc>
        <w:tc>
          <w:tcPr>
            <w:tcW w:w="482" w:type="pct"/>
            <w:tcBorders>
              <w:top w:val="nil"/>
              <w:left w:val="nil"/>
              <w:bottom w:val="nil"/>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December 31, </w:t>
            </w:r>
          </w:p>
        </w:tc>
        <w:tc>
          <w:tcPr>
            <w:tcW w:w="103" w:type="pct"/>
            <w:tcBorders>
              <w:top w:val="nil"/>
              <w:left w:val="nil"/>
              <w:bottom w:val="nil"/>
              <w:right w:val="nil"/>
              <w:tl2br w:val="nil"/>
              <w:tr2bl w:val="nil"/>
            </w:tcBorders>
            <w:shd w:val="clear" w:color="auto" w:fill="auto"/>
            <w:noWrap/>
            <w:vAlign w:val="bottom"/>
          </w:tcPr>
          <w:p w:rsidRPr="00A27544" w:rsidR="009534E2" w:rsidRDefault="009534E2">
            <w:pPr>
              <w:keepNext/>
              <w:rPr>
                <w:rFonts w:asciiTheme="majorHAnsi" w:hAnsiTheme="majorHAnsi" w:cstheme="majorHAnsi"/>
                <w:b/>
                <w:color w:val="000000"/>
                <w:sz w:val="16"/>
              </w:rPr>
            </w:pPr>
          </w:p>
        </w:tc>
        <w:tc>
          <w:tcPr>
            <w:tcW w:w="482" w:type="pct"/>
            <w:tcBorders>
              <w:top w:val="nil"/>
              <w:left w:val="nil"/>
              <w:bottom w:val="nil"/>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December 31, </w:t>
            </w:r>
          </w:p>
        </w:tc>
        <w:tc>
          <w:tcPr>
            <w:tcW w:w="103" w:type="pct"/>
            <w:tcBorders>
              <w:top w:val="nil"/>
              <w:left w:val="nil"/>
              <w:bottom w:val="nil"/>
              <w:right w:val="nil"/>
              <w:tl2br w:val="nil"/>
              <w:tr2bl w:val="nil"/>
            </w:tcBorders>
            <w:shd w:val="clear" w:color="auto" w:fill="auto"/>
            <w:noWrap/>
            <w:vAlign w:val="bottom"/>
          </w:tcPr>
          <w:p w:rsidRPr="00A27544" w:rsidR="009534E2" w:rsidRDefault="009534E2">
            <w:pPr>
              <w:keepNext/>
              <w:rPr>
                <w:rFonts w:asciiTheme="majorHAnsi" w:hAnsiTheme="majorHAnsi" w:cstheme="majorHAnsi"/>
                <w:b/>
                <w:color w:val="000000"/>
                <w:sz w:val="16"/>
              </w:rPr>
            </w:pPr>
          </w:p>
        </w:tc>
        <w:tc>
          <w:tcPr>
            <w:tcW w:w="477" w:type="pct"/>
            <w:tcBorders>
              <w:top w:val="nil"/>
              <w:left w:val="nil"/>
              <w:bottom w:val="nil"/>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December 31, </w:t>
            </w:r>
          </w:p>
        </w:tc>
      </w:tr>
      <w:tr w:rsidRPr="00A27544" w:rsidR="009534E2">
        <w:trPr>
          <w:jc w:val="center"/>
        </w:trPr>
        <w:tc>
          <w:tcPr>
            <w:tcW w:w="3250" w:type="pct"/>
            <w:tcBorders>
              <w:top w:val="nil"/>
              <w:left w:val="nil"/>
              <w:bottom w:val="nil"/>
              <w:right w:val="nil"/>
              <w:tl2br w:val="nil"/>
              <w:tr2bl w:val="nil"/>
            </w:tcBorders>
            <w:shd w:val="clear" w:color="auto" w:fill="auto"/>
            <w:vAlign w:val="bottom"/>
          </w:tcPr>
          <w:p w:rsidRPr="00A27544" w:rsidR="009534E2" w:rsidRDefault="003369EB">
            <w:pPr>
              <w:keepNext/>
              <w:rPr>
                <w:rFonts w:asciiTheme="majorHAnsi" w:hAnsiTheme="majorHAnsi" w:cstheme="majorHAnsi"/>
                <w:b/>
                <w:color w:val="000000"/>
                <w:sz w:val="16"/>
              </w:rPr>
            </w:pPr>
            <w:bookmarkStart w:name="_3294e2bd_c743_427f_87ff_5df17ca94724" w:id="2314"/>
            <w:bookmarkEnd w:id="2313"/>
            <w:r w:rsidRPr="00A27544">
              <w:rPr>
                <w:rFonts w:eastAsia="Times New Roman" w:asciiTheme="majorHAnsi" w:hAnsiTheme="majorHAnsi" w:cstheme="majorHAnsi"/>
                <w:b/>
                <w:color w:val="000000"/>
                <w:sz w:val="16"/>
              </w:rPr>
              <w:t>Issued and fully paid shares</w:t>
            </w:r>
          </w:p>
        </w:tc>
        <w:tc>
          <w:tcPr>
            <w:tcW w:w="103"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82"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2020</w:t>
            </w:r>
          </w:p>
        </w:tc>
        <w:tc>
          <w:tcPr>
            <w:tcW w:w="103"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82"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2021</w:t>
            </w:r>
          </w:p>
        </w:tc>
        <w:tc>
          <w:tcPr>
            <w:tcW w:w="103"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77" w:type="pct"/>
            <w:tcBorders>
              <w:top w:val="nil"/>
              <w:left w:val="nil"/>
              <w:bottom w:val="single" w:color="000000" w:sz="4" w:space="0"/>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2022</w:t>
            </w:r>
          </w:p>
        </w:tc>
      </w:tr>
      <w:tr w:rsidRPr="00A27544" w:rsidR="009534E2">
        <w:trPr>
          <w:jc w:val="center"/>
        </w:trPr>
        <w:tc>
          <w:tcPr>
            <w:tcW w:w="3250" w:type="pct"/>
            <w:tcBorders>
              <w:top w:val="nil"/>
              <w:left w:val="nil"/>
              <w:bottom w:val="nil"/>
              <w:right w:val="nil"/>
              <w:tl2br w:val="nil"/>
              <w:tr2bl w:val="nil"/>
            </w:tcBorders>
            <w:shd w:val="clear" w:color="auto" w:fill="auto"/>
            <w:vAlign w:val="bottom"/>
          </w:tcPr>
          <w:p w:rsidRPr="00A27544" w:rsidR="009534E2" w:rsidRDefault="009534E2">
            <w:pPr>
              <w:keepNext/>
              <w:rPr>
                <w:rFonts w:asciiTheme="majorHAnsi" w:hAnsiTheme="majorHAnsi" w:cstheme="majorHAnsi"/>
                <w:color w:val="000000"/>
                <w:sz w:val="16"/>
              </w:rPr>
            </w:pPr>
            <w:bookmarkStart w:name="_714ada8c_d193_47c2_babe_267699e5ebab" w:id="2315"/>
            <w:bookmarkEnd w:id="2314"/>
          </w:p>
        </w:tc>
        <w:tc>
          <w:tcPr>
            <w:tcW w:w="103"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82" w:type="pct"/>
            <w:tcBorders>
              <w:top w:val="nil"/>
              <w:left w:val="nil"/>
              <w:bottom w:val="nil"/>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Thousands</w:t>
            </w:r>
          </w:p>
        </w:tc>
        <w:tc>
          <w:tcPr>
            <w:tcW w:w="103"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82" w:type="pct"/>
            <w:tcBorders>
              <w:top w:val="nil"/>
              <w:left w:val="nil"/>
              <w:bottom w:val="nil"/>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Thousands</w:t>
            </w:r>
          </w:p>
        </w:tc>
        <w:tc>
          <w:tcPr>
            <w:tcW w:w="103" w:type="pct"/>
            <w:tcBorders>
              <w:top w:val="nil"/>
              <w:left w:val="nil"/>
              <w:bottom w:val="nil"/>
              <w:right w:val="nil"/>
              <w:tl2br w:val="nil"/>
              <w:tr2bl w:val="nil"/>
            </w:tcBorders>
            <w:shd w:val="clear" w:color="auto" w:fill="auto"/>
            <w:noWrap/>
            <w:vAlign w:val="bottom"/>
          </w:tcPr>
          <w:p w:rsidRPr="00A27544" w:rsidR="009534E2" w:rsidRDefault="003369EB">
            <w:pPr>
              <w:keepNext/>
              <w:rPr>
                <w:rFonts w:asciiTheme="majorHAnsi" w:hAnsiTheme="majorHAnsi" w:cstheme="majorHAnsi"/>
                <w:b/>
                <w:color w:val="000000"/>
                <w:sz w:val="16"/>
              </w:rPr>
            </w:pPr>
            <w:r w:rsidRPr="00A27544">
              <w:rPr>
                <w:rFonts w:eastAsia="Times New Roman" w:asciiTheme="majorHAnsi" w:hAnsiTheme="majorHAnsi" w:cstheme="majorHAnsi"/>
                <w:b/>
                <w:color w:val="000000"/>
                <w:sz w:val="16"/>
              </w:rPr>
              <w:t> </w:t>
            </w:r>
          </w:p>
        </w:tc>
        <w:tc>
          <w:tcPr>
            <w:tcW w:w="477" w:type="pct"/>
            <w:tcBorders>
              <w:top w:val="nil"/>
              <w:left w:val="nil"/>
              <w:bottom w:val="nil"/>
              <w:right w:val="nil"/>
              <w:tl2br w:val="nil"/>
              <w:tr2bl w:val="nil"/>
            </w:tcBorders>
            <w:shd w:val="clear" w:color="auto" w:fill="auto"/>
            <w:noWrap/>
            <w:vAlign w:val="bottom"/>
          </w:tcPr>
          <w:p w:rsidRPr="00A27544" w:rsidR="009534E2" w:rsidRDefault="003369EB">
            <w:pPr>
              <w:keepNext/>
              <w:jc w:val="center"/>
              <w:rPr>
                <w:rFonts w:asciiTheme="majorHAnsi" w:hAnsiTheme="majorHAnsi" w:cstheme="majorHAnsi"/>
                <w:b/>
                <w:color w:val="000000"/>
                <w:sz w:val="16"/>
              </w:rPr>
            </w:pPr>
            <w:r w:rsidRPr="00A27544">
              <w:rPr>
                <w:rFonts w:eastAsia="Times New Roman" w:asciiTheme="majorHAnsi" w:hAnsiTheme="majorHAnsi" w:cstheme="majorHAnsi"/>
                <w:b/>
                <w:color w:val="000000"/>
                <w:sz w:val="16"/>
              </w:rPr>
              <w:t>Thousands</w:t>
            </w:r>
          </w:p>
        </w:tc>
      </w:tr>
      <w:tr w:rsidRPr="00A27544" w:rsidR="009534E2">
        <w:trPr>
          <w:jc w:val="center"/>
        </w:trPr>
        <w:tc>
          <w:tcPr>
            <w:tcW w:w="3250"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color w:val="000000"/>
              </w:rPr>
            </w:pPr>
            <w:bookmarkStart w:name="_00d32d36_9df0_4934_8d7c_057d8f097010" w:id="2316"/>
            <w:bookmarkEnd w:id="2315"/>
            <w:r w:rsidRPr="00A27544">
              <w:rPr>
                <w:rFonts w:eastAsia="Times New Roman" w:asciiTheme="majorHAnsi" w:hAnsiTheme="majorHAnsi" w:cstheme="majorHAnsi"/>
                <w:color w:val="000000"/>
              </w:rPr>
              <w:t>Ordinary Class A shares</w:t>
            </w:r>
          </w:p>
        </w:tc>
        <w:tc>
          <w:tcPr>
            <w:tcW w:w="103"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10,414</w:t>
            </w:r>
          </w:p>
        </w:tc>
        <w:tc>
          <w:tcPr>
            <w:tcW w:w="103"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10,414</w:t>
            </w:r>
          </w:p>
        </w:tc>
        <w:tc>
          <w:tcPr>
            <w:tcW w:w="103"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77" w:type="pct"/>
            <w:tcBorders>
              <w:top w:val="nil"/>
              <w:left w:val="nil"/>
              <w:bottom w:val="nil"/>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10,414</w:t>
            </w:r>
          </w:p>
        </w:tc>
      </w:tr>
      <w:tr w:rsidRPr="00A27544" w:rsidR="009534E2">
        <w:trPr>
          <w:jc w:val="center"/>
        </w:trPr>
        <w:tc>
          <w:tcPr>
            <w:tcW w:w="3250" w:type="pct"/>
            <w:tcBorders>
              <w:top w:val="nil"/>
              <w:left w:val="nil"/>
              <w:bottom w:val="nil"/>
              <w:right w:val="nil"/>
              <w:tl2br w:val="nil"/>
              <w:tr2bl w:val="nil"/>
            </w:tcBorders>
            <w:vAlign w:val="bottom"/>
          </w:tcPr>
          <w:p w:rsidRPr="00A27544" w:rsidR="009534E2" w:rsidRDefault="003369EB">
            <w:pPr>
              <w:keepNext/>
              <w:rPr>
                <w:rFonts w:asciiTheme="majorHAnsi" w:hAnsiTheme="majorHAnsi" w:cstheme="majorHAnsi"/>
                <w:color w:val="000000"/>
              </w:rPr>
            </w:pPr>
            <w:bookmarkStart w:name="_e9659ac0_59bd_4236_82cf_97edc6d4ff9f" w:id="2317"/>
            <w:bookmarkEnd w:id="2316"/>
            <w:r w:rsidRPr="00A27544">
              <w:rPr>
                <w:rFonts w:eastAsia="Times New Roman" w:asciiTheme="majorHAnsi" w:hAnsiTheme="majorHAnsi" w:cstheme="majorHAnsi"/>
                <w:color w:val="000000"/>
              </w:rPr>
              <w:t>Ordinary Class B shares</w:t>
            </w:r>
          </w:p>
        </w:tc>
        <w:tc>
          <w:tcPr>
            <w:tcW w:w="103"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82" w:type="pct"/>
            <w:tcBorders>
              <w:top w:val="nil"/>
              <w:left w:val="nil"/>
              <w:bottom w:val="sing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52,299</w:t>
            </w:r>
          </w:p>
        </w:tc>
        <w:tc>
          <w:tcPr>
            <w:tcW w:w="103"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82" w:type="pct"/>
            <w:tcBorders>
              <w:top w:val="nil"/>
              <w:left w:val="nil"/>
              <w:bottom w:val="sing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52,299</w:t>
            </w:r>
          </w:p>
        </w:tc>
        <w:tc>
          <w:tcPr>
            <w:tcW w:w="103" w:type="pct"/>
            <w:tcBorders>
              <w:top w:val="nil"/>
              <w:left w:val="nil"/>
              <w:bottom w:val="nil"/>
              <w:right w:val="nil"/>
              <w:tl2br w:val="nil"/>
              <w:tr2bl w:val="nil"/>
            </w:tcBorders>
            <w:noWrap/>
            <w:vAlign w:val="bottom"/>
          </w:tcPr>
          <w:p w:rsidRPr="00A27544" w:rsidR="009534E2" w:rsidRDefault="003369EB">
            <w:pPr>
              <w:keepNext/>
              <w:rPr>
                <w:rFonts w:asciiTheme="majorHAnsi" w:hAnsiTheme="majorHAnsi" w:cstheme="majorHAnsi"/>
                <w:color w:val="000000"/>
              </w:rPr>
            </w:pPr>
            <w:r w:rsidRPr="00A27544">
              <w:rPr>
                <w:rFonts w:eastAsia="Times New Roman" w:asciiTheme="majorHAnsi" w:hAnsiTheme="majorHAnsi" w:cstheme="majorHAnsi"/>
                <w:color w:val="000000"/>
              </w:rPr>
              <w:t> </w:t>
            </w:r>
          </w:p>
        </w:tc>
        <w:tc>
          <w:tcPr>
            <w:tcW w:w="477" w:type="pct"/>
            <w:tcBorders>
              <w:top w:val="nil"/>
              <w:left w:val="nil"/>
              <w:bottom w:val="single" w:color="000000" w:sz="4" w:space="0"/>
              <w:right w:val="nil"/>
              <w:tl2br w:val="nil"/>
              <w:tr2bl w:val="nil"/>
            </w:tcBorders>
            <w:noWrap/>
            <w:vAlign w:val="bottom"/>
          </w:tcPr>
          <w:p w:rsidRPr="00A27544" w:rsidR="009534E2" w:rsidRDefault="003369EB">
            <w:pPr>
              <w:keepNext/>
              <w:ind w:right="60"/>
              <w:jc w:val="right"/>
              <w:rPr>
                <w:rFonts w:asciiTheme="majorHAnsi" w:hAnsiTheme="majorHAnsi" w:cstheme="majorHAnsi"/>
                <w:color w:val="000000"/>
              </w:rPr>
            </w:pPr>
            <w:r w:rsidRPr="00A27544">
              <w:rPr>
                <w:rFonts w:eastAsia="Times New Roman" w:asciiTheme="majorHAnsi" w:hAnsiTheme="majorHAnsi" w:cstheme="majorHAnsi"/>
                <w:color w:val="000000"/>
              </w:rPr>
              <w:t xml:space="preserve"> 52,299</w:t>
            </w:r>
          </w:p>
        </w:tc>
      </w:tr>
      <w:tr w:rsidRPr="00A27544" w:rsidR="009534E2">
        <w:trPr>
          <w:jc w:val="center"/>
        </w:trPr>
        <w:tc>
          <w:tcPr>
            <w:tcW w:w="3250" w:type="pct"/>
            <w:tcBorders>
              <w:top w:val="nil"/>
              <w:left w:val="nil"/>
              <w:bottom w:val="nil"/>
              <w:right w:val="nil"/>
              <w:tl2br w:val="nil"/>
              <w:tr2bl w:val="nil"/>
            </w:tcBorders>
            <w:shd w:val="clear" w:color="auto" w:fill="CCEEFF"/>
            <w:vAlign w:val="bottom"/>
          </w:tcPr>
          <w:p w:rsidRPr="00A27544" w:rsidR="009534E2" w:rsidRDefault="003369EB">
            <w:pPr>
              <w:keepNext/>
              <w:rPr>
                <w:rFonts w:asciiTheme="majorHAnsi" w:hAnsiTheme="majorHAnsi" w:cstheme="majorHAnsi"/>
                <w:b/>
                <w:color w:val="000000"/>
              </w:rPr>
            </w:pPr>
            <w:bookmarkStart w:name="_d020440f_8649_4a70_8c07_1cfd9dc852c2" w:id="2318"/>
            <w:bookmarkEnd w:id="2317"/>
            <w:r w:rsidRPr="00A27544">
              <w:rPr>
                <w:rFonts w:eastAsia="Times New Roman" w:asciiTheme="majorHAnsi" w:hAnsiTheme="majorHAnsi" w:cstheme="majorHAnsi"/>
                <w:b/>
                <w:color w:val="000000"/>
              </w:rPr>
              <w:t>Total issued and fully paid shares</w:t>
            </w:r>
          </w:p>
        </w:tc>
        <w:tc>
          <w:tcPr>
            <w:tcW w:w="103"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82"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62,713</w:t>
            </w:r>
          </w:p>
        </w:tc>
        <w:tc>
          <w:tcPr>
            <w:tcW w:w="103"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82"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62,713</w:t>
            </w:r>
          </w:p>
        </w:tc>
        <w:tc>
          <w:tcPr>
            <w:tcW w:w="103" w:type="pct"/>
            <w:tcBorders>
              <w:top w:val="nil"/>
              <w:left w:val="nil"/>
              <w:bottom w:val="nil"/>
              <w:right w:val="nil"/>
              <w:tl2br w:val="nil"/>
              <w:tr2bl w:val="nil"/>
            </w:tcBorders>
            <w:shd w:val="clear" w:color="auto" w:fill="CCEEFF"/>
            <w:noWrap/>
            <w:vAlign w:val="bottom"/>
          </w:tcPr>
          <w:p w:rsidRPr="00A27544" w:rsidR="009534E2" w:rsidRDefault="003369EB">
            <w:pPr>
              <w:keepNext/>
              <w:rPr>
                <w:rFonts w:asciiTheme="majorHAnsi" w:hAnsiTheme="majorHAnsi" w:cstheme="majorHAnsi"/>
                <w:b/>
                <w:color w:val="000000"/>
              </w:rPr>
            </w:pPr>
            <w:r w:rsidRPr="00A27544">
              <w:rPr>
                <w:rFonts w:eastAsia="Times New Roman" w:asciiTheme="majorHAnsi" w:hAnsiTheme="majorHAnsi" w:cstheme="majorHAnsi"/>
                <w:b/>
                <w:color w:val="000000"/>
              </w:rPr>
              <w:t> </w:t>
            </w:r>
          </w:p>
        </w:tc>
        <w:tc>
          <w:tcPr>
            <w:tcW w:w="477" w:type="pct"/>
            <w:tcBorders>
              <w:top w:val="nil"/>
              <w:left w:val="nil"/>
              <w:bottom w:val="double" w:color="000000" w:sz="4" w:space="0"/>
              <w:right w:val="nil"/>
              <w:tl2br w:val="nil"/>
              <w:tr2bl w:val="nil"/>
            </w:tcBorders>
            <w:shd w:val="clear" w:color="auto" w:fill="CCEEFF"/>
            <w:noWrap/>
            <w:vAlign w:val="bottom"/>
          </w:tcPr>
          <w:p w:rsidRPr="00A27544" w:rsidR="009534E2" w:rsidRDefault="003369EB">
            <w:pPr>
              <w:keepNext/>
              <w:ind w:right="60"/>
              <w:jc w:val="right"/>
              <w:rPr>
                <w:rFonts w:asciiTheme="majorHAnsi" w:hAnsiTheme="majorHAnsi" w:cstheme="majorHAnsi"/>
                <w:b/>
                <w:color w:val="000000"/>
              </w:rPr>
            </w:pPr>
            <w:r w:rsidRPr="00A27544">
              <w:rPr>
                <w:rFonts w:eastAsia="Times New Roman" w:asciiTheme="majorHAnsi" w:hAnsiTheme="majorHAnsi" w:cstheme="majorHAnsi"/>
                <w:b/>
                <w:color w:val="000000"/>
              </w:rPr>
              <w:t xml:space="preserve"> 62,713</w:t>
            </w:r>
          </w:p>
        </w:tc>
      </w:tr>
      <w:bookmarkEnd w:id="2311"/>
      <w:bookmarkEnd w:id="2318"/>
    </w:tbl>
    <w:p w:rsidRPr="00A27544" w:rsidR="009534E2" w:rsidRDefault="009534E2">
      <w:pPr>
        <w:rPr>
          <w:rFonts w:asciiTheme="majorHAnsi" w:hAnsiTheme="majorHAnsi" w:cstheme="majorHAnsi"/>
        </w:rPr>
      </w:pPr>
    </w:p>
    <w:p w:rsidRPr="00A27544" w:rsidR="00A27544" w:rsidP="00A27544" w:rsidRDefault="00A27544">
      <w:pPr>
        <w:pStyle w:val="Heading1"/>
        <w:ind w:left="360" w:hanging="360"/>
        <w:rPr>
          <w:rFonts w:eastAsiaTheme="minorHAnsi"/>
          <w:b w:val="0"/>
          <w:szCs w:val="20"/>
          <w:lang w:eastAsia="ru-RU"/>
        </w:rPr>
      </w:pPr>
      <w:bookmarkStart w:name="_ee95bb21_7f2f_4dd5_87fa_c3312852ea94" w:id="2319"/>
      <w:bookmarkEnd w:id="2285"/>
      <w:r w:rsidRPr="00A27544">
        <w:rPr>
          <w:lang w:eastAsia="ru-RU"/>
        </w:rPr>
        <w:t>18.</w:t>
      </w:r>
      <w:r w:rsidRPr="00A27544">
        <w:rPr>
          <w:lang w:eastAsia="ru-RU"/>
        </w:rPr>
        <w:tab/>
        <w:t>Share capital, additional paid-in capital, share premium and other reserves (continued)</w:t>
      </w:r>
    </w:p>
    <w:bookmarkEnd w:id="2286"/>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For the year</w:t>
      </w:r>
      <w:r w:rsidR="00641503">
        <w:rPr>
          <w:rFonts w:eastAsia="Times New Roman" w:asciiTheme="majorHAnsi" w:hAnsiTheme="majorHAnsi" w:cstheme="majorHAnsi"/>
          <w:lang w:eastAsia="ru-RU"/>
        </w:rPr>
        <w:t>s</w:t>
      </w:r>
      <w:r>
        <w:rPr>
          <w:rFonts w:eastAsia="Times New Roman" w:asciiTheme="majorHAnsi" w:hAnsiTheme="majorHAnsi" w:cstheme="majorHAnsi"/>
          <w:lang w:eastAsia="ru-RU"/>
        </w:rPr>
        <w:t xml:space="preserve"> ended December 31, 2022 and 2021 the movement of outstanding shares’ number was the following:</w:t>
      </w:r>
    </w:p>
    <w:p w:rsidR="009534E2" w:rsidRDefault="009534E2">
      <w:pPr>
        <w:pStyle w:val="BodyText"/>
        <w:keepNext/>
        <w:spacing w:after="0"/>
        <w:rPr>
          <w:rFonts w:eastAsia="Times New Roman" w:asciiTheme="majorHAnsi" w:hAnsiTheme="majorHAnsi" w:cstheme="majorHAnsi"/>
          <w:lang w:eastAsia="ru-RU"/>
        </w:rPr>
      </w:pPr>
      <w:bookmarkStart w:name="_9328c306_62c4_429a_a129_6dbfe8b683c7" w:id="2320"/>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021"/>
        <w:gridCol w:w="223"/>
        <w:gridCol w:w="1041"/>
        <w:gridCol w:w="222"/>
        <w:gridCol w:w="1041"/>
        <w:gridCol w:w="222"/>
        <w:gridCol w:w="1030"/>
      </w:tblGrid>
      <w:tr w:rsidR="009534E2">
        <w:trPr>
          <w:trHeight w:val="20" w:hRule="exact"/>
          <w:jc w:val="center"/>
        </w:trPr>
        <w:tc>
          <w:tcPr>
            <w:tcW w:w="3250"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7ca6c03f_d2f2_4b42_8612_7cb1d6cb5edc" w:id="2321"/>
            <w:bookmarkStart w:name="_4f49e41a_6e87_436c_b6e2_ec7935f98093" w:colFirst="0" w:colLast="0" w:id="2322"/>
            <w:bookmarkStart w:name="_c34e24d8_f4dd_4ec9_8205_8fdbfe5c7560" w:colFirst="1" w:colLast="1" w:id="2323"/>
            <w:bookmarkStart w:name="_84db8ddd_77eb_4ff5_bfcd_147256cb3bfa" w:colFirst="2" w:colLast="2" w:id="2324"/>
            <w:bookmarkStart w:name="_38fcb61e_28eb_4cb6_8932_9a3f955b5420" w:colFirst="3" w:colLast="3" w:id="2325"/>
            <w:bookmarkStart w:name="_57e80234_5eb1_4bc2_85c5_262a49a336d0" w:colFirst="4" w:colLast="4" w:id="2326"/>
            <w:bookmarkStart w:name="_b36e63b1_05f6_4de7_bc23_514824ed0e6a" w:colFirst="5" w:colLast="5" w:id="2327"/>
            <w:bookmarkStart w:name="_647902f2_1141_4386_93b2_761859d84310" w:colFirst="6" w:colLast="6" w:id="2328"/>
            <w:bookmarkStart w:name="_5590d54f_ce2d_4da9_9643_c57e83bca2c1" w:id="2329"/>
            <w:bookmarkEnd w:id="2321"/>
          </w:p>
        </w:tc>
        <w:tc>
          <w:tcPr>
            <w:tcW w:w="1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8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8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3"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77" w:type="pct"/>
            <w:tcBorders>
              <w:top w:val="nil"/>
              <w:left w:val="nil"/>
              <w:bottom w:val="nil"/>
              <w:right w:val="nil"/>
            </w:tcBorders>
            <w:vAlign w:val="bottom"/>
          </w:tcPr>
          <w:p w:rsidR="009534E2" w:rsidRDefault="009534E2">
            <w:pPr>
              <w:keepNext/>
              <w:rPr>
                <w:rFonts w:asciiTheme="majorHAnsi" w:hAnsiTheme="majorHAnsi" w:cstheme="majorHAnsi"/>
                <w:sz w:val="2"/>
              </w:rPr>
            </w:pPr>
          </w:p>
        </w:tc>
      </w:tr>
      <w:tr w:rsidR="009534E2">
        <w:trPr>
          <w:jc w:val="center"/>
        </w:trPr>
        <w:tc>
          <w:tcPr>
            <w:tcW w:w="3250"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bc98100e_b0b0_4ca8_8e6a_91ce5635b868" w:id="2330"/>
            <w:bookmarkEnd w:id="2322"/>
            <w:bookmarkEnd w:id="2323"/>
            <w:bookmarkEnd w:id="2324"/>
            <w:bookmarkEnd w:id="2325"/>
            <w:bookmarkEnd w:id="2326"/>
            <w:bookmarkEnd w:id="2327"/>
            <w:bookmarkEnd w:id="2328"/>
          </w:p>
        </w:tc>
        <w:tc>
          <w:tcPr>
            <w:tcW w:w="103"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82" w:type="pct"/>
            <w:tcBorders>
              <w:top w:val="nil"/>
              <w:left w:val="nil"/>
              <w:bottom w:val="nil"/>
              <w:right w:val="nil"/>
              <w:tl2br w:val="nil"/>
              <w:tr2bl w:val="nil"/>
            </w:tcBorders>
            <w:shd w:val="clear" w:color="auto" w:fill="auto"/>
            <w:noWrap/>
            <w:vAlign w:val="bottom"/>
          </w:tcPr>
          <w:p w:rsidR="009534E2" w:rsidRDefault="009534E2">
            <w:pPr>
              <w:keepNext/>
              <w:jc w:val="center"/>
              <w:rPr>
                <w:rFonts w:eastAsia="Calibri" w:asciiTheme="majorHAnsi" w:hAnsiTheme="majorHAnsi" w:cstheme="majorHAnsi"/>
                <w:color w:val="000000"/>
                <w:sz w:val="16"/>
              </w:rPr>
            </w:pPr>
          </w:p>
        </w:tc>
        <w:tc>
          <w:tcPr>
            <w:tcW w:w="103"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82"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b/>
                <w:color w:val="000000"/>
                <w:sz w:val="16"/>
              </w:rPr>
            </w:pPr>
          </w:p>
        </w:tc>
        <w:tc>
          <w:tcPr>
            <w:tcW w:w="103"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77" w:type="pct"/>
            <w:tcBorders>
              <w:top w:val="nil"/>
              <w:left w:val="nil"/>
              <w:bottom w:val="nil"/>
              <w:right w:val="nil"/>
              <w:tl2br w:val="nil"/>
              <w:tr2bl w:val="nil"/>
            </w:tcBorders>
            <w:shd w:val="clear" w:color="auto" w:fill="auto"/>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Number</w:t>
            </w:r>
          </w:p>
        </w:tc>
      </w:tr>
      <w:tr w:rsidR="009534E2">
        <w:trPr>
          <w:jc w:val="center"/>
        </w:trPr>
        <w:tc>
          <w:tcPr>
            <w:tcW w:w="3250"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83530c17_a7f0_498c_bdd7_18cecc1b67f3" w:id="2331"/>
            <w:bookmarkEnd w:id="2330"/>
          </w:p>
        </w:tc>
        <w:tc>
          <w:tcPr>
            <w:tcW w:w="103"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8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Ordinary</w:t>
            </w:r>
          </w:p>
        </w:tc>
        <w:tc>
          <w:tcPr>
            <w:tcW w:w="103"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8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Ordinary</w:t>
            </w:r>
          </w:p>
        </w:tc>
        <w:tc>
          <w:tcPr>
            <w:tcW w:w="103"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77" w:type="pct"/>
            <w:tcBorders>
              <w:top w:val="nil"/>
              <w:left w:val="nil"/>
              <w:bottom w:val="nil"/>
              <w:right w:val="nil"/>
              <w:tl2br w:val="nil"/>
              <w:tr2bl w:val="nil"/>
            </w:tcBorders>
            <w:shd w:val="clear" w:color="auto" w:fill="auto"/>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of outstanding</w:t>
            </w:r>
          </w:p>
        </w:tc>
      </w:tr>
      <w:tr w:rsidR="009534E2">
        <w:trPr>
          <w:jc w:val="center"/>
        </w:trPr>
        <w:tc>
          <w:tcPr>
            <w:tcW w:w="3250"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87d1b9d0_39e6_4a15_baf1_d13e1cec7b8f" w:id="2332"/>
            <w:bookmarkEnd w:id="2331"/>
          </w:p>
        </w:tc>
        <w:tc>
          <w:tcPr>
            <w:tcW w:w="103"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82"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Class A shares</w:t>
            </w:r>
          </w:p>
        </w:tc>
        <w:tc>
          <w:tcPr>
            <w:tcW w:w="103"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82"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Class B shares</w:t>
            </w:r>
          </w:p>
        </w:tc>
        <w:tc>
          <w:tcPr>
            <w:tcW w:w="103"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77"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shares</w:t>
            </w:r>
          </w:p>
        </w:tc>
      </w:tr>
      <w:tr w:rsidR="009534E2">
        <w:trPr>
          <w:jc w:val="center"/>
        </w:trPr>
        <w:tc>
          <w:tcPr>
            <w:tcW w:w="3250"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556efd18_ac1f_4b39_910e_05afb63a1d9b" w:id="2333"/>
            <w:bookmarkEnd w:id="2332"/>
          </w:p>
        </w:tc>
        <w:tc>
          <w:tcPr>
            <w:tcW w:w="103"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8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Thousands</w:t>
            </w:r>
          </w:p>
        </w:tc>
        <w:tc>
          <w:tcPr>
            <w:tcW w:w="103"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8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Thousands</w:t>
            </w:r>
          </w:p>
        </w:tc>
        <w:tc>
          <w:tcPr>
            <w:tcW w:w="103"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477"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Thousands</w:t>
            </w:r>
          </w:p>
        </w:tc>
      </w:tr>
      <w:tr w:rsidR="009534E2">
        <w:trPr>
          <w:jc w:val="center"/>
        </w:trPr>
        <w:tc>
          <w:tcPr>
            <w:tcW w:w="3250"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3d22b075_7d52_4b5e_b49f_ed83b62a86b6" w:id="2334"/>
            <w:bookmarkStart w:name="_93e1ca41_3bb1_42d8_9898_6ab2cba6875a" w:colFirst="6" w:colLast="6" w:id="2335"/>
            <w:bookmarkStart w:name="_7294924a_71b8_458f_8a40_04532ee30cf3" w:colFirst="4" w:colLast="4" w:id="2336"/>
            <w:bookmarkEnd w:id="2333"/>
            <w:r>
              <w:rPr>
                <w:rFonts w:eastAsia="Times New Roman" w:asciiTheme="majorHAnsi" w:hAnsiTheme="majorHAnsi" w:cstheme="majorHAnsi"/>
                <w:b/>
                <w:color w:val="000000"/>
              </w:rPr>
              <w:t>As of December 31, 2020</w:t>
            </w:r>
          </w:p>
        </w:tc>
        <w:tc>
          <w:tcPr>
            <w:tcW w:w="10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10,414</w:t>
            </w:r>
          </w:p>
        </w:tc>
        <w:tc>
          <w:tcPr>
            <w:tcW w:w="10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51,965</w:t>
            </w:r>
          </w:p>
        </w:tc>
        <w:tc>
          <w:tcPr>
            <w:tcW w:w="10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77"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62,379</w:t>
            </w:r>
          </w:p>
        </w:tc>
      </w:tr>
      <w:tr w:rsidR="009534E2">
        <w:trPr>
          <w:jc w:val="center"/>
        </w:trPr>
        <w:tc>
          <w:tcPr>
            <w:tcW w:w="3250"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41627a7d_648d_4f39_b457_3761ae95c9e8" w:id="2337"/>
            <w:bookmarkStart w:name="_ef9346eb_7492_4824_85fe_d4542e2f98d0" w:colFirst="4" w:colLast="4" w:id="2338"/>
            <w:bookmarkStart w:name="_bcee3d28_21a1_4dbc_ad23_72f3ed09b2cb" w:colFirst="6" w:colLast="6" w:id="2339"/>
            <w:bookmarkEnd w:id="2334"/>
            <w:bookmarkEnd w:id="2335"/>
            <w:bookmarkEnd w:id="2336"/>
            <w:r>
              <w:rPr>
                <w:rFonts w:eastAsia="Times New Roman" w:asciiTheme="majorHAnsi" w:hAnsiTheme="majorHAnsi" w:cstheme="majorHAnsi"/>
                <w:color w:val="000000"/>
              </w:rPr>
              <w:t>Increase of share capital due to exercise of options by employees during the year</w:t>
            </w: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59</w:t>
            </w: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59</w:t>
            </w:r>
          </w:p>
        </w:tc>
      </w:tr>
      <w:tr w:rsidR="009534E2">
        <w:trPr>
          <w:jc w:val="center"/>
        </w:trPr>
        <w:tc>
          <w:tcPr>
            <w:tcW w:w="3250"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35c74c8c_18db_46d7_a6da_cf6401dc1337" w:id="2340"/>
            <w:bookmarkStart w:name="_c5bbddd0_5b2e_4390_9e7c_75088d95bab8" w:colFirst="6" w:colLast="6" w:id="2341"/>
            <w:bookmarkStart w:name="_b1794ebb_cf86_42a4_9076_5cbda406fd99" w:colFirst="4" w:colLast="4" w:id="2342"/>
            <w:bookmarkEnd w:id="2337"/>
            <w:bookmarkEnd w:id="2338"/>
            <w:bookmarkEnd w:id="2339"/>
            <w:r>
              <w:rPr>
                <w:rFonts w:eastAsia="Times New Roman" w:asciiTheme="majorHAnsi" w:hAnsiTheme="majorHAnsi" w:cstheme="majorHAnsi"/>
                <w:b/>
                <w:color w:val="000000"/>
              </w:rPr>
              <w:t>As of December 31, 2021</w:t>
            </w:r>
          </w:p>
        </w:tc>
        <w:tc>
          <w:tcPr>
            <w:tcW w:w="10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10,414</w:t>
            </w:r>
          </w:p>
        </w:tc>
        <w:tc>
          <w:tcPr>
            <w:tcW w:w="10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52,024</w:t>
            </w:r>
          </w:p>
        </w:tc>
        <w:tc>
          <w:tcPr>
            <w:tcW w:w="103"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77"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62,438</w:t>
            </w:r>
          </w:p>
        </w:tc>
      </w:tr>
      <w:tr w:rsidR="009534E2">
        <w:trPr>
          <w:jc w:val="center"/>
        </w:trPr>
        <w:tc>
          <w:tcPr>
            <w:tcW w:w="3250"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239f58bf_f053_4d5c_ad17_ecbc87bdf0ec" w:id="2343"/>
            <w:bookmarkStart w:name="_32d0d367_c4b7_4f7d_a186_4bfe31b0eb51" w:colFirst="4" w:colLast="4" w:id="2344"/>
            <w:bookmarkStart w:name="_81abf2f9_ec6e_4f3d_9274_409d47a20d5a" w:colFirst="6" w:colLast="6" w:id="2345"/>
            <w:bookmarkEnd w:id="2340"/>
            <w:bookmarkEnd w:id="2341"/>
            <w:bookmarkEnd w:id="2342"/>
            <w:r>
              <w:rPr>
                <w:rFonts w:eastAsia="Times New Roman" w:asciiTheme="majorHAnsi" w:hAnsiTheme="majorHAnsi" w:cstheme="majorHAnsi"/>
                <w:color w:val="000000"/>
              </w:rPr>
              <w:t>Increase of share capital due to exercise of options by employees during the year</w:t>
            </w: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82"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w:t>
            </w: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77"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w:t>
            </w:r>
          </w:p>
        </w:tc>
      </w:tr>
      <w:tr w:rsidR="009534E2">
        <w:trPr>
          <w:jc w:val="center"/>
        </w:trPr>
        <w:tc>
          <w:tcPr>
            <w:tcW w:w="3250"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d6a0951a_e52c_4a93_aa40_ad7e3dfaadd7" w:id="2346"/>
            <w:bookmarkEnd w:id="2343"/>
            <w:bookmarkEnd w:id="2344"/>
            <w:bookmarkEnd w:id="2345"/>
            <w:r>
              <w:rPr>
                <w:rFonts w:eastAsia="Times New Roman" w:asciiTheme="majorHAnsi" w:hAnsiTheme="majorHAnsi" w:cstheme="majorHAnsi"/>
                <w:color w:val="000000"/>
              </w:rPr>
              <w:t>Share-based payments</w:t>
            </w:r>
          </w:p>
        </w:tc>
        <w:tc>
          <w:tcPr>
            <w:tcW w:w="10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82"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82"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264</w:t>
            </w:r>
          </w:p>
        </w:tc>
        <w:tc>
          <w:tcPr>
            <w:tcW w:w="103"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77"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264</w:t>
            </w:r>
          </w:p>
        </w:tc>
      </w:tr>
      <w:tr w:rsidR="009534E2">
        <w:trPr>
          <w:jc w:val="center"/>
        </w:trPr>
        <w:tc>
          <w:tcPr>
            <w:tcW w:w="3250" w:type="pct"/>
            <w:tcBorders>
              <w:top w:val="nil"/>
              <w:left w:val="nil"/>
              <w:bottom w:val="nil"/>
              <w:right w:val="nil"/>
              <w:tl2br w:val="nil"/>
              <w:tr2bl w:val="nil"/>
            </w:tcBorders>
            <w:vAlign w:val="bottom"/>
          </w:tcPr>
          <w:p w:rsidR="009534E2" w:rsidRDefault="003369EB">
            <w:pPr>
              <w:keepNext/>
              <w:rPr>
                <w:rFonts w:asciiTheme="majorHAnsi" w:hAnsiTheme="majorHAnsi" w:cstheme="majorHAnsi"/>
                <w:b/>
                <w:color w:val="000000"/>
              </w:rPr>
            </w:pPr>
            <w:bookmarkStart w:name="_58b9a5c6_e8f3_41a8_81b7_ccbcf2bac1dd" w:id="2347"/>
            <w:bookmarkStart w:name="_d574b9f4_de68_48aa_828f_c708fe7dc889" w:colFirst="6" w:colLast="6" w:id="2348"/>
            <w:bookmarkStart w:name="_67b793c8_0a92_4b2f_936c_059e39dc48f2" w:colFirst="4" w:colLast="4" w:id="2349"/>
            <w:bookmarkEnd w:id="2346"/>
            <w:r>
              <w:rPr>
                <w:rFonts w:eastAsia="Times New Roman" w:asciiTheme="majorHAnsi" w:hAnsiTheme="majorHAnsi" w:cstheme="majorHAnsi"/>
                <w:b/>
                <w:color w:val="000000"/>
              </w:rPr>
              <w:t>As of December 31, 2022</w:t>
            </w: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nil"/>
              <w:left w:val="nil"/>
              <w:bottom w:val="doub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10,414</w:t>
            </w: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82" w:type="pct"/>
            <w:tcBorders>
              <w:top w:val="nil"/>
              <w:left w:val="nil"/>
              <w:bottom w:val="doub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52,299</w:t>
            </w:r>
          </w:p>
        </w:tc>
        <w:tc>
          <w:tcPr>
            <w:tcW w:w="103"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77" w:type="pct"/>
            <w:tcBorders>
              <w:top w:val="nil"/>
              <w:left w:val="nil"/>
              <w:bottom w:val="doub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62,713</w:t>
            </w:r>
          </w:p>
        </w:tc>
      </w:tr>
      <w:bookmarkEnd w:id="2319"/>
      <w:bookmarkEnd w:id="2320"/>
      <w:bookmarkEnd w:id="2329"/>
      <w:bookmarkEnd w:id="2347"/>
      <w:bookmarkEnd w:id="2348"/>
      <w:bookmarkEnd w:id="2349"/>
    </w:tbl>
    <w:p w:rsidR="009534E2" w:rsidRDefault="009534E2">
      <w:pPr>
        <w:rPr>
          <w:rFonts w:asciiTheme="majorHAnsi" w:hAnsiTheme="majorHAnsi" w:cstheme="majorHAnsi"/>
        </w:rPr>
      </w:pP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In case of liquidation, the Company’s assets remaining after settlement with creditors, payment of dividends and redemption of the par value of shares is distributed among the ordinary shareholders proportionately to the number of shares owned.</w:t>
      </w:r>
    </w:p>
    <w:p w:rsidR="009534E2" w:rsidRDefault="003369EB">
      <w:pPr>
        <w:pStyle w:val="BodyT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The other reserves of the Group’s equity represent the financial effects from changes in equity settled share-based payments to employees, acquisitions and disposals, as well as other operations with non-controlling interests in the subsidiaries without loss of control.</w:t>
      </w:r>
    </w:p>
    <w:p w:rsidR="009534E2" w:rsidRDefault="009534E2">
      <w:pPr>
        <w:pStyle w:val="BodyText"/>
        <w:spacing w:after="0"/>
        <w:rPr>
          <w:rFonts w:eastAsia="Times New Roman" w:asciiTheme="majorHAnsi" w:hAnsiTheme="majorHAnsi" w:cstheme="majorHAnsi"/>
          <w:lang w:eastAsia="ru-RU"/>
        </w:rPr>
      </w:pPr>
    </w:p>
    <w:p w:rsidR="009534E2" w:rsidRDefault="003369EB">
      <w:pPr>
        <w:pStyle w:val="Heading1"/>
        <w:ind w:left="360" w:hanging="360"/>
        <w:rPr>
          <w:lang w:eastAsia="ru-RU"/>
        </w:rPr>
      </w:pPr>
      <w:r>
        <w:rPr>
          <w:lang w:eastAsia="ru-RU"/>
        </w:rPr>
        <w:t>19.</w:t>
      </w:r>
      <w:r>
        <w:rPr>
          <w:lang w:eastAsia="ru-RU"/>
        </w:rPr>
        <w:tab/>
        <w:t xml:space="preserve">Debt </w:t>
      </w:r>
    </w:p>
    <w:p w:rsidR="009534E2" w:rsidRDefault="003369EB">
      <w:pPr>
        <w:pStyle w:val="BodyText"/>
        <w:keepNext/>
        <w:keepLines/>
        <w:spacing w:after="0"/>
        <w:rPr>
          <w:rFonts w:eastAsia="Times New Roman" w:asciiTheme="majorHAnsi" w:hAnsiTheme="majorHAnsi" w:cstheme="majorHAnsi"/>
          <w:lang w:eastAsia="ru-RU"/>
        </w:rPr>
      </w:pPr>
      <w:bookmarkStart w:name="_673f0cf0_1644_4895_905c_eae1e2ec952f" w:id="2350"/>
      <w:bookmarkStart w:name="_15ec9d70_17c1_47b2_8b39_7dd63089a997" w:id="2351"/>
      <w:r>
        <w:rPr>
          <w:rFonts w:eastAsia="Times New Roman" w:asciiTheme="majorHAnsi" w:hAnsiTheme="majorHAnsi" w:cstheme="majorHAnsi"/>
          <w:lang w:eastAsia="ru-RU"/>
        </w:rPr>
        <w:t>As of December 31, 2022 and December 31, 2021, Group’s debt consisted of the following:</w:t>
      </w:r>
    </w:p>
    <w:p w:rsidR="009534E2" w:rsidRDefault="009534E2">
      <w:pPr>
        <w:pStyle w:val="BodyText"/>
        <w:keepNext/>
        <w:keepLines/>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011"/>
        <w:gridCol w:w="160"/>
        <w:gridCol w:w="721"/>
        <w:gridCol w:w="160"/>
        <w:gridCol w:w="927"/>
        <w:gridCol w:w="160"/>
        <w:gridCol w:w="1395"/>
        <w:gridCol w:w="160"/>
        <w:gridCol w:w="973"/>
        <w:gridCol w:w="160"/>
        <w:gridCol w:w="973"/>
      </w:tblGrid>
      <w:tr w:rsidR="009534E2">
        <w:trPr>
          <w:trHeight w:val="20" w:hRule="exact"/>
          <w:jc w:val="center"/>
        </w:trPr>
        <w:tc>
          <w:tcPr>
            <w:tcW w:w="2320" w:type="pct"/>
            <w:tcBorders>
              <w:top w:val="nil"/>
              <w:left w:val="nil"/>
              <w:bottom w:val="nil"/>
              <w:right w:val="nil"/>
            </w:tcBorders>
            <w:vAlign w:val="bottom"/>
          </w:tcPr>
          <w:p w:rsidR="009534E2" w:rsidRDefault="009534E2">
            <w:pPr>
              <w:keepNext/>
              <w:keepLines/>
              <w:rPr>
                <w:rFonts w:asciiTheme="majorHAnsi" w:hAnsiTheme="majorHAnsi" w:cstheme="majorHAnsi"/>
                <w:sz w:val="2"/>
              </w:rPr>
            </w:pPr>
            <w:bookmarkStart w:name="_3a51fa75_9715_43df_998e_faaab5e34122" w:colFirst="0" w:colLast="0" w:id="2352"/>
            <w:bookmarkStart w:name="_caa6bbb9_be4c_4374_aeac_0aed34f60ea7" w:colFirst="1" w:colLast="1" w:id="2353"/>
            <w:bookmarkStart w:name="_a45af64a_5526_4a07_9b6b_6379b2c81416" w:colFirst="2" w:colLast="2" w:id="2354"/>
            <w:bookmarkStart w:name="_ef18f98a_c19e_4e6f_ad3c_7ff9a445c839" w:colFirst="3" w:colLast="3" w:id="2355"/>
            <w:bookmarkStart w:name="_d2c7e2fb_6107_4f5e_bb89_4ede6824c955" w:colFirst="4" w:colLast="4" w:id="2356"/>
            <w:bookmarkStart w:name="_c0b5a1de_819b_4b56_9ef7_3bf20695b134" w:colFirst="6" w:colLast="6" w:id="2357"/>
            <w:bookmarkStart w:name="_9093ea38_6e43_4be3_af02_1d7a2255fdd4" w:colFirst="7" w:colLast="7" w:id="2358"/>
            <w:bookmarkStart w:name="_887828f9_70da_46c0_aab9_78180afb2a41" w:colFirst="8" w:colLast="8" w:id="2359"/>
            <w:bookmarkStart w:name="_cd22730f_73cd_4a63_9907_ce59dfb856c9" w:colFirst="9" w:colLast="9" w:id="2360"/>
            <w:bookmarkStart w:name="_2c5839b2_c775_4018_82fc_809e2d7e3325" w:colFirst="10" w:colLast="10" w:id="2361"/>
            <w:bookmarkStart w:name="_b6cf2964_d4b0_43e3_9519_a0d8ccd77c7f" w:colFirst="5" w:colLast="5" w:id="2362"/>
            <w:bookmarkStart w:name="_4e052df0_eb85_4b26_b1da_50e261402d90" w:id="2363"/>
          </w:p>
        </w:tc>
        <w:tc>
          <w:tcPr>
            <w:tcW w:w="74"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334"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74"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429"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74"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646"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74"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450"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74"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450"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r>
      <w:tr w:rsidR="009534E2">
        <w:trPr>
          <w:jc w:val="center"/>
        </w:trPr>
        <w:tc>
          <w:tcPr>
            <w:tcW w:w="2320" w:type="pct"/>
            <w:tcBorders>
              <w:top w:val="nil"/>
              <w:left w:val="nil"/>
              <w:bottom w:val="nil"/>
              <w:right w:val="nil"/>
              <w:tl2br w:val="nil"/>
              <w:tr2bl w:val="nil"/>
            </w:tcBorders>
            <w:shd w:val="clear" w:color="auto" w:fill="auto"/>
            <w:vAlign w:val="bottom"/>
          </w:tcPr>
          <w:p w:rsidR="009534E2" w:rsidRDefault="009534E2">
            <w:pPr>
              <w:keepNext/>
              <w:keepLines/>
              <w:rPr>
                <w:rFonts w:asciiTheme="majorHAnsi" w:hAnsiTheme="majorHAnsi" w:cstheme="majorHAnsi"/>
                <w:b/>
                <w:color w:val="000000"/>
                <w:sz w:val="16"/>
              </w:rPr>
            </w:pPr>
            <w:bookmarkStart w:name="_da2eadc5_a4f2_419c_b5a2_cd102dda562f" w:id="2364"/>
            <w:bookmarkEnd w:id="2352"/>
            <w:bookmarkEnd w:id="2353"/>
            <w:bookmarkEnd w:id="2354"/>
            <w:bookmarkEnd w:id="2355"/>
            <w:bookmarkEnd w:id="2356"/>
            <w:bookmarkEnd w:id="2357"/>
            <w:bookmarkEnd w:id="2358"/>
            <w:bookmarkEnd w:id="2359"/>
            <w:bookmarkEnd w:id="2360"/>
            <w:bookmarkEnd w:id="2361"/>
            <w:bookmarkEnd w:id="2362"/>
          </w:p>
        </w:tc>
        <w:tc>
          <w:tcPr>
            <w:tcW w:w="74" w:type="pct"/>
            <w:tcBorders>
              <w:top w:val="nil"/>
              <w:left w:val="nil"/>
              <w:bottom w:val="nil"/>
              <w:right w:val="nil"/>
              <w:tl2br w:val="nil"/>
              <w:tr2bl w:val="nil"/>
            </w:tcBorders>
            <w:shd w:val="clear" w:color="auto" w:fill="auto"/>
            <w:noWrap/>
            <w:vAlign w:val="bottom"/>
          </w:tcPr>
          <w:p w:rsidR="009534E2" w:rsidRDefault="003369EB">
            <w:pPr>
              <w:keepNext/>
              <w:keepLines/>
              <w:jc w:val="righ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34"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Credit </w:t>
            </w:r>
          </w:p>
        </w:tc>
        <w:tc>
          <w:tcPr>
            <w:tcW w:w="74" w:type="pct"/>
            <w:tcBorders>
              <w:top w:val="nil"/>
              <w:left w:val="nil"/>
              <w:bottom w:val="nil"/>
              <w:right w:val="nil"/>
              <w:tl2br w:val="nil"/>
              <w:tr2bl w:val="nil"/>
            </w:tcBorders>
            <w:shd w:val="clear" w:color="auto" w:fill="auto"/>
            <w:noWrap/>
            <w:vAlign w:val="bottom"/>
          </w:tcPr>
          <w:p w:rsidR="009534E2" w:rsidRDefault="009534E2">
            <w:pPr>
              <w:keepNext/>
              <w:keepLines/>
              <w:jc w:val="right"/>
              <w:rPr>
                <w:rFonts w:asciiTheme="majorHAnsi" w:hAnsiTheme="majorHAnsi" w:cstheme="majorHAnsi"/>
                <w:b/>
                <w:color w:val="000000"/>
                <w:sz w:val="16"/>
              </w:rPr>
            </w:pPr>
          </w:p>
        </w:tc>
        <w:tc>
          <w:tcPr>
            <w:tcW w:w="429"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b/>
                <w:color w:val="000000"/>
                <w:sz w:val="16"/>
              </w:rPr>
            </w:pPr>
          </w:p>
        </w:tc>
        <w:tc>
          <w:tcPr>
            <w:tcW w:w="74"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b/>
                <w:color w:val="000000"/>
                <w:sz w:val="16"/>
              </w:rPr>
            </w:pPr>
          </w:p>
        </w:tc>
        <w:tc>
          <w:tcPr>
            <w:tcW w:w="646"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b/>
                <w:color w:val="000000"/>
                <w:sz w:val="16"/>
              </w:rPr>
            </w:pPr>
          </w:p>
        </w:tc>
        <w:tc>
          <w:tcPr>
            <w:tcW w:w="74" w:type="pct"/>
            <w:tcBorders>
              <w:top w:val="nil"/>
              <w:left w:val="nil"/>
              <w:bottom w:val="nil"/>
              <w:right w:val="nil"/>
              <w:tl2br w:val="nil"/>
              <w:tr2bl w:val="nil"/>
            </w:tcBorders>
            <w:shd w:val="clear" w:color="auto" w:fill="auto"/>
            <w:noWrap/>
            <w:vAlign w:val="bottom"/>
          </w:tcPr>
          <w:p w:rsidR="009534E2" w:rsidRDefault="003369EB">
            <w:pPr>
              <w:keepNext/>
              <w:keepLines/>
              <w:jc w:val="righ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50"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c>
          <w:tcPr>
            <w:tcW w:w="74" w:type="pct"/>
            <w:tcBorders>
              <w:top w:val="nil"/>
              <w:left w:val="nil"/>
              <w:bottom w:val="nil"/>
              <w:right w:val="nil"/>
              <w:tl2br w:val="nil"/>
              <w:tr2bl w:val="nil"/>
            </w:tcBorders>
            <w:shd w:val="clear" w:color="auto" w:fill="auto"/>
            <w:noWrap/>
            <w:vAlign w:val="bottom"/>
          </w:tcPr>
          <w:p w:rsidR="009534E2" w:rsidRDefault="003369EB">
            <w:pPr>
              <w:keepNext/>
              <w:keepLines/>
              <w:jc w:val="righ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50"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r>
      <w:tr w:rsidR="009534E2">
        <w:trPr>
          <w:jc w:val="center"/>
        </w:trPr>
        <w:tc>
          <w:tcPr>
            <w:tcW w:w="2320" w:type="pct"/>
            <w:tcBorders>
              <w:top w:val="nil"/>
              <w:left w:val="nil"/>
              <w:bottom w:val="nil"/>
              <w:right w:val="nil"/>
              <w:tl2br w:val="nil"/>
              <w:tr2bl w:val="nil"/>
            </w:tcBorders>
            <w:shd w:val="clear" w:color="auto" w:fill="auto"/>
            <w:vAlign w:val="bottom"/>
          </w:tcPr>
          <w:p w:rsidR="009534E2" w:rsidRDefault="009534E2">
            <w:pPr>
              <w:keepNext/>
              <w:keepLines/>
              <w:rPr>
                <w:rFonts w:asciiTheme="majorHAnsi" w:hAnsiTheme="majorHAnsi" w:cstheme="majorHAnsi"/>
                <w:b/>
                <w:color w:val="000000"/>
                <w:sz w:val="16"/>
              </w:rPr>
            </w:pPr>
            <w:bookmarkStart w:name="_f8b4bb6b_2ec1_418c_973b_3c7f6bedcc03" w:id="2365"/>
            <w:bookmarkEnd w:id="2364"/>
          </w:p>
        </w:tc>
        <w:tc>
          <w:tcPr>
            <w:tcW w:w="74" w:type="pct"/>
            <w:tcBorders>
              <w:top w:val="nil"/>
              <w:left w:val="nil"/>
              <w:bottom w:val="nil"/>
              <w:right w:val="nil"/>
              <w:tl2br w:val="nil"/>
              <w:tr2bl w:val="nil"/>
            </w:tcBorders>
            <w:shd w:val="clear" w:color="auto" w:fill="auto"/>
            <w:noWrap/>
            <w:vAlign w:val="bottom"/>
          </w:tcPr>
          <w:p w:rsidR="009534E2" w:rsidRDefault="009534E2">
            <w:pPr>
              <w:keepNext/>
              <w:keepLines/>
              <w:jc w:val="right"/>
              <w:rPr>
                <w:rFonts w:asciiTheme="majorHAnsi" w:hAnsiTheme="majorHAnsi" w:cstheme="majorHAnsi"/>
                <w:b/>
                <w:color w:val="000000"/>
                <w:sz w:val="16"/>
              </w:rPr>
            </w:pPr>
          </w:p>
        </w:tc>
        <w:tc>
          <w:tcPr>
            <w:tcW w:w="334"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limit</w:t>
            </w:r>
          </w:p>
        </w:tc>
        <w:tc>
          <w:tcPr>
            <w:tcW w:w="74" w:type="pct"/>
            <w:tcBorders>
              <w:top w:val="nil"/>
              <w:left w:val="nil"/>
              <w:bottom w:val="nil"/>
              <w:right w:val="nil"/>
              <w:tl2br w:val="nil"/>
              <w:tr2bl w:val="nil"/>
            </w:tcBorders>
            <w:shd w:val="clear" w:color="auto" w:fill="auto"/>
            <w:noWrap/>
            <w:vAlign w:val="bottom"/>
          </w:tcPr>
          <w:p w:rsidR="009534E2" w:rsidRDefault="009534E2">
            <w:pPr>
              <w:keepNext/>
              <w:keepLines/>
              <w:jc w:val="right"/>
              <w:rPr>
                <w:rFonts w:asciiTheme="majorHAnsi" w:hAnsiTheme="majorHAnsi" w:cstheme="majorHAnsi"/>
                <w:b/>
                <w:color w:val="000000"/>
                <w:sz w:val="16"/>
              </w:rPr>
            </w:pPr>
          </w:p>
        </w:tc>
        <w:tc>
          <w:tcPr>
            <w:tcW w:w="429"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Effective</w:t>
            </w:r>
          </w:p>
        </w:tc>
        <w:tc>
          <w:tcPr>
            <w:tcW w:w="74"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b/>
                <w:color w:val="000000"/>
                <w:sz w:val="16"/>
              </w:rPr>
            </w:pPr>
          </w:p>
        </w:tc>
        <w:tc>
          <w:tcPr>
            <w:tcW w:w="646" w:type="pct"/>
            <w:tcBorders>
              <w:top w:val="nil"/>
              <w:left w:val="nil"/>
              <w:bottom w:val="nil"/>
              <w:right w:val="nil"/>
              <w:tl2br w:val="nil"/>
              <w:tr2bl w:val="nil"/>
            </w:tcBorders>
            <w:shd w:val="clear" w:color="auto" w:fill="auto"/>
            <w:noWrap/>
            <w:vAlign w:val="bottom"/>
          </w:tcPr>
          <w:p w:rsidR="009534E2" w:rsidRDefault="009534E2">
            <w:pPr>
              <w:keepNext/>
              <w:keepLines/>
              <w:jc w:val="center"/>
              <w:rPr>
                <w:rFonts w:asciiTheme="majorHAnsi" w:hAnsiTheme="majorHAnsi" w:cstheme="majorHAnsi"/>
                <w:b/>
                <w:color w:val="000000"/>
                <w:sz w:val="16"/>
              </w:rPr>
            </w:pPr>
          </w:p>
        </w:tc>
        <w:tc>
          <w:tcPr>
            <w:tcW w:w="74" w:type="pct"/>
            <w:tcBorders>
              <w:top w:val="nil"/>
              <w:left w:val="nil"/>
              <w:bottom w:val="nil"/>
              <w:right w:val="nil"/>
              <w:tl2br w:val="nil"/>
              <w:tr2bl w:val="nil"/>
            </w:tcBorders>
            <w:shd w:val="clear" w:color="auto" w:fill="auto"/>
            <w:noWrap/>
            <w:vAlign w:val="bottom"/>
          </w:tcPr>
          <w:p w:rsidR="009534E2" w:rsidRDefault="009534E2">
            <w:pPr>
              <w:keepNext/>
              <w:keepLines/>
              <w:jc w:val="right"/>
              <w:rPr>
                <w:rFonts w:asciiTheme="majorHAnsi" w:hAnsiTheme="majorHAnsi" w:cstheme="majorHAnsi"/>
                <w:b/>
                <w:color w:val="000000"/>
                <w:sz w:val="16"/>
              </w:rPr>
            </w:pPr>
          </w:p>
        </w:tc>
        <w:tc>
          <w:tcPr>
            <w:tcW w:w="450"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w:t>
            </w:r>
          </w:p>
        </w:tc>
        <w:tc>
          <w:tcPr>
            <w:tcW w:w="74" w:type="pct"/>
            <w:tcBorders>
              <w:top w:val="nil"/>
              <w:left w:val="nil"/>
              <w:bottom w:val="nil"/>
              <w:right w:val="nil"/>
              <w:tl2br w:val="nil"/>
              <w:tr2bl w:val="nil"/>
            </w:tcBorders>
            <w:shd w:val="clear" w:color="auto" w:fill="auto"/>
            <w:noWrap/>
            <w:vAlign w:val="bottom"/>
          </w:tcPr>
          <w:p w:rsidR="009534E2" w:rsidRDefault="009534E2">
            <w:pPr>
              <w:keepNext/>
              <w:keepLines/>
              <w:jc w:val="right"/>
              <w:rPr>
                <w:rFonts w:asciiTheme="majorHAnsi" w:hAnsiTheme="majorHAnsi" w:cstheme="majorHAnsi"/>
                <w:b/>
                <w:color w:val="000000"/>
                <w:sz w:val="16"/>
              </w:rPr>
            </w:pPr>
          </w:p>
        </w:tc>
        <w:tc>
          <w:tcPr>
            <w:tcW w:w="450" w:type="pct"/>
            <w:tcBorders>
              <w:top w:val="nil"/>
              <w:left w:val="nil"/>
              <w:bottom w:val="nil"/>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w:t>
            </w:r>
          </w:p>
        </w:tc>
      </w:tr>
      <w:tr w:rsidR="009534E2">
        <w:trPr>
          <w:jc w:val="center"/>
        </w:trPr>
        <w:tc>
          <w:tcPr>
            <w:tcW w:w="2320" w:type="pct"/>
            <w:tcBorders>
              <w:top w:val="nil"/>
              <w:left w:val="nil"/>
              <w:bottom w:val="nil"/>
              <w:right w:val="nil"/>
              <w:tl2br w:val="nil"/>
              <w:tr2bl w:val="nil"/>
            </w:tcBorders>
            <w:shd w:val="clear" w:color="auto" w:fill="auto"/>
            <w:vAlign w:val="bottom"/>
          </w:tcPr>
          <w:p w:rsidR="009534E2" w:rsidRDefault="009534E2">
            <w:pPr>
              <w:keepNext/>
              <w:keepLines/>
              <w:rPr>
                <w:rFonts w:asciiTheme="majorHAnsi" w:hAnsiTheme="majorHAnsi" w:cstheme="majorHAnsi"/>
                <w:b/>
                <w:color w:val="000000"/>
                <w:sz w:val="16"/>
              </w:rPr>
            </w:pPr>
            <w:bookmarkStart w:name="_0cbc9a92_4ad4_4a9c_a922_4624a081a926" w:id="2366"/>
            <w:bookmarkEnd w:id="2365"/>
          </w:p>
        </w:tc>
        <w:tc>
          <w:tcPr>
            <w:tcW w:w="74" w:type="pct"/>
            <w:tcBorders>
              <w:top w:val="nil"/>
              <w:left w:val="nil"/>
              <w:bottom w:val="nil"/>
              <w:right w:val="nil"/>
              <w:tl2br w:val="nil"/>
              <w:tr2bl w:val="nil"/>
            </w:tcBorders>
            <w:shd w:val="clear" w:color="auto" w:fill="auto"/>
            <w:noWrap/>
            <w:vAlign w:val="bottom"/>
          </w:tcPr>
          <w:p w:rsidR="009534E2" w:rsidRDefault="003369EB">
            <w:pPr>
              <w:keepNext/>
              <w:keepLines/>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34"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(RUB)</w:t>
            </w:r>
          </w:p>
        </w:tc>
        <w:tc>
          <w:tcPr>
            <w:tcW w:w="74" w:type="pct"/>
            <w:tcBorders>
              <w:top w:val="nil"/>
              <w:left w:val="nil"/>
              <w:bottom w:val="nil"/>
              <w:right w:val="nil"/>
              <w:tl2br w:val="nil"/>
              <w:tr2bl w:val="nil"/>
            </w:tcBorders>
            <w:shd w:val="clear" w:color="auto" w:fill="auto"/>
            <w:noWrap/>
            <w:vAlign w:val="bottom"/>
          </w:tcPr>
          <w:p w:rsidR="009534E2" w:rsidRDefault="003369EB">
            <w:pPr>
              <w:keepNext/>
              <w:keepLines/>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9"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Interest rate</w:t>
            </w:r>
          </w:p>
        </w:tc>
        <w:tc>
          <w:tcPr>
            <w:tcW w:w="74" w:type="pct"/>
            <w:tcBorders>
              <w:top w:val="nil"/>
              <w:left w:val="nil"/>
              <w:bottom w:val="nil"/>
              <w:right w:val="nil"/>
              <w:tl2br w:val="nil"/>
              <w:tr2bl w:val="nil"/>
            </w:tcBorders>
            <w:shd w:val="clear" w:color="auto" w:fill="auto"/>
            <w:noWrap/>
            <w:vAlign w:val="bottom"/>
          </w:tcPr>
          <w:p w:rsidR="009534E2" w:rsidRDefault="003369EB">
            <w:pPr>
              <w:keepNext/>
              <w:keepLines/>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46"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Maturity</w:t>
            </w:r>
          </w:p>
        </w:tc>
        <w:tc>
          <w:tcPr>
            <w:tcW w:w="74" w:type="pct"/>
            <w:tcBorders>
              <w:top w:val="nil"/>
              <w:left w:val="nil"/>
              <w:bottom w:val="nil"/>
              <w:right w:val="nil"/>
              <w:tl2br w:val="nil"/>
              <w:tr2bl w:val="nil"/>
            </w:tcBorders>
            <w:shd w:val="clear" w:color="auto" w:fill="auto"/>
            <w:noWrap/>
            <w:vAlign w:val="bottom"/>
          </w:tcPr>
          <w:p w:rsidR="009534E2" w:rsidRDefault="003369EB">
            <w:pPr>
              <w:keepNext/>
              <w:keepLines/>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50"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74" w:type="pct"/>
            <w:tcBorders>
              <w:top w:val="nil"/>
              <w:left w:val="nil"/>
              <w:bottom w:val="nil"/>
              <w:right w:val="nil"/>
              <w:tl2br w:val="nil"/>
              <w:tr2bl w:val="nil"/>
            </w:tcBorders>
            <w:shd w:val="clear" w:color="auto" w:fill="auto"/>
            <w:noWrap/>
            <w:vAlign w:val="bottom"/>
          </w:tcPr>
          <w:p w:rsidR="009534E2" w:rsidRDefault="003369EB">
            <w:pPr>
              <w:keepNext/>
              <w:keepLines/>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50"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2320" w:type="pct"/>
            <w:tcBorders>
              <w:top w:val="nil"/>
              <w:left w:val="nil"/>
              <w:bottom w:val="nil"/>
              <w:right w:val="nil"/>
              <w:tl2br w:val="nil"/>
              <w:tr2bl w:val="nil"/>
            </w:tcBorders>
            <w:shd w:val="clear" w:color="auto" w:fill="CCEEFF"/>
            <w:vAlign w:val="bottom"/>
          </w:tcPr>
          <w:p w:rsidR="009534E2" w:rsidRDefault="003369EB">
            <w:pPr>
              <w:keepNext/>
              <w:keepLines/>
              <w:rPr>
                <w:rFonts w:asciiTheme="majorHAnsi" w:hAnsiTheme="majorHAnsi" w:cstheme="majorHAnsi"/>
                <w:b/>
                <w:color w:val="000000"/>
              </w:rPr>
            </w:pPr>
            <w:bookmarkStart w:name="_84c9fd06_4f82_4422_8185_7396a94b580b" w:id="2367"/>
            <w:bookmarkEnd w:id="2366"/>
            <w:r>
              <w:rPr>
                <w:rFonts w:eastAsia="Times New Roman" w:asciiTheme="majorHAnsi" w:hAnsiTheme="majorHAnsi" w:cstheme="majorHAnsi"/>
                <w:b/>
                <w:color w:val="000000"/>
              </w:rPr>
              <w:t>Current interest</w:t>
            </w:r>
            <w:r>
              <w:rPr>
                <w:rFonts w:eastAsia="Times New Roman" w:asciiTheme="majorHAnsi" w:hAnsiTheme="majorHAnsi" w:cstheme="majorHAnsi"/>
                <w:b/>
                <w:i/>
                <w:color w:val="000000"/>
              </w:rPr>
              <w:t>-</w:t>
            </w:r>
            <w:r>
              <w:rPr>
                <w:rFonts w:eastAsia="Times New Roman" w:asciiTheme="majorHAnsi" w:hAnsiTheme="majorHAnsi" w:cstheme="majorHAnsi"/>
                <w:b/>
                <w:color w:val="000000"/>
              </w:rPr>
              <w:t>bearing debt</w:t>
            </w:r>
          </w:p>
        </w:tc>
        <w:tc>
          <w:tcPr>
            <w:tcW w:w="74" w:type="pct"/>
            <w:tcBorders>
              <w:top w:val="nil"/>
              <w:left w:val="nil"/>
              <w:bottom w:val="nil"/>
              <w:right w:val="nil"/>
              <w:tl2br w:val="nil"/>
              <w:tr2bl w:val="nil"/>
            </w:tcBorders>
            <w:shd w:val="clear" w:color="auto" w:fill="CCEEFF"/>
            <w:noWrap/>
            <w:vAlign w:val="bottom"/>
          </w:tcPr>
          <w:p w:rsidR="009534E2" w:rsidRDefault="009534E2">
            <w:pPr>
              <w:keepNext/>
              <w:keepLines/>
              <w:jc w:val="right"/>
              <w:rPr>
                <w:rFonts w:asciiTheme="majorHAnsi" w:hAnsiTheme="majorHAnsi" w:cstheme="majorHAnsi"/>
                <w:color w:val="000000"/>
              </w:rPr>
            </w:pPr>
          </w:p>
        </w:tc>
        <w:tc>
          <w:tcPr>
            <w:tcW w:w="334" w:type="pct"/>
            <w:tcBorders>
              <w:top w:val="nil"/>
              <w:left w:val="nil"/>
              <w:bottom w:val="nil"/>
              <w:right w:val="nil"/>
              <w:tl2br w:val="nil"/>
              <w:tr2bl w:val="nil"/>
            </w:tcBorders>
            <w:shd w:val="clear" w:color="auto" w:fill="CCEEFF"/>
            <w:noWrap/>
            <w:vAlign w:val="bottom"/>
          </w:tcPr>
          <w:p w:rsidR="009534E2" w:rsidRDefault="009534E2">
            <w:pPr>
              <w:keepNext/>
              <w:keepLines/>
              <w:rPr>
                <w:rFonts w:asciiTheme="majorHAnsi" w:hAnsiTheme="majorHAnsi" w:cstheme="majorHAnsi"/>
                <w:color w:val="000000"/>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keepLines/>
              <w:jc w:val="right"/>
              <w:rPr>
                <w:rFonts w:asciiTheme="majorHAnsi" w:hAnsiTheme="majorHAnsi" w:cstheme="majorHAnsi"/>
                <w:color w:val="000000"/>
              </w:rPr>
            </w:pPr>
          </w:p>
        </w:tc>
        <w:tc>
          <w:tcPr>
            <w:tcW w:w="429" w:type="pct"/>
            <w:tcBorders>
              <w:top w:val="nil"/>
              <w:left w:val="nil"/>
              <w:bottom w:val="nil"/>
              <w:right w:val="nil"/>
              <w:tl2br w:val="nil"/>
              <w:tr2bl w:val="nil"/>
            </w:tcBorders>
            <w:shd w:val="clear" w:color="auto" w:fill="CCEEFF"/>
            <w:noWrap/>
            <w:vAlign w:val="bottom"/>
          </w:tcPr>
          <w:p w:rsidR="009534E2" w:rsidRDefault="009534E2">
            <w:pPr>
              <w:keepNext/>
              <w:keepLines/>
              <w:jc w:val="right"/>
              <w:rPr>
                <w:rFonts w:asciiTheme="majorHAnsi" w:hAnsiTheme="majorHAnsi" w:cstheme="majorHAnsi"/>
                <w:color w:val="000000"/>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keepLines/>
              <w:jc w:val="right"/>
              <w:rPr>
                <w:rFonts w:asciiTheme="majorHAnsi" w:hAnsiTheme="majorHAnsi" w:cstheme="majorHAnsi"/>
                <w:color w:val="000000"/>
              </w:rPr>
            </w:pPr>
          </w:p>
        </w:tc>
        <w:tc>
          <w:tcPr>
            <w:tcW w:w="646" w:type="pct"/>
            <w:tcBorders>
              <w:top w:val="nil"/>
              <w:left w:val="nil"/>
              <w:bottom w:val="nil"/>
              <w:right w:val="nil"/>
              <w:tl2br w:val="nil"/>
              <w:tr2bl w:val="nil"/>
            </w:tcBorders>
            <w:shd w:val="clear" w:color="auto" w:fill="CCEEFF"/>
            <w:noWrap/>
            <w:vAlign w:val="bottom"/>
          </w:tcPr>
          <w:p w:rsidR="009534E2" w:rsidRDefault="009534E2">
            <w:pPr>
              <w:keepNext/>
              <w:keepLines/>
              <w:rPr>
                <w:rFonts w:asciiTheme="majorHAnsi" w:hAnsiTheme="majorHAnsi" w:cstheme="majorHAnsi"/>
                <w:color w:val="000000"/>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keepLines/>
              <w:jc w:val="right"/>
              <w:rPr>
                <w:rFonts w:asciiTheme="majorHAnsi" w:hAnsiTheme="majorHAnsi" w:cstheme="majorHAnsi"/>
                <w:color w:val="000000"/>
              </w:rPr>
            </w:pPr>
          </w:p>
        </w:tc>
        <w:tc>
          <w:tcPr>
            <w:tcW w:w="450" w:type="pct"/>
            <w:tcBorders>
              <w:top w:val="nil"/>
              <w:left w:val="nil"/>
              <w:bottom w:val="nil"/>
              <w:right w:val="nil"/>
              <w:tl2br w:val="nil"/>
              <w:tr2bl w:val="nil"/>
            </w:tcBorders>
            <w:shd w:val="clear" w:color="auto" w:fill="CCEEFF"/>
            <w:noWrap/>
            <w:vAlign w:val="bottom"/>
          </w:tcPr>
          <w:p w:rsidR="009534E2" w:rsidRDefault="009534E2">
            <w:pPr>
              <w:keepNext/>
              <w:keepLines/>
              <w:rPr>
                <w:rFonts w:asciiTheme="majorHAnsi" w:hAnsiTheme="majorHAnsi" w:cstheme="majorHAnsi"/>
                <w:color w:val="000000"/>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keepLines/>
              <w:jc w:val="right"/>
              <w:rPr>
                <w:rFonts w:asciiTheme="majorHAnsi" w:hAnsiTheme="majorHAnsi" w:cstheme="majorHAnsi"/>
                <w:color w:val="000000"/>
              </w:rPr>
            </w:pPr>
          </w:p>
        </w:tc>
        <w:tc>
          <w:tcPr>
            <w:tcW w:w="450" w:type="pct"/>
            <w:tcBorders>
              <w:top w:val="nil"/>
              <w:left w:val="nil"/>
              <w:bottom w:val="nil"/>
              <w:right w:val="nil"/>
              <w:tl2br w:val="nil"/>
              <w:tr2bl w:val="nil"/>
            </w:tcBorders>
            <w:shd w:val="clear" w:color="auto" w:fill="CCEEFF"/>
            <w:noWrap/>
            <w:vAlign w:val="bottom"/>
          </w:tcPr>
          <w:p w:rsidR="009534E2" w:rsidRDefault="009534E2">
            <w:pPr>
              <w:keepNext/>
              <w:keepLines/>
              <w:rPr>
                <w:rFonts w:asciiTheme="majorHAnsi" w:hAnsiTheme="majorHAnsi" w:cstheme="majorHAnsi"/>
                <w:color w:val="000000"/>
              </w:rPr>
            </w:pPr>
          </w:p>
        </w:tc>
      </w:tr>
      <w:tr w:rsidR="009534E2">
        <w:trPr>
          <w:jc w:val="center"/>
        </w:trPr>
        <w:tc>
          <w:tcPr>
            <w:tcW w:w="2320" w:type="pct"/>
            <w:tcBorders>
              <w:top w:val="nil"/>
              <w:left w:val="nil"/>
              <w:bottom w:val="nil"/>
              <w:right w:val="nil"/>
              <w:tl2br w:val="nil"/>
              <w:tr2bl w:val="nil"/>
            </w:tcBorders>
            <w:vAlign w:val="bottom"/>
          </w:tcPr>
          <w:p w:rsidR="009534E2" w:rsidRDefault="003369EB">
            <w:pPr>
              <w:keepNext/>
              <w:keepLines/>
              <w:ind w:left="120"/>
              <w:rPr>
                <w:rFonts w:asciiTheme="majorHAnsi" w:hAnsiTheme="majorHAnsi" w:cstheme="majorHAnsi"/>
                <w:color w:val="000000"/>
              </w:rPr>
            </w:pPr>
            <w:bookmarkStart w:name="_ce012dce_87ac_47e1_9141_babb862ac7ec" w:id="2368"/>
            <w:bookmarkStart w:name="_75321cbe_4272_4c50_809b_42added75344" w:colFirst="8" w:colLast="8" w:id="2369"/>
            <w:bookmarkStart w:name="_08f51825_9141_451f_b88b_da1a928ee021" w:colFirst="10" w:colLast="10" w:id="2370"/>
            <w:bookmarkStart w:name="_362d6546_4056_49c9_9e19_ce04e5134ee2" w:colFirst="2" w:colLast="2" w:id="2371"/>
            <w:bookmarkStart w:name="_77f61dae_5160_4217_90ff_397b316185da" w:colFirst="4" w:colLast="4" w:id="2372"/>
            <w:bookmarkStart w:name="_d369fcc9_a242_4b9c_accf_baa674062df9" w:colFirst="6" w:colLast="6" w:id="2373"/>
            <w:bookmarkEnd w:id="2367"/>
            <w:r>
              <w:rPr>
                <w:rFonts w:eastAsia="Times New Roman" w:asciiTheme="majorHAnsi" w:hAnsiTheme="majorHAnsi" w:cstheme="majorHAnsi"/>
                <w:color w:val="000000"/>
              </w:rPr>
              <w:t>Bank’ revolving credit facility</w:t>
            </w:r>
          </w:p>
        </w:tc>
        <w:tc>
          <w:tcPr>
            <w:tcW w:w="74"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334" w:type="pct"/>
            <w:tcBorders>
              <w:top w:val="nil"/>
              <w:left w:val="nil"/>
              <w:bottom w:val="nil"/>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460</w:t>
            </w:r>
          </w:p>
        </w:tc>
        <w:tc>
          <w:tcPr>
            <w:tcW w:w="74"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429" w:type="pct"/>
            <w:tcBorders>
              <w:top w:val="nil"/>
              <w:left w:val="nil"/>
              <w:bottom w:val="nil"/>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Up to </w:t>
            </w:r>
            <w:bookmarkStart w:name="_87a5f412_7756_461d_a98d_b9e6b7d1f09b" w:id="2374"/>
            <w:r>
              <w:rPr>
                <w:rFonts w:eastAsia="Times New Roman" w:asciiTheme="majorHAnsi" w:hAnsiTheme="majorHAnsi" w:cstheme="majorHAnsi"/>
                <w:color w:val="000000"/>
              </w:rPr>
              <w:t>13%</w:t>
            </w:r>
            <w:bookmarkEnd w:id="2374"/>
          </w:p>
        </w:tc>
        <w:tc>
          <w:tcPr>
            <w:tcW w:w="74"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w:t>
            </w:r>
          </w:p>
        </w:tc>
        <w:tc>
          <w:tcPr>
            <w:tcW w:w="646" w:type="pct"/>
            <w:tcBorders>
              <w:top w:val="nil"/>
              <w:left w:val="nil"/>
              <w:bottom w:val="nil"/>
              <w:right w:val="nil"/>
              <w:tl2br w:val="nil"/>
              <w:tr2bl w:val="nil"/>
            </w:tcBorders>
            <w:noWrap/>
            <w:vAlign w:val="center"/>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June 30, 2023</w:t>
            </w:r>
          </w:p>
        </w:tc>
        <w:tc>
          <w:tcPr>
            <w:tcW w:w="74"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450" w:type="pct"/>
            <w:tcBorders>
              <w:top w:val="nil"/>
              <w:left w:val="nil"/>
              <w:bottom w:val="single" w:color="000000" w:sz="4" w:space="0"/>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450" w:type="pct"/>
            <w:tcBorders>
              <w:top w:val="nil"/>
              <w:left w:val="nil"/>
              <w:bottom w:val="single" w:color="000000" w:sz="4" w:space="0"/>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320" w:type="pct"/>
            <w:tcBorders>
              <w:top w:val="nil"/>
              <w:left w:val="nil"/>
              <w:bottom w:val="nil"/>
              <w:right w:val="nil"/>
              <w:tl2br w:val="nil"/>
              <w:tr2bl w:val="nil"/>
            </w:tcBorders>
            <w:shd w:val="clear" w:color="auto" w:fill="CCEEFF"/>
            <w:vAlign w:val="bottom"/>
          </w:tcPr>
          <w:p w:rsidR="009534E2" w:rsidRDefault="003369EB">
            <w:pPr>
              <w:keepNext/>
              <w:keepLines/>
              <w:rPr>
                <w:rFonts w:asciiTheme="majorHAnsi" w:hAnsiTheme="majorHAnsi" w:cstheme="majorHAnsi"/>
                <w:b/>
                <w:color w:val="000000"/>
              </w:rPr>
            </w:pPr>
            <w:bookmarkStart w:name="_adbf2fb2_dc6d_403b_b12a_07e2b4661f51" w:id="2375"/>
            <w:bookmarkEnd w:id="2368"/>
            <w:bookmarkEnd w:id="2369"/>
            <w:bookmarkEnd w:id="2370"/>
            <w:bookmarkEnd w:id="2371"/>
            <w:bookmarkEnd w:id="2372"/>
            <w:bookmarkEnd w:id="2373"/>
            <w:r>
              <w:rPr>
                <w:rFonts w:eastAsia="Times New Roman" w:asciiTheme="majorHAnsi" w:hAnsiTheme="majorHAnsi" w:cstheme="majorHAnsi"/>
                <w:b/>
                <w:color w:val="000000"/>
              </w:rPr>
              <w:t>Non-current interest</w:t>
            </w:r>
            <w:r>
              <w:rPr>
                <w:rFonts w:eastAsia="Times New Roman" w:asciiTheme="majorHAnsi" w:hAnsiTheme="majorHAnsi" w:cstheme="majorHAnsi"/>
                <w:b/>
                <w:i/>
                <w:color w:val="000000"/>
              </w:rPr>
              <w:t>-</w:t>
            </w:r>
            <w:r>
              <w:rPr>
                <w:rFonts w:eastAsia="Times New Roman" w:asciiTheme="majorHAnsi" w:hAnsiTheme="majorHAnsi" w:cstheme="majorHAnsi"/>
                <w:b/>
                <w:color w:val="000000"/>
              </w:rPr>
              <w:t>bearing debt</w:t>
            </w:r>
          </w:p>
        </w:tc>
        <w:tc>
          <w:tcPr>
            <w:tcW w:w="74"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334"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429"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keepLines/>
              <w:jc w:val="right"/>
              <w:rPr>
                <w:rFonts w:asciiTheme="majorHAnsi" w:hAnsiTheme="majorHAnsi" w:cstheme="majorHAnsi"/>
                <w:color w:val="000000"/>
              </w:rPr>
            </w:pPr>
          </w:p>
        </w:tc>
        <w:tc>
          <w:tcPr>
            <w:tcW w:w="646"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450"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r>
      <w:tr w:rsidR="009534E2">
        <w:trPr>
          <w:jc w:val="center"/>
        </w:trPr>
        <w:tc>
          <w:tcPr>
            <w:tcW w:w="2320" w:type="pct"/>
            <w:tcBorders>
              <w:top w:val="nil"/>
              <w:left w:val="nil"/>
              <w:bottom w:val="nil"/>
              <w:right w:val="nil"/>
              <w:tl2br w:val="nil"/>
              <w:tr2bl w:val="nil"/>
            </w:tcBorders>
            <w:vAlign w:val="bottom"/>
          </w:tcPr>
          <w:p w:rsidR="009534E2" w:rsidRDefault="003369EB">
            <w:pPr>
              <w:keepNext/>
              <w:keepLines/>
              <w:ind w:left="120"/>
              <w:rPr>
                <w:rFonts w:asciiTheme="majorHAnsi" w:hAnsiTheme="majorHAnsi" w:cstheme="majorHAnsi"/>
                <w:color w:val="000000"/>
              </w:rPr>
            </w:pPr>
            <w:bookmarkStart w:name="_0d80f6d0_037c_4275_96d5_838c348447b2" w:id="2376"/>
            <w:bookmarkStart w:name="_97f0881c_30e5_45e0_a552_4317206b7615" w:colFirst="8" w:colLast="8" w:id="2377"/>
            <w:bookmarkStart w:name="_7d6c61e9_f30b_498e_b436_6d92578e74bd" w:colFirst="10" w:colLast="10" w:id="2378"/>
            <w:bookmarkStart w:name="_25e83670_f3ac_4e9c_90b2_e9f1c2dda8b7" w:colFirst="2" w:colLast="2" w:id="2379"/>
            <w:bookmarkStart w:name="_69d7752c_b528_4694_9786_d5887b60c7c6" w:colFirst="4" w:colLast="4" w:id="2380"/>
            <w:bookmarkStart w:name="_f078a7bc_96af_4c1f_a271_9713d663e995" w:colFirst="6" w:colLast="6" w:id="2381"/>
            <w:bookmarkEnd w:id="2375"/>
            <w:r>
              <w:rPr>
                <w:rFonts w:eastAsia="Times New Roman" w:asciiTheme="majorHAnsi" w:hAnsiTheme="majorHAnsi" w:cstheme="majorHAnsi"/>
                <w:color w:val="000000"/>
              </w:rPr>
              <w:t>Bonds issued</w:t>
            </w:r>
          </w:p>
        </w:tc>
        <w:tc>
          <w:tcPr>
            <w:tcW w:w="74"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334" w:type="pct"/>
            <w:tcBorders>
              <w:top w:val="nil"/>
              <w:left w:val="nil"/>
              <w:bottom w:val="nil"/>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5,000</w:t>
            </w:r>
          </w:p>
        </w:tc>
        <w:tc>
          <w:tcPr>
            <w:tcW w:w="74"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429" w:type="pct"/>
            <w:tcBorders>
              <w:top w:val="nil"/>
              <w:left w:val="nil"/>
              <w:bottom w:val="nil"/>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9.3%</w:t>
            </w:r>
          </w:p>
        </w:tc>
        <w:tc>
          <w:tcPr>
            <w:tcW w:w="74" w:type="pct"/>
            <w:tcBorders>
              <w:top w:val="nil"/>
              <w:left w:val="nil"/>
              <w:bottom w:val="nil"/>
              <w:right w:val="nil"/>
              <w:tl2br w:val="nil"/>
              <w:tr2bl w:val="nil"/>
            </w:tcBorders>
            <w:noWrap/>
            <w:vAlign w:val="bottom"/>
          </w:tcPr>
          <w:p w:rsidR="009534E2" w:rsidRDefault="009534E2">
            <w:pPr>
              <w:keepNext/>
              <w:keepLines/>
              <w:jc w:val="right"/>
              <w:rPr>
                <w:rFonts w:asciiTheme="majorHAnsi" w:hAnsiTheme="majorHAnsi" w:cstheme="majorHAnsi"/>
                <w:color w:val="000000"/>
              </w:rPr>
            </w:pPr>
          </w:p>
        </w:tc>
        <w:tc>
          <w:tcPr>
            <w:tcW w:w="646" w:type="pct"/>
            <w:tcBorders>
              <w:top w:val="nil"/>
              <w:left w:val="nil"/>
              <w:bottom w:val="nil"/>
              <w:right w:val="nil"/>
              <w:tl2br w:val="nil"/>
              <w:tr2bl w:val="nil"/>
            </w:tcBorders>
            <w:noWrap/>
            <w:vAlign w:val="center"/>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October 10, 2023</w:t>
            </w:r>
          </w:p>
        </w:tc>
        <w:tc>
          <w:tcPr>
            <w:tcW w:w="74"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450" w:type="pct"/>
            <w:tcBorders>
              <w:top w:val="nil"/>
              <w:left w:val="nil"/>
              <w:bottom w:val="single" w:color="000000" w:sz="4" w:space="0"/>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4,734</w:t>
            </w:r>
          </w:p>
        </w:tc>
        <w:tc>
          <w:tcPr>
            <w:tcW w:w="74"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450" w:type="pct"/>
            <w:tcBorders>
              <w:top w:val="nil"/>
              <w:left w:val="nil"/>
              <w:bottom w:val="single" w:color="000000" w:sz="4" w:space="0"/>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3,922</w:t>
            </w:r>
          </w:p>
        </w:tc>
      </w:tr>
      <w:tr w:rsidR="009534E2">
        <w:trPr>
          <w:jc w:val="center"/>
        </w:trPr>
        <w:tc>
          <w:tcPr>
            <w:tcW w:w="2320" w:type="pct"/>
            <w:tcBorders>
              <w:top w:val="nil"/>
              <w:left w:val="nil"/>
              <w:bottom w:val="nil"/>
              <w:right w:val="nil"/>
              <w:tl2br w:val="nil"/>
              <w:tr2bl w:val="nil"/>
            </w:tcBorders>
            <w:shd w:val="clear" w:color="auto" w:fill="CCEEFF"/>
            <w:vAlign w:val="bottom"/>
          </w:tcPr>
          <w:p w:rsidR="009534E2" w:rsidRDefault="003369EB">
            <w:pPr>
              <w:keepNext/>
              <w:keepLines/>
              <w:rPr>
                <w:rFonts w:asciiTheme="majorHAnsi" w:hAnsiTheme="majorHAnsi" w:cstheme="majorHAnsi"/>
                <w:b/>
                <w:color w:val="000000"/>
              </w:rPr>
            </w:pPr>
            <w:bookmarkStart w:name="_d6899cf8_457e_4cf6_bc1c_520644c3982b" w:id="2382"/>
            <w:bookmarkStart w:name="_be93224c_5d9c_436e_8f2e_58b25f873ff9" w:colFirst="8" w:colLast="8" w:id="2383"/>
            <w:bookmarkStart w:name="_fd74e138_8cdc_4859_98d0_28a0983534da" w:colFirst="10" w:colLast="10" w:id="2384"/>
            <w:bookmarkEnd w:id="2376"/>
            <w:bookmarkEnd w:id="2377"/>
            <w:bookmarkEnd w:id="2378"/>
            <w:bookmarkEnd w:id="2379"/>
            <w:bookmarkEnd w:id="2380"/>
            <w:bookmarkEnd w:id="2381"/>
            <w:r>
              <w:rPr>
                <w:rFonts w:eastAsia="Times New Roman" w:asciiTheme="majorHAnsi" w:hAnsiTheme="majorHAnsi" w:cstheme="majorHAnsi"/>
                <w:b/>
                <w:color w:val="000000"/>
              </w:rPr>
              <w:t>Total debt</w:t>
            </w:r>
          </w:p>
        </w:tc>
        <w:tc>
          <w:tcPr>
            <w:tcW w:w="74" w:type="pct"/>
            <w:tcBorders>
              <w:top w:val="nil"/>
              <w:left w:val="nil"/>
              <w:bottom w:val="nil"/>
              <w:right w:val="nil"/>
              <w:tl2br w:val="nil"/>
              <w:tr2bl w:val="nil"/>
            </w:tcBorders>
            <w:shd w:val="clear" w:color="auto" w:fill="CCEEFF"/>
            <w:noWrap/>
            <w:vAlign w:val="bottom"/>
          </w:tcPr>
          <w:p w:rsidR="009534E2" w:rsidRDefault="009534E2">
            <w:pPr>
              <w:keepNext/>
              <w:keepLines/>
              <w:jc w:val="right"/>
              <w:rPr>
                <w:rFonts w:asciiTheme="majorHAnsi" w:hAnsiTheme="majorHAnsi" w:cstheme="majorHAnsi"/>
                <w:b/>
                <w:color w:val="000000"/>
              </w:rPr>
            </w:pPr>
          </w:p>
        </w:tc>
        <w:tc>
          <w:tcPr>
            <w:tcW w:w="334" w:type="pct"/>
            <w:tcBorders>
              <w:top w:val="nil"/>
              <w:left w:val="nil"/>
              <w:bottom w:val="nil"/>
              <w:right w:val="nil"/>
              <w:tl2br w:val="nil"/>
              <w:tr2bl w:val="nil"/>
            </w:tcBorders>
            <w:shd w:val="clear" w:color="auto" w:fill="CCEEFF"/>
            <w:noWrap/>
            <w:vAlign w:val="bottom"/>
          </w:tcPr>
          <w:p w:rsidR="009534E2" w:rsidRDefault="009534E2">
            <w:pPr>
              <w:keepNext/>
              <w:keepLines/>
              <w:jc w:val="right"/>
              <w:rPr>
                <w:rFonts w:asciiTheme="majorHAnsi" w:hAnsiTheme="majorHAnsi" w:cstheme="majorHAnsi"/>
                <w:b/>
                <w:color w:val="000000"/>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keepLines/>
              <w:jc w:val="right"/>
              <w:rPr>
                <w:rFonts w:asciiTheme="majorHAnsi" w:hAnsiTheme="majorHAnsi" w:cstheme="majorHAnsi"/>
                <w:b/>
                <w:color w:val="000000"/>
              </w:rPr>
            </w:pPr>
          </w:p>
        </w:tc>
        <w:tc>
          <w:tcPr>
            <w:tcW w:w="429" w:type="pct"/>
            <w:tcBorders>
              <w:top w:val="nil"/>
              <w:left w:val="nil"/>
              <w:bottom w:val="nil"/>
              <w:right w:val="nil"/>
              <w:tl2br w:val="nil"/>
              <w:tr2bl w:val="nil"/>
            </w:tcBorders>
            <w:shd w:val="clear" w:color="auto" w:fill="CCEEFF"/>
            <w:noWrap/>
            <w:vAlign w:val="bottom"/>
          </w:tcPr>
          <w:p w:rsidR="009534E2" w:rsidRDefault="009534E2">
            <w:pPr>
              <w:keepNext/>
              <w:keepLines/>
              <w:jc w:val="right"/>
              <w:rPr>
                <w:rFonts w:asciiTheme="majorHAnsi" w:hAnsiTheme="majorHAnsi" w:cstheme="majorHAnsi"/>
                <w:color w:val="000000"/>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keepLines/>
              <w:jc w:val="right"/>
              <w:rPr>
                <w:rFonts w:asciiTheme="majorHAnsi" w:hAnsiTheme="majorHAnsi" w:cstheme="majorHAnsi"/>
                <w:color w:val="000000"/>
              </w:rPr>
            </w:pPr>
          </w:p>
        </w:tc>
        <w:tc>
          <w:tcPr>
            <w:tcW w:w="646"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450" w:type="pct"/>
            <w:tcBorders>
              <w:top w:val="nil"/>
              <w:left w:val="nil"/>
              <w:bottom w:val="single" w:color="000000" w:sz="4" w:space="0"/>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4,734</w:t>
            </w:r>
          </w:p>
        </w:tc>
        <w:tc>
          <w:tcPr>
            <w:tcW w:w="74" w:type="pct"/>
            <w:tcBorders>
              <w:top w:val="nil"/>
              <w:left w:val="nil"/>
              <w:bottom w:val="nil"/>
              <w:right w:val="nil"/>
              <w:tl2br w:val="nil"/>
              <w:tr2bl w:val="nil"/>
            </w:tcBorders>
            <w:shd w:val="clear" w:color="auto" w:fill="CCEEFF"/>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450" w:type="pct"/>
            <w:tcBorders>
              <w:top w:val="nil"/>
              <w:left w:val="nil"/>
              <w:bottom w:val="single" w:color="000000" w:sz="4" w:space="0"/>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3,922</w:t>
            </w:r>
          </w:p>
        </w:tc>
      </w:tr>
      <w:tr w:rsidR="009534E2">
        <w:trPr>
          <w:jc w:val="center"/>
        </w:trPr>
        <w:tc>
          <w:tcPr>
            <w:tcW w:w="2320" w:type="pct"/>
            <w:tcBorders>
              <w:top w:val="nil"/>
              <w:left w:val="nil"/>
              <w:bottom w:val="nil"/>
              <w:right w:val="nil"/>
              <w:tl2br w:val="nil"/>
              <w:tr2bl w:val="nil"/>
            </w:tcBorders>
            <w:vAlign w:val="bottom"/>
          </w:tcPr>
          <w:p w:rsidR="009534E2" w:rsidRDefault="003369EB">
            <w:pPr>
              <w:keepNext/>
              <w:keepLines/>
              <w:ind w:left="120"/>
              <w:rPr>
                <w:rFonts w:asciiTheme="majorHAnsi" w:hAnsiTheme="majorHAnsi" w:cstheme="majorHAnsi"/>
                <w:b/>
                <w:i/>
                <w:color w:val="000000"/>
              </w:rPr>
            </w:pPr>
            <w:bookmarkStart w:name="_f8c9b2df_89ee_41f8_bcef_dcb935755075" w:id="2385"/>
            <w:bookmarkStart w:name="_ba1bb4f4_26c2_4e74_a189_7df411dd5b1c" w:colFirst="8" w:colLast="8" w:id="2386"/>
            <w:bookmarkStart w:name="_0d5faa4f_4cff_4261_8c6d_4ed16cd8ee63" w:colFirst="10" w:colLast="10" w:id="2387"/>
            <w:bookmarkEnd w:id="2382"/>
            <w:bookmarkEnd w:id="2383"/>
            <w:bookmarkEnd w:id="2384"/>
            <w:r>
              <w:rPr>
                <w:rFonts w:eastAsia="Times New Roman" w:asciiTheme="majorHAnsi" w:hAnsiTheme="majorHAnsi" w:cstheme="majorHAnsi"/>
                <w:b/>
                <w:i/>
                <w:color w:val="000000"/>
              </w:rPr>
              <w:t>Including short-term portion</w:t>
            </w:r>
          </w:p>
        </w:tc>
        <w:tc>
          <w:tcPr>
            <w:tcW w:w="74" w:type="pct"/>
            <w:tcBorders>
              <w:top w:val="nil"/>
              <w:left w:val="nil"/>
              <w:bottom w:val="nil"/>
              <w:right w:val="nil"/>
              <w:tl2br w:val="nil"/>
              <w:tr2bl w:val="nil"/>
            </w:tcBorders>
            <w:noWrap/>
            <w:vAlign w:val="bottom"/>
          </w:tcPr>
          <w:p w:rsidR="009534E2" w:rsidRDefault="009534E2">
            <w:pPr>
              <w:keepNext/>
              <w:keepLines/>
              <w:jc w:val="right"/>
              <w:rPr>
                <w:rFonts w:asciiTheme="majorHAnsi" w:hAnsiTheme="majorHAnsi" w:cstheme="majorHAnsi"/>
                <w:color w:val="000000"/>
              </w:rPr>
            </w:pPr>
          </w:p>
        </w:tc>
        <w:tc>
          <w:tcPr>
            <w:tcW w:w="334" w:type="pct"/>
            <w:tcBorders>
              <w:top w:val="nil"/>
              <w:left w:val="nil"/>
              <w:bottom w:val="nil"/>
              <w:right w:val="nil"/>
              <w:tl2br w:val="nil"/>
              <w:tr2bl w:val="nil"/>
            </w:tcBorders>
            <w:noWrap/>
            <w:vAlign w:val="bottom"/>
          </w:tcPr>
          <w:p w:rsidR="009534E2" w:rsidRDefault="009534E2">
            <w:pPr>
              <w:keepNext/>
              <w:keepLines/>
              <w:jc w:val="right"/>
              <w:rPr>
                <w:rFonts w:asciiTheme="majorHAnsi" w:hAnsiTheme="majorHAnsi" w:cstheme="majorHAnsi"/>
                <w:b/>
                <w:i/>
                <w:color w:val="000000"/>
              </w:rPr>
            </w:pPr>
          </w:p>
        </w:tc>
        <w:tc>
          <w:tcPr>
            <w:tcW w:w="74" w:type="pct"/>
            <w:tcBorders>
              <w:top w:val="nil"/>
              <w:left w:val="nil"/>
              <w:bottom w:val="nil"/>
              <w:right w:val="nil"/>
              <w:tl2br w:val="nil"/>
              <w:tr2bl w:val="nil"/>
            </w:tcBorders>
            <w:noWrap/>
            <w:vAlign w:val="bottom"/>
          </w:tcPr>
          <w:p w:rsidR="009534E2" w:rsidRDefault="009534E2">
            <w:pPr>
              <w:keepNext/>
              <w:keepLines/>
              <w:jc w:val="right"/>
              <w:rPr>
                <w:rFonts w:asciiTheme="majorHAnsi" w:hAnsiTheme="majorHAnsi" w:cstheme="majorHAnsi"/>
                <w:b/>
                <w:i/>
                <w:color w:val="000000"/>
              </w:rPr>
            </w:pPr>
          </w:p>
        </w:tc>
        <w:tc>
          <w:tcPr>
            <w:tcW w:w="429" w:type="pct"/>
            <w:tcBorders>
              <w:top w:val="nil"/>
              <w:left w:val="nil"/>
              <w:bottom w:val="nil"/>
              <w:right w:val="nil"/>
              <w:tl2br w:val="nil"/>
              <w:tr2bl w:val="nil"/>
            </w:tcBorders>
            <w:noWrap/>
            <w:vAlign w:val="bottom"/>
          </w:tcPr>
          <w:p w:rsidR="009534E2" w:rsidRDefault="009534E2">
            <w:pPr>
              <w:keepNext/>
              <w:keepLines/>
              <w:jc w:val="right"/>
              <w:rPr>
                <w:rFonts w:asciiTheme="majorHAnsi" w:hAnsiTheme="majorHAnsi" w:cstheme="majorHAnsi"/>
                <w:color w:val="FF0000"/>
              </w:rPr>
            </w:pPr>
          </w:p>
        </w:tc>
        <w:tc>
          <w:tcPr>
            <w:tcW w:w="74" w:type="pct"/>
            <w:tcBorders>
              <w:top w:val="nil"/>
              <w:left w:val="nil"/>
              <w:bottom w:val="nil"/>
              <w:right w:val="nil"/>
              <w:tl2br w:val="nil"/>
              <w:tr2bl w:val="nil"/>
            </w:tcBorders>
            <w:noWrap/>
            <w:vAlign w:val="bottom"/>
          </w:tcPr>
          <w:p w:rsidR="009534E2" w:rsidRDefault="009534E2">
            <w:pPr>
              <w:keepNext/>
              <w:keepLines/>
              <w:jc w:val="right"/>
              <w:rPr>
                <w:rFonts w:asciiTheme="majorHAnsi" w:hAnsiTheme="majorHAnsi" w:cstheme="majorHAnsi"/>
                <w:color w:val="FF0000"/>
              </w:rPr>
            </w:pPr>
          </w:p>
        </w:tc>
        <w:tc>
          <w:tcPr>
            <w:tcW w:w="646"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4"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450" w:type="pct"/>
            <w:tcBorders>
              <w:top w:val="nil"/>
              <w:left w:val="nil"/>
              <w:bottom w:val="double" w:color="000000" w:sz="4" w:space="0"/>
              <w:right w:val="nil"/>
              <w:tl2br w:val="nil"/>
              <w:tr2bl w:val="nil"/>
            </w:tcBorders>
            <w:noWrap/>
            <w:vAlign w:val="bottom"/>
          </w:tcPr>
          <w:p w:rsidR="009534E2" w:rsidRDefault="003369EB">
            <w:pPr>
              <w:keepNext/>
              <w:keepLines/>
              <w:ind w:right="60"/>
              <w:jc w:val="right"/>
              <w:rPr>
                <w:rFonts w:asciiTheme="majorHAnsi" w:hAnsiTheme="majorHAnsi" w:cstheme="majorHAnsi"/>
                <w:b/>
                <w:i/>
                <w:color w:val="000000"/>
              </w:rPr>
            </w:pPr>
            <w:r>
              <w:rPr>
                <w:rFonts w:eastAsia="Times New Roman" w:asciiTheme="majorHAnsi" w:hAnsiTheme="majorHAnsi" w:cstheme="majorHAnsi"/>
                <w:b/>
                <w:i/>
                <w:color w:val="000000"/>
              </w:rPr>
              <w:t xml:space="preserve"> 86</w:t>
            </w:r>
          </w:p>
        </w:tc>
        <w:tc>
          <w:tcPr>
            <w:tcW w:w="74" w:type="pct"/>
            <w:tcBorders>
              <w:top w:val="nil"/>
              <w:left w:val="nil"/>
              <w:bottom w:val="nil"/>
              <w:right w:val="nil"/>
              <w:tl2br w:val="nil"/>
              <w:tr2bl w:val="nil"/>
            </w:tcBorders>
            <w:noWrap/>
            <w:vAlign w:val="bottom"/>
          </w:tcPr>
          <w:p w:rsidR="009534E2" w:rsidRDefault="003369EB">
            <w:pPr>
              <w:keepNext/>
              <w:keepLines/>
              <w:jc w:val="right"/>
              <w:rPr>
                <w:rFonts w:asciiTheme="majorHAnsi" w:hAnsiTheme="majorHAnsi" w:cstheme="majorHAnsi"/>
                <w:color w:val="000000"/>
              </w:rPr>
            </w:pPr>
            <w:r>
              <w:rPr>
                <w:rFonts w:eastAsia="Times New Roman" w:asciiTheme="majorHAnsi" w:hAnsiTheme="majorHAnsi" w:cstheme="majorHAnsi"/>
                <w:color w:val="000000"/>
              </w:rPr>
              <w:t> </w:t>
            </w:r>
          </w:p>
        </w:tc>
        <w:tc>
          <w:tcPr>
            <w:tcW w:w="450" w:type="pct"/>
            <w:tcBorders>
              <w:top w:val="nil"/>
              <w:left w:val="nil"/>
              <w:bottom w:val="double" w:color="000000" w:sz="4" w:space="0"/>
              <w:right w:val="nil"/>
              <w:tl2br w:val="nil"/>
              <w:tr2bl w:val="nil"/>
            </w:tcBorders>
            <w:noWrap/>
            <w:vAlign w:val="bottom"/>
          </w:tcPr>
          <w:p w:rsidR="009534E2" w:rsidRDefault="003369EB">
            <w:pPr>
              <w:keepNext/>
              <w:keepLines/>
              <w:ind w:right="60"/>
              <w:jc w:val="right"/>
              <w:rPr>
                <w:rFonts w:asciiTheme="majorHAnsi" w:hAnsiTheme="majorHAnsi" w:cstheme="majorHAnsi"/>
                <w:b/>
                <w:i/>
                <w:color w:val="000000"/>
              </w:rPr>
            </w:pPr>
            <w:r>
              <w:rPr>
                <w:rFonts w:eastAsia="Times New Roman" w:asciiTheme="majorHAnsi" w:hAnsiTheme="majorHAnsi" w:cstheme="majorHAnsi"/>
                <w:b/>
                <w:i/>
                <w:color w:val="000000"/>
              </w:rPr>
              <w:t xml:space="preserve"> 3,922</w:t>
            </w:r>
          </w:p>
        </w:tc>
      </w:tr>
    </w:tbl>
    <w:bookmarkEnd w:id="2363"/>
    <w:bookmarkEnd w:id="2385"/>
    <w:bookmarkEnd w:id="2386"/>
    <w:bookmarkEnd w:id="2387"/>
    <w:p w:rsidR="009534E2" w:rsidRDefault="00EC0AE1">
      <w:pPr>
        <w:keepNext/>
        <w:keepLines/>
        <w:rPr>
          <w:rFonts w:eastAsia="Times New Roman" w:asciiTheme="majorHAnsi" w:hAnsiTheme="majorHAnsi" w:cstheme="majorHAnsi"/>
          <w:u w:val="single"/>
        </w:rPr>
      </w:pPr>
      <w:r>
        <w:rPr>
          <w:rFonts w:eastAsia="Times New Roman" w:asciiTheme="majorHAnsi" w:hAnsiTheme="majorHAnsi" w:cstheme="majorHAnsi"/>
          <w:sz w:val="8"/>
          <w:szCs w:val="8"/>
          <w:lang w:eastAsia="ru-RU"/>
        </w:rPr>
        <w:pict w14:anchorId="67F08FD4">
          <v:rect id="_x0000_i1051" style="width:135pt;height:1pt" o:hr="t" o:hrstd="t" o:hrnoshade="t" o:hrpct="250" fillcolor="black" stroked="f"/>
        </w:pict>
      </w:r>
    </w:p>
    <w:p w:rsidR="009534E2" w:rsidRDefault="003369EB">
      <w:pPr>
        <w:pStyle w:val="BodyText"/>
        <w:keepNext/>
        <w:keepLines/>
        <w:numPr>
          <w:ilvl w:val="0"/>
          <w:numId w:val="24"/>
        </w:numPr>
        <w:ind w:left="360"/>
        <w:rPr>
          <w:rFonts w:eastAsia="Times New Roman" w:asciiTheme="majorHAnsi" w:hAnsiTheme="majorHAnsi" w:cstheme="majorHAnsi"/>
          <w:i/>
          <w:iCs/>
          <w:lang w:eastAsia="ru-RU"/>
        </w:rPr>
      </w:pPr>
      <w:bookmarkStart w:name="_dce13e58_32b0_4aeb_ba9e_a8cca70ca97b" w:id="2388"/>
      <w:r>
        <w:rPr>
          <w:rFonts w:eastAsia="Times New Roman" w:asciiTheme="majorHAnsi" w:hAnsiTheme="majorHAnsi" w:cstheme="majorHAnsi"/>
          <w:i/>
          <w:iCs/>
          <w:lang w:eastAsia="ru-RU"/>
        </w:rPr>
        <w:t xml:space="preserve">the agreement stipulated the right of a lender to increase the interest rate in case the covenants are violated. </w:t>
      </w:r>
      <w:bookmarkEnd w:id="2350"/>
      <w:r>
        <w:rPr>
          <w:rFonts w:eastAsia="Times New Roman" w:asciiTheme="majorHAnsi" w:hAnsiTheme="majorHAnsi" w:cstheme="majorHAnsi"/>
          <w:i/>
          <w:iCs/>
          <w:lang w:eastAsia="ru-RU"/>
        </w:rPr>
        <w:t>The Group was in compliance with all covenants as of December 31, 2022.</w:t>
      </w:r>
    </w:p>
    <w:bookmarkEnd w:id="2351"/>
    <w:bookmarkEnd w:id="2388"/>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Group is subject to different covenants regarding the bonds issued. As of December 31, 2022 and December 31, 2021, the Group was in compliance with all covenants stipulated by the public irrevocable offers.</w:t>
      </w:r>
    </w:p>
    <w:p w:rsidR="009534E2" w:rsidRDefault="003369EB">
      <w:pPr>
        <w:pStyle w:val="BodyT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The table below sets out the movements in the Group’s debt for each of the periods presented:</w:t>
      </w:r>
    </w:p>
    <w:p w:rsidR="009534E2" w:rsidRDefault="009534E2">
      <w:pPr>
        <w:pStyle w:val="BodyText"/>
        <w:spacing w:after="0"/>
        <w:rPr>
          <w:rFonts w:eastAsia="Times New Roman"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956"/>
        <w:gridCol w:w="175"/>
        <w:gridCol w:w="899"/>
        <w:gridCol w:w="181"/>
        <w:gridCol w:w="1080"/>
        <w:gridCol w:w="179"/>
        <w:gridCol w:w="1080"/>
        <w:gridCol w:w="179"/>
        <w:gridCol w:w="901"/>
        <w:gridCol w:w="181"/>
        <w:gridCol w:w="989"/>
      </w:tblGrid>
      <w:tr w:rsidR="009534E2">
        <w:trPr>
          <w:trHeight w:val="20" w:hRule="exact"/>
        </w:trPr>
        <w:tc>
          <w:tcPr>
            <w:tcW w:w="2294" w:type="pct"/>
            <w:tcBorders>
              <w:top w:val="nil"/>
              <w:left w:val="nil"/>
              <w:bottom w:val="nil"/>
              <w:right w:val="nil"/>
            </w:tcBorders>
            <w:vAlign w:val="bottom"/>
          </w:tcPr>
          <w:p w:rsidR="009534E2" w:rsidRDefault="009534E2">
            <w:pPr>
              <w:keepNext/>
              <w:spacing w:after="1"/>
              <w:rPr>
                <w:sz w:val="2"/>
              </w:rPr>
            </w:pPr>
            <w:bookmarkStart w:name="_ee08230b_134a_4ffd_8763_9334d4afe604" w:colFirst="0" w:colLast="0" w:id="2389"/>
            <w:bookmarkStart w:name="_aef99256_b2bd_467a_9bc8_f229f73f3f20" w:colFirst="1" w:colLast="1" w:id="2390"/>
            <w:bookmarkStart w:name="_07f47ff2_2ebe_4ac8_aa85_7bbc18e2c390" w:colFirst="2" w:colLast="2" w:id="2391"/>
            <w:bookmarkStart w:name="_a41e7ac1_cdf7_476a_a017_7277ff3fd7b4" w:colFirst="3" w:colLast="3" w:id="2392"/>
            <w:bookmarkStart w:name="_3f0fc19d_f8ab_4086_8e42_0aef4f4d86cd" w:colFirst="4" w:colLast="4" w:id="2393"/>
            <w:bookmarkStart w:name="_651349f1_db02_4409_a541_f9c6fac41e0d" w:colFirst="5" w:colLast="5" w:id="2394"/>
            <w:bookmarkStart w:name="_7024540d_0a31_4efd_a8a2_c6d08786e815" w:colFirst="6" w:colLast="6" w:id="2395"/>
            <w:bookmarkStart w:name="_285d59c0_91a2_426a_aaab_e3c9620e7ce8" w:colFirst="7" w:colLast="7" w:id="2396"/>
            <w:bookmarkStart w:name="_8db71ba1_4931_4471_b017_83a96a0cd3d5" w:colFirst="8" w:colLast="8" w:id="2397"/>
            <w:bookmarkStart w:name="_cc07be8e_85ee_4c75_911e_9241a3bc30ec" w:colFirst="9" w:colLast="9" w:id="2398"/>
            <w:bookmarkStart w:name="_e5ee0e91_3a14_4a2a_badb_415b65b053de" w:colFirst="10" w:colLast="10" w:id="2399"/>
            <w:bookmarkStart w:name="_9eb23c95_56b0_497f_8145_fe14e1514991" w:id="2400"/>
          </w:p>
        </w:tc>
        <w:tc>
          <w:tcPr>
            <w:tcW w:w="81" w:type="pct"/>
            <w:tcBorders>
              <w:top w:val="nil"/>
              <w:left w:val="nil"/>
              <w:bottom w:val="nil"/>
              <w:right w:val="nil"/>
            </w:tcBorders>
            <w:noWrap/>
            <w:vAlign w:val="bottom"/>
          </w:tcPr>
          <w:p w:rsidR="009534E2" w:rsidRDefault="009534E2">
            <w:pPr>
              <w:keepNext/>
              <w:spacing w:after="1"/>
              <w:rPr>
                <w:sz w:val="2"/>
              </w:rPr>
            </w:pPr>
          </w:p>
        </w:tc>
        <w:tc>
          <w:tcPr>
            <w:tcW w:w="416" w:type="pct"/>
            <w:tcBorders>
              <w:top w:val="nil"/>
              <w:left w:val="nil"/>
              <w:bottom w:val="nil"/>
              <w:right w:val="nil"/>
            </w:tcBorders>
            <w:noWrap/>
            <w:vAlign w:val="bottom"/>
          </w:tcPr>
          <w:p w:rsidR="009534E2" w:rsidRDefault="009534E2">
            <w:pPr>
              <w:keepNext/>
              <w:spacing w:after="1"/>
              <w:rPr>
                <w:sz w:val="2"/>
              </w:rPr>
            </w:pPr>
          </w:p>
        </w:tc>
        <w:tc>
          <w:tcPr>
            <w:tcW w:w="84" w:type="pct"/>
            <w:tcBorders>
              <w:top w:val="nil"/>
              <w:left w:val="nil"/>
              <w:bottom w:val="nil"/>
              <w:right w:val="nil"/>
            </w:tcBorders>
            <w:noWrap/>
            <w:vAlign w:val="bottom"/>
          </w:tcPr>
          <w:p w:rsidR="009534E2" w:rsidRDefault="009534E2">
            <w:pPr>
              <w:keepNext/>
              <w:spacing w:after="1"/>
              <w:rPr>
                <w:sz w:val="2"/>
              </w:rPr>
            </w:pPr>
          </w:p>
        </w:tc>
        <w:tc>
          <w:tcPr>
            <w:tcW w:w="500" w:type="pct"/>
            <w:tcBorders>
              <w:top w:val="nil"/>
              <w:left w:val="nil"/>
              <w:bottom w:val="nil"/>
              <w:right w:val="nil"/>
            </w:tcBorders>
            <w:noWrap/>
            <w:vAlign w:val="bottom"/>
          </w:tcPr>
          <w:p w:rsidR="009534E2" w:rsidRDefault="009534E2">
            <w:pPr>
              <w:keepNext/>
              <w:spacing w:after="1"/>
              <w:rPr>
                <w:sz w:val="2"/>
              </w:rPr>
            </w:pPr>
          </w:p>
        </w:tc>
        <w:tc>
          <w:tcPr>
            <w:tcW w:w="83" w:type="pct"/>
            <w:tcBorders>
              <w:top w:val="nil"/>
              <w:left w:val="nil"/>
              <w:bottom w:val="nil"/>
              <w:right w:val="nil"/>
            </w:tcBorders>
            <w:noWrap/>
            <w:vAlign w:val="bottom"/>
          </w:tcPr>
          <w:p w:rsidR="009534E2" w:rsidRDefault="009534E2">
            <w:pPr>
              <w:keepNext/>
              <w:spacing w:after="1"/>
              <w:rPr>
                <w:sz w:val="2"/>
              </w:rPr>
            </w:pPr>
          </w:p>
        </w:tc>
        <w:tc>
          <w:tcPr>
            <w:tcW w:w="500" w:type="pct"/>
            <w:tcBorders>
              <w:top w:val="nil"/>
              <w:left w:val="nil"/>
              <w:bottom w:val="nil"/>
              <w:right w:val="nil"/>
            </w:tcBorders>
            <w:noWrap/>
            <w:vAlign w:val="bottom"/>
          </w:tcPr>
          <w:p w:rsidR="009534E2" w:rsidRDefault="009534E2">
            <w:pPr>
              <w:keepNext/>
              <w:spacing w:after="1"/>
              <w:rPr>
                <w:sz w:val="2"/>
              </w:rPr>
            </w:pPr>
          </w:p>
        </w:tc>
        <w:tc>
          <w:tcPr>
            <w:tcW w:w="83" w:type="pct"/>
            <w:tcBorders>
              <w:top w:val="nil"/>
              <w:left w:val="nil"/>
              <w:bottom w:val="nil"/>
              <w:right w:val="nil"/>
            </w:tcBorders>
            <w:noWrap/>
            <w:vAlign w:val="bottom"/>
          </w:tcPr>
          <w:p w:rsidR="009534E2" w:rsidRDefault="009534E2">
            <w:pPr>
              <w:keepNext/>
              <w:spacing w:after="1"/>
              <w:rPr>
                <w:sz w:val="2"/>
              </w:rPr>
            </w:pPr>
          </w:p>
        </w:tc>
        <w:tc>
          <w:tcPr>
            <w:tcW w:w="417" w:type="pct"/>
            <w:tcBorders>
              <w:top w:val="nil"/>
              <w:left w:val="nil"/>
              <w:bottom w:val="nil"/>
              <w:right w:val="nil"/>
            </w:tcBorders>
            <w:noWrap/>
            <w:vAlign w:val="bottom"/>
          </w:tcPr>
          <w:p w:rsidR="009534E2" w:rsidRDefault="009534E2">
            <w:pPr>
              <w:keepNext/>
              <w:spacing w:after="1"/>
              <w:rPr>
                <w:sz w:val="2"/>
              </w:rPr>
            </w:pPr>
          </w:p>
        </w:tc>
        <w:tc>
          <w:tcPr>
            <w:tcW w:w="84" w:type="pct"/>
            <w:tcBorders>
              <w:top w:val="nil"/>
              <w:left w:val="nil"/>
              <w:bottom w:val="nil"/>
              <w:right w:val="nil"/>
            </w:tcBorders>
            <w:noWrap/>
            <w:vAlign w:val="bottom"/>
          </w:tcPr>
          <w:p w:rsidR="009534E2" w:rsidRDefault="009534E2">
            <w:pPr>
              <w:keepNext/>
              <w:spacing w:after="1"/>
              <w:rPr>
                <w:sz w:val="2"/>
              </w:rPr>
            </w:pPr>
          </w:p>
        </w:tc>
        <w:tc>
          <w:tcPr>
            <w:tcW w:w="458" w:type="pct"/>
            <w:tcBorders>
              <w:top w:val="nil"/>
              <w:left w:val="nil"/>
              <w:bottom w:val="nil"/>
              <w:right w:val="nil"/>
            </w:tcBorders>
            <w:noWrap/>
            <w:vAlign w:val="bottom"/>
          </w:tcPr>
          <w:p w:rsidR="009534E2" w:rsidRDefault="009534E2">
            <w:pPr>
              <w:keepNext/>
              <w:spacing w:after="1"/>
              <w:rPr>
                <w:sz w:val="2"/>
              </w:rPr>
            </w:pPr>
          </w:p>
        </w:tc>
      </w:tr>
      <w:tr w:rsidR="009534E2">
        <w:tc>
          <w:tcPr>
            <w:tcW w:w="2294" w:type="pct"/>
            <w:tcBorders>
              <w:top w:val="nil"/>
              <w:left w:val="nil"/>
              <w:bottom w:val="nil"/>
              <w:right w:val="nil"/>
              <w:tl2br w:val="nil"/>
              <w:tr2bl w:val="nil"/>
            </w:tcBorders>
            <w:shd w:val="clear" w:color="auto" w:fill="auto"/>
            <w:vAlign w:val="bottom"/>
          </w:tcPr>
          <w:p w:rsidR="009534E2" w:rsidRDefault="009534E2">
            <w:pPr>
              <w:spacing w:after="1"/>
              <w:rPr>
                <w:b/>
                <w:color w:val="000000"/>
                <w:sz w:val="16"/>
              </w:rPr>
            </w:pPr>
            <w:bookmarkStart w:name="_e84c9c11_0c09_45a0_b54e_81b1ac74a1c5" w:id="2401"/>
            <w:bookmarkStart w:name="_ab732b35_d289_4321_b2a8_177bf1389812" w:colFirst="0" w:colLast="10" w:id="2402"/>
            <w:bookmarkStart w:name="_0d5f17d5_136a_4ba6_8447_1f58a76234f2" w:colFirst="0" w:colLast="10" w:id="2403"/>
            <w:bookmarkEnd w:id="2389"/>
            <w:bookmarkEnd w:id="2390"/>
            <w:bookmarkEnd w:id="2391"/>
            <w:bookmarkEnd w:id="2392"/>
            <w:bookmarkEnd w:id="2393"/>
            <w:bookmarkEnd w:id="2394"/>
            <w:bookmarkEnd w:id="2395"/>
            <w:bookmarkEnd w:id="2396"/>
            <w:bookmarkEnd w:id="2397"/>
            <w:bookmarkEnd w:id="2398"/>
            <w:bookmarkEnd w:id="2399"/>
          </w:p>
        </w:tc>
        <w:tc>
          <w:tcPr>
            <w:tcW w:w="81" w:type="pct"/>
            <w:tcBorders>
              <w:top w:val="nil"/>
              <w:left w:val="nil"/>
              <w:bottom w:val="nil"/>
              <w:right w:val="nil"/>
              <w:tl2br w:val="nil"/>
              <w:tr2bl w:val="nil"/>
            </w:tcBorders>
            <w:shd w:val="clear" w:color="auto" w:fill="auto"/>
            <w:noWrap/>
            <w:vAlign w:val="bottom"/>
          </w:tcPr>
          <w:p w:rsidR="009534E2" w:rsidRDefault="003369EB">
            <w:pPr>
              <w:spacing w:after="1"/>
              <w:jc w:val="center"/>
              <w:rPr>
                <w:rFonts w:ascii="Calibri" w:hAnsi="Calibri" w:eastAsia="Calibri" w:cs="Calibri"/>
                <w:b/>
                <w:color w:val="000000"/>
                <w:sz w:val="16"/>
              </w:rPr>
            </w:pPr>
            <w:r>
              <w:rPr>
                <w:rFonts w:ascii="Calibri" w:hAnsi="Calibri" w:eastAsia="Calibri" w:cs="Calibri"/>
                <w:b/>
                <w:color w:val="000000"/>
                <w:sz w:val="16"/>
              </w:rPr>
              <w:t>    </w:t>
            </w:r>
          </w:p>
        </w:tc>
        <w:tc>
          <w:tcPr>
            <w:tcW w:w="416" w:type="pct"/>
            <w:tcBorders>
              <w:top w:val="nil"/>
              <w:left w:val="nil"/>
              <w:bottom w:val="nil"/>
              <w:right w:val="nil"/>
              <w:tl2br w:val="nil"/>
              <w:tr2bl w:val="nil"/>
            </w:tcBorders>
            <w:shd w:val="clear" w:color="auto" w:fill="auto"/>
            <w:noWrap/>
            <w:vAlign w:val="bottom"/>
          </w:tcPr>
          <w:p w:rsidR="009534E2" w:rsidRDefault="009534E2">
            <w:pPr>
              <w:spacing w:after="1"/>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    </w:t>
            </w:r>
          </w:p>
        </w:tc>
        <w:tc>
          <w:tcPr>
            <w:tcW w:w="500"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Repayment/</w:t>
            </w:r>
          </w:p>
        </w:tc>
        <w:tc>
          <w:tcPr>
            <w:tcW w:w="83"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    </w:t>
            </w:r>
          </w:p>
        </w:tc>
        <w:tc>
          <w:tcPr>
            <w:tcW w:w="500" w:type="pct"/>
            <w:tcBorders>
              <w:top w:val="nil"/>
              <w:left w:val="nil"/>
              <w:bottom w:val="nil"/>
              <w:right w:val="nil"/>
              <w:tl2br w:val="nil"/>
              <w:tr2bl w:val="nil"/>
            </w:tcBorders>
            <w:shd w:val="clear" w:color="auto" w:fill="auto"/>
            <w:noWrap/>
            <w:vAlign w:val="bottom"/>
          </w:tcPr>
          <w:p w:rsidR="009534E2" w:rsidRDefault="009534E2">
            <w:pPr>
              <w:spacing w:after="1"/>
              <w:jc w:val="center"/>
              <w:rPr>
                <w:color w:val="000000"/>
                <w:sz w:val="16"/>
              </w:rPr>
            </w:pPr>
          </w:p>
        </w:tc>
        <w:tc>
          <w:tcPr>
            <w:tcW w:w="83" w:type="pct"/>
            <w:tcBorders>
              <w:top w:val="nil"/>
              <w:left w:val="nil"/>
              <w:bottom w:val="nil"/>
              <w:right w:val="nil"/>
              <w:tl2br w:val="nil"/>
              <w:tr2bl w:val="nil"/>
            </w:tcBorders>
            <w:shd w:val="clear" w:color="auto" w:fill="auto"/>
            <w:noWrap/>
            <w:vAlign w:val="bottom"/>
          </w:tcPr>
          <w:p w:rsidR="009534E2" w:rsidRDefault="009534E2">
            <w:pPr>
              <w:spacing w:after="1"/>
              <w:jc w:val="center"/>
              <w:rPr>
                <w:color w:val="000000"/>
                <w:sz w:val="16"/>
              </w:rPr>
            </w:pPr>
          </w:p>
        </w:tc>
        <w:tc>
          <w:tcPr>
            <w:tcW w:w="417" w:type="pct"/>
            <w:tcBorders>
              <w:top w:val="nil"/>
              <w:left w:val="nil"/>
              <w:bottom w:val="nil"/>
              <w:right w:val="nil"/>
              <w:tl2br w:val="nil"/>
              <w:tr2bl w:val="nil"/>
            </w:tcBorders>
            <w:shd w:val="clear" w:color="auto" w:fill="auto"/>
            <w:noWrap/>
            <w:vAlign w:val="bottom"/>
          </w:tcPr>
          <w:p w:rsidR="009534E2" w:rsidRDefault="009534E2">
            <w:pPr>
              <w:spacing w:after="1"/>
              <w:jc w:val="center"/>
              <w:rPr>
                <w:color w:val="000000"/>
                <w:sz w:val="16"/>
              </w:rPr>
            </w:pPr>
          </w:p>
        </w:tc>
        <w:tc>
          <w:tcPr>
            <w:tcW w:w="84" w:type="pct"/>
            <w:tcBorders>
              <w:top w:val="nil"/>
              <w:left w:val="nil"/>
              <w:bottom w:val="nil"/>
              <w:right w:val="nil"/>
              <w:tl2br w:val="nil"/>
              <w:tr2bl w:val="nil"/>
            </w:tcBorders>
            <w:shd w:val="clear" w:color="auto" w:fill="auto"/>
            <w:noWrap/>
            <w:vAlign w:val="bottom"/>
          </w:tcPr>
          <w:p w:rsidR="009534E2" w:rsidRDefault="009534E2">
            <w:pPr>
              <w:spacing w:after="1"/>
              <w:jc w:val="center"/>
              <w:rPr>
                <w:color w:val="000000"/>
                <w:sz w:val="16"/>
              </w:rPr>
            </w:pPr>
          </w:p>
        </w:tc>
        <w:tc>
          <w:tcPr>
            <w:tcW w:w="458" w:type="pct"/>
            <w:tcBorders>
              <w:top w:val="nil"/>
              <w:left w:val="nil"/>
              <w:bottom w:val="nil"/>
              <w:right w:val="nil"/>
              <w:tl2br w:val="nil"/>
              <w:tr2bl w:val="nil"/>
            </w:tcBorders>
            <w:shd w:val="clear" w:color="auto" w:fill="auto"/>
            <w:noWrap/>
            <w:vAlign w:val="bottom"/>
          </w:tcPr>
          <w:p w:rsidR="009534E2" w:rsidRDefault="009534E2">
            <w:pPr>
              <w:spacing w:after="1"/>
              <w:jc w:val="center"/>
              <w:rPr>
                <w:color w:val="000000"/>
                <w:sz w:val="16"/>
              </w:rPr>
            </w:pPr>
          </w:p>
        </w:tc>
      </w:tr>
      <w:tr w:rsidR="009534E2">
        <w:tc>
          <w:tcPr>
            <w:tcW w:w="2294" w:type="pct"/>
            <w:tcBorders>
              <w:top w:val="nil"/>
              <w:left w:val="nil"/>
              <w:bottom w:val="nil"/>
              <w:right w:val="nil"/>
              <w:tl2br w:val="nil"/>
              <w:tr2bl w:val="nil"/>
            </w:tcBorders>
            <w:shd w:val="clear" w:color="auto" w:fill="auto"/>
            <w:vAlign w:val="bottom"/>
          </w:tcPr>
          <w:p w:rsidR="009534E2" w:rsidRDefault="009534E2">
            <w:pPr>
              <w:spacing w:after="1"/>
              <w:rPr>
                <w:b/>
                <w:color w:val="000000"/>
                <w:sz w:val="16"/>
              </w:rPr>
            </w:pPr>
            <w:bookmarkStart w:name="_cbe7937d_819a_4d28_9914_ac5baa3a56e3" w:id="2404"/>
            <w:bookmarkEnd w:id="2401"/>
          </w:p>
        </w:tc>
        <w:tc>
          <w:tcPr>
            <w:tcW w:w="81" w:type="pct"/>
            <w:tcBorders>
              <w:top w:val="nil"/>
              <w:left w:val="nil"/>
              <w:bottom w:val="nil"/>
              <w:right w:val="nil"/>
              <w:tl2br w:val="nil"/>
              <w:tr2bl w:val="nil"/>
            </w:tcBorders>
            <w:shd w:val="clear" w:color="auto" w:fill="auto"/>
            <w:noWrap/>
            <w:vAlign w:val="bottom"/>
          </w:tcPr>
          <w:p w:rsidR="009534E2" w:rsidRDefault="009534E2">
            <w:pPr>
              <w:spacing w:after="1"/>
              <w:jc w:val="center"/>
              <w:rPr>
                <w:b/>
                <w:color w:val="000000"/>
                <w:sz w:val="16"/>
              </w:rPr>
            </w:pPr>
          </w:p>
        </w:tc>
        <w:tc>
          <w:tcPr>
            <w:tcW w:w="416"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Debt as of</w:t>
            </w:r>
          </w:p>
        </w:tc>
        <w:tc>
          <w:tcPr>
            <w:tcW w:w="84" w:type="pct"/>
            <w:tcBorders>
              <w:top w:val="nil"/>
              <w:left w:val="nil"/>
              <w:bottom w:val="nil"/>
              <w:right w:val="nil"/>
              <w:tl2br w:val="nil"/>
              <w:tr2bl w:val="nil"/>
            </w:tcBorders>
            <w:shd w:val="clear" w:color="auto" w:fill="auto"/>
            <w:noWrap/>
            <w:vAlign w:val="bottom"/>
          </w:tcPr>
          <w:p w:rsidR="009534E2" w:rsidRDefault="009534E2">
            <w:pPr>
              <w:spacing w:after="1"/>
              <w:jc w:val="center"/>
              <w:rPr>
                <w:b/>
                <w:color w:val="000000"/>
                <w:sz w:val="16"/>
              </w:rPr>
            </w:pPr>
          </w:p>
        </w:tc>
        <w:tc>
          <w:tcPr>
            <w:tcW w:w="500"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buy back of</w:t>
            </w:r>
          </w:p>
        </w:tc>
        <w:tc>
          <w:tcPr>
            <w:tcW w:w="83"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    </w:t>
            </w:r>
          </w:p>
        </w:tc>
        <w:tc>
          <w:tcPr>
            <w:tcW w:w="500"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Interest</w:t>
            </w:r>
          </w:p>
        </w:tc>
        <w:tc>
          <w:tcPr>
            <w:tcW w:w="83"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    </w:t>
            </w:r>
          </w:p>
        </w:tc>
        <w:tc>
          <w:tcPr>
            <w:tcW w:w="417"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Interest</w:t>
            </w:r>
          </w:p>
        </w:tc>
        <w:tc>
          <w:tcPr>
            <w:tcW w:w="84"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    </w:t>
            </w:r>
          </w:p>
        </w:tc>
        <w:tc>
          <w:tcPr>
            <w:tcW w:w="458"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Debt as of</w:t>
            </w:r>
          </w:p>
        </w:tc>
      </w:tr>
      <w:tr w:rsidR="009534E2">
        <w:tc>
          <w:tcPr>
            <w:tcW w:w="2294" w:type="pct"/>
            <w:tcBorders>
              <w:top w:val="nil"/>
              <w:left w:val="nil"/>
              <w:bottom w:val="nil"/>
              <w:right w:val="nil"/>
              <w:tl2br w:val="nil"/>
              <w:tr2bl w:val="nil"/>
            </w:tcBorders>
            <w:shd w:val="clear" w:color="auto" w:fill="auto"/>
            <w:vAlign w:val="bottom"/>
          </w:tcPr>
          <w:p w:rsidR="009534E2" w:rsidRDefault="009534E2">
            <w:pPr>
              <w:spacing w:after="1"/>
              <w:rPr>
                <w:b/>
                <w:color w:val="000000"/>
              </w:rPr>
            </w:pPr>
            <w:bookmarkStart w:name="_1d776fb7_e70d_4599_83b2_dc9420304f17" w:id="2405"/>
            <w:bookmarkEnd w:id="2404"/>
          </w:p>
        </w:tc>
        <w:tc>
          <w:tcPr>
            <w:tcW w:w="81" w:type="pct"/>
            <w:tcBorders>
              <w:top w:val="nil"/>
              <w:left w:val="nil"/>
              <w:bottom w:val="nil"/>
              <w:right w:val="nil"/>
              <w:tl2br w:val="nil"/>
              <w:tr2bl w:val="nil"/>
            </w:tcBorders>
            <w:shd w:val="clear" w:color="auto" w:fill="auto"/>
            <w:noWrap/>
            <w:vAlign w:val="bottom"/>
          </w:tcPr>
          <w:p w:rsidR="009534E2" w:rsidRDefault="009534E2">
            <w:pPr>
              <w:spacing w:after="1"/>
              <w:jc w:val="center"/>
              <w:rPr>
                <w:b/>
                <w:color w:val="000000"/>
              </w:rPr>
            </w:pPr>
          </w:p>
        </w:tc>
        <w:tc>
          <w:tcPr>
            <w:tcW w:w="416"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January 1</w:t>
            </w:r>
          </w:p>
        </w:tc>
        <w:tc>
          <w:tcPr>
            <w:tcW w:w="84" w:type="pct"/>
            <w:tcBorders>
              <w:top w:val="nil"/>
              <w:left w:val="nil"/>
              <w:bottom w:val="nil"/>
              <w:right w:val="nil"/>
              <w:tl2br w:val="nil"/>
              <w:tr2bl w:val="nil"/>
            </w:tcBorders>
            <w:shd w:val="clear" w:color="auto" w:fill="auto"/>
            <w:noWrap/>
            <w:vAlign w:val="bottom"/>
          </w:tcPr>
          <w:p w:rsidR="009534E2" w:rsidRDefault="009534E2">
            <w:pPr>
              <w:spacing w:after="1"/>
              <w:jc w:val="center"/>
              <w:rPr>
                <w:b/>
                <w:color w:val="000000"/>
              </w:rPr>
            </w:pPr>
          </w:p>
        </w:tc>
        <w:tc>
          <w:tcPr>
            <w:tcW w:w="500" w:type="pct"/>
            <w:tcBorders>
              <w:top w:val="nil"/>
              <w:left w:val="nil"/>
              <w:bottom w:val="single" w:color="000000" w:sz="4" w:space="0"/>
              <w:right w:val="nil"/>
              <w:tl2br w:val="nil"/>
              <w:tr2bl w:val="nil"/>
            </w:tcBorders>
            <w:shd w:val="clear" w:color="auto" w:fill="auto"/>
            <w:noWrap/>
            <w:vAlign w:val="bottom"/>
          </w:tcPr>
          <w:p w:rsidRPr="000D34E3" w:rsidR="009534E2" w:rsidRDefault="003369EB">
            <w:pPr>
              <w:spacing w:after="1"/>
              <w:jc w:val="center"/>
              <w:rPr>
                <w:b/>
                <w:color w:val="000000"/>
                <w:sz w:val="16"/>
                <w:szCs w:val="16"/>
              </w:rPr>
            </w:pPr>
            <w:r w:rsidRPr="000D34E3">
              <w:rPr>
                <w:rFonts w:ascii="Times New Roman" w:hAnsi="Times New Roman" w:eastAsia="Times New Roman" w:cs="Times New Roman"/>
                <w:b/>
                <w:color w:val="000000"/>
                <w:sz w:val="16"/>
                <w:szCs w:val="16"/>
              </w:rPr>
              <w:t>debt</w:t>
            </w:r>
          </w:p>
        </w:tc>
        <w:tc>
          <w:tcPr>
            <w:tcW w:w="83" w:type="pct"/>
            <w:tcBorders>
              <w:top w:val="nil"/>
              <w:left w:val="nil"/>
              <w:bottom w:val="nil"/>
              <w:right w:val="nil"/>
              <w:tl2br w:val="nil"/>
              <w:tr2bl w:val="nil"/>
            </w:tcBorders>
            <w:shd w:val="clear" w:color="auto" w:fill="auto"/>
            <w:noWrap/>
            <w:vAlign w:val="bottom"/>
          </w:tcPr>
          <w:p w:rsidR="009534E2" w:rsidRDefault="009534E2">
            <w:pPr>
              <w:spacing w:after="1"/>
              <w:jc w:val="center"/>
              <w:rPr>
                <w:b/>
                <w:color w:val="000000"/>
              </w:rPr>
            </w:pPr>
          </w:p>
        </w:tc>
        <w:tc>
          <w:tcPr>
            <w:tcW w:w="500"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expense</w:t>
            </w:r>
          </w:p>
        </w:tc>
        <w:tc>
          <w:tcPr>
            <w:tcW w:w="83" w:type="pct"/>
            <w:tcBorders>
              <w:top w:val="nil"/>
              <w:left w:val="nil"/>
              <w:bottom w:val="nil"/>
              <w:right w:val="nil"/>
              <w:tl2br w:val="nil"/>
              <w:tr2bl w:val="nil"/>
            </w:tcBorders>
            <w:shd w:val="clear" w:color="auto" w:fill="auto"/>
            <w:noWrap/>
            <w:vAlign w:val="bottom"/>
          </w:tcPr>
          <w:p w:rsidR="009534E2" w:rsidRDefault="009534E2">
            <w:pPr>
              <w:spacing w:after="1"/>
              <w:jc w:val="center"/>
              <w:rPr>
                <w:b/>
                <w:color w:val="000000"/>
                <w:sz w:val="16"/>
              </w:rPr>
            </w:pPr>
          </w:p>
        </w:tc>
        <w:tc>
          <w:tcPr>
            <w:tcW w:w="417"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paid</w:t>
            </w:r>
          </w:p>
        </w:tc>
        <w:tc>
          <w:tcPr>
            <w:tcW w:w="84" w:type="pct"/>
            <w:tcBorders>
              <w:top w:val="nil"/>
              <w:left w:val="nil"/>
              <w:bottom w:val="nil"/>
              <w:right w:val="nil"/>
              <w:tl2br w:val="nil"/>
              <w:tr2bl w:val="nil"/>
            </w:tcBorders>
            <w:shd w:val="clear" w:color="auto" w:fill="auto"/>
            <w:noWrap/>
            <w:vAlign w:val="bottom"/>
          </w:tcPr>
          <w:p w:rsidR="009534E2" w:rsidRDefault="009534E2">
            <w:pPr>
              <w:spacing w:after="1"/>
              <w:jc w:val="center"/>
              <w:rPr>
                <w:b/>
                <w:color w:val="000000"/>
                <w:sz w:val="16"/>
              </w:rPr>
            </w:pPr>
          </w:p>
        </w:tc>
        <w:tc>
          <w:tcPr>
            <w:tcW w:w="458"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December 31</w:t>
            </w:r>
          </w:p>
        </w:tc>
      </w:tr>
      <w:tr w:rsidR="009534E2">
        <w:tc>
          <w:tcPr>
            <w:tcW w:w="2294" w:type="pct"/>
            <w:tcBorders>
              <w:top w:val="nil"/>
              <w:left w:val="nil"/>
              <w:bottom w:val="nil"/>
              <w:right w:val="nil"/>
              <w:tl2br w:val="nil"/>
              <w:tr2bl w:val="nil"/>
            </w:tcBorders>
            <w:shd w:val="clear" w:color="auto" w:fill="CCEEFF"/>
            <w:vAlign w:val="bottom"/>
          </w:tcPr>
          <w:p w:rsidR="009534E2" w:rsidRDefault="003369EB">
            <w:pPr>
              <w:spacing w:after="1"/>
              <w:rPr>
                <w:color w:val="000000"/>
              </w:rPr>
            </w:pPr>
            <w:bookmarkStart w:name="_298a04c5_7f0e_4915_8229_fc0e46752a2a" w:id="2406"/>
            <w:bookmarkStart w:name="_fa8149b1_6a3e_48cd_9ced_fce221905346" w:colFirst="2" w:colLast="2" w:id="2407"/>
            <w:bookmarkEnd w:id="2405"/>
            <w:r>
              <w:rPr>
                <w:rFonts w:ascii="Times New Roman" w:hAnsi="Times New Roman" w:eastAsia="Times New Roman" w:cs="Times New Roman"/>
                <w:color w:val="000000"/>
              </w:rPr>
              <w:t>2022</w:t>
            </w:r>
          </w:p>
        </w:tc>
        <w:tc>
          <w:tcPr>
            <w:tcW w:w="81" w:type="pct"/>
            <w:tcBorders>
              <w:top w:val="nil"/>
              <w:left w:val="nil"/>
              <w:bottom w:val="nil"/>
              <w:right w:val="nil"/>
              <w:tl2br w:val="nil"/>
              <w:tr2bl w:val="nil"/>
            </w:tcBorders>
            <w:shd w:val="clear" w:color="auto" w:fill="CCEEFF"/>
            <w:noWrap/>
            <w:vAlign w:val="bottom"/>
          </w:tcPr>
          <w:p w:rsidR="009534E2" w:rsidRDefault="009534E2">
            <w:pPr>
              <w:spacing w:after="1"/>
              <w:jc w:val="center"/>
              <w:rPr>
                <w:color w:val="000000"/>
              </w:rPr>
            </w:pPr>
          </w:p>
        </w:tc>
        <w:tc>
          <w:tcPr>
            <w:tcW w:w="416" w:type="pct"/>
            <w:tcBorders>
              <w:top w:val="single" w:color="000000" w:sz="4" w:space="0"/>
              <w:left w:val="nil"/>
              <w:bottom w:val="nil"/>
              <w:right w:val="nil"/>
              <w:tl2br w:val="nil"/>
              <w:tr2bl w:val="nil"/>
            </w:tcBorders>
            <w:shd w:val="clear" w:color="auto" w:fill="CCEEFF"/>
            <w:noWrap/>
            <w:vAlign w:val="bottom"/>
          </w:tcPr>
          <w:p w:rsidR="009534E2" w:rsidRDefault="003369EB">
            <w:pPr>
              <w:spacing w:after="1"/>
              <w:ind w:right="60"/>
              <w:jc w:val="right"/>
              <w:rPr>
                <w:color w:val="000000"/>
              </w:rPr>
            </w:pPr>
            <w:r>
              <w:rPr>
                <w:rFonts w:ascii="Times New Roman" w:hAnsi="Times New Roman" w:eastAsia="Times New Roman" w:cs="Times New Roman"/>
                <w:color w:val="000000"/>
              </w:rPr>
              <w:t xml:space="preserve"> 4,734</w:t>
            </w:r>
          </w:p>
        </w:tc>
        <w:tc>
          <w:tcPr>
            <w:tcW w:w="84" w:type="pct"/>
            <w:tcBorders>
              <w:top w:val="nil"/>
              <w:left w:val="nil"/>
              <w:bottom w:val="nil"/>
              <w:right w:val="nil"/>
              <w:tl2br w:val="nil"/>
              <w:tr2bl w:val="nil"/>
            </w:tcBorders>
            <w:shd w:val="clear" w:color="auto" w:fill="CCEEFF"/>
            <w:noWrap/>
            <w:vAlign w:val="bottom"/>
          </w:tcPr>
          <w:p w:rsidR="009534E2" w:rsidRDefault="009534E2">
            <w:pPr>
              <w:spacing w:after="1"/>
              <w:jc w:val="center"/>
              <w:rPr>
                <w:color w:val="000000"/>
              </w:rPr>
            </w:pPr>
          </w:p>
        </w:tc>
        <w:tc>
          <w:tcPr>
            <w:tcW w:w="500" w:type="pct"/>
            <w:tcBorders>
              <w:top w:val="single" w:color="000000" w:sz="4" w:space="0"/>
              <w:left w:val="nil"/>
              <w:bottom w:val="nil"/>
              <w:right w:val="nil"/>
              <w:tl2br w:val="nil"/>
              <w:tr2bl w:val="nil"/>
            </w:tcBorders>
            <w:shd w:val="clear" w:color="auto" w:fill="CCEEFF"/>
            <w:noWrap/>
            <w:vAlign w:val="bottom"/>
          </w:tcPr>
          <w:p w:rsidR="009534E2" w:rsidRDefault="003369EB">
            <w:pPr>
              <w:spacing w:after="1"/>
              <w:jc w:val="right"/>
              <w:rPr>
                <w:color w:val="000000"/>
              </w:rPr>
            </w:pPr>
            <w:r>
              <w:rPr>
                <w:rFonts w:ascii="Times New Roman" w:hAnsi="Times New Roman" w:eastAsia="Times New Roman" w:cs="Times New Roman"/>
                <w:color w:val="000000"/>
              </w:rPr>
              <w:t xml:space="preserve"> (810)</w:t>
            </w:r>
          </w:p>
        </w:tc>
        <w:tc>
          <w:tcPr>
            <w:tcW w:w="83" w:type="pct"/>
            <w:tcBorders>
              <w:top w:val="nil"/>
              <w:left w:val="nil"/>
              <w:bottom w:val="nil"/>
              <w:right w:val="nil"/>
              <w:tl2br w:val="nil"/>
              <w:tr2bl w:val="nil"/>
            </w:tcBorders>
            <w:shd w:val="clear" w:color="auto" w:fill="CCEEFF"/>
            <w:noWrap/>
            <w:vAlign w:val="bottom"/>
          </w:tcPr>
          <w:p w:rsidR="009534E2" w:rsidRDefault="009534E2">
            <w:pPr>
              <w:spacing w:after="1"/>
              <w:jc w:val="center"/>
              <w:rPr>
                <w:color w:val="000000"/>
              </w:rPr>
            </w:pPr>
          </w:p>
        </w:tc>
        <w:tc>
          <w:tcPr>
            <w:tcW w:w="500" w:type="pct"/>
            <w:tcBorders>
              <w:top w:val="single" w:color="000000" w:sz="4" w:space="0"/>
              <w:left w:val="nil"/>
              <w:bottom w:val="nil"/>
              <w:right w:val="nil"/>
              <w:tl2br w:val="nil"/>
              <w:tr2bl w:val="nil"/>
            </w:tcBorders>
            <w:shd w:val="clear" w:color="auto" w:fill="CCEEFF"/>
            <w:noWrap/>
            <w:vAlign w:val="bottom"/>
          </w:tcPr>
          <w:p w:rsidR="009534E2" w:rsidRDefault="003369EB">
            <w:pPr>
              <w:spacing w:after="1"/>
              <w:ind w:right="60"/>
              <w:jc w:val="right"/>
              <w:rPr>
                <w:color w:val="000000"/>
              </w:rPr>
            </w:pPr>
            <w:r>
              <w:rPr>
                <w:rFonts w:ascii="Times New Roman" w:hAnsi="Times New Roman" w:eastAsia="Times New Roman" w:cs="Times New Roman"/>
                <w:color w:val="000000"/>
              </w:rPr>
              <w:t xml:space="preserve"> 360</w:t>
            </w:r>
          </w:p>
        </w:tc>
        <w:tc>
          <w:tcPr>
            <w:tcW w:w="83" w:type="pct"/>
            <w:tcBorders>
              <w:top w:val="nil"/>
              <w:left w:val="nil"/>
              <w:bottom w:val="nil"/>
              <w:right w:val="nil"/>
              <w:tl2br w:val="nil"/>
              <w:tr2bl w:val="nil"/>
            </w:tcBorders>
            <w:shd w:val="clear" w:color="auto" w:fill="CCEEFF"/>
            <w:noWrap/>
            <w:vAlign w:val="bottom"/>
          </w:tcPr>
          <w:p w:rsidR="009534E2" w:rsidRDefault="009534E2">
            <w:pPr>
              <w:spacing w:after="1"/>
              <w:jc w:val="center"/>
              <w:rPr>
                <w:color w:val="000000"/>
              </w:rPr>
            </w:pPr>
          </w:p>
        </w:tc>
        <w:tc>
          <w:tcPr>
            <w:tcW w:w="417" w:type="pct"/>
            <w:tcBorders>
              <w:top w:val="single" w:color="000000" w:sz="4" w:space="0"/>
              <w:left w:val="nil"/>
              <w:bottom w:val="nil"/>
              <w:right w:val="nil"/>
              <w:tl2br w:val="nil"/>
              <w:tr2bl w:val="nil"/>
            </w:tcBorders>
            <w:shd w:val="clear" w:color="auto" w:fill="CCEEFF"/>
            <w:noWrap/>
            <w:vAlign w:val="bottom"/>
          </w:tcPr>
          <w:p w:rsidR="009534E2" w:rsidRDefault="003369EB">
            <w:pPr>
              <w:spacing w:after="1"/>
              <w:jc w:val="right"/>
              <w:rPr>
                <w:color w:val="000000"/>
              </w:rPr>
            </w:pPr>
            <w:r>
              <w:rPr>
                <w:rFonts w:ascii="Times New Roman" w:hAnsi="Times New Roman" w:eastAsia="Times New Roman" w:cs="Times New Roman"/>
                <w:color w:val="000000"/>
              </w:rPr>
              <w:t xml:space="preserve"> (362)</w:t>
            </w:r>
          </w:p>
        </w:tc>
        <w:tc>
          <w:tcPr>
            <w:tcW w:w="84" w:type="pct"/>
            <w:tcBorders>
              <w:top w:val="nil"/>
              <w:left w:val="nil"/>
              <w:bottom w:val="nil"/>
              <w:right w:val="nil"/>
              <w:tl2br w:val="nil"/>
              <w:tr2bl w:val="nil"/>
            </w:tcBorders>
            <w:shd w:val="clear" w:color="auto" w:fill="CCEEFF"/>
            <w:noWrap/>
            <w:vAlign w:val="bottom"/>
          </w:tcPr>
          <w:p w:rsidR="009534E2" w:rsidRDefault="009534E2">
            <w:pPr>
              <w:spacing w:after="1"/>
              <w:jc w:val="center"/>
              <w:rPr>
                <w:b/>
                <w:color w:val="000000"/>
              </w:rPr>
            </w:pPr>
          </w:p>
        </w:tc>
        <w:tc>
          <w:tcPr>
            <w:tcW w:w="458" w:type="pct"/>
            <w:tcBorders>
              <w:top w:val="single" w:color="000000" w:sz="4" w:space="0"/>
              <w:left w:val="nil"/>
              <w:bottom w:val="nil"/>
              <w:right w:val="nil"/>
              <w:tl2br w:val="nil"/>
              <w:tr2bl w:val="nil"/>
            </w:tcBorders>
            <w:shd w:val="clear" w:color="auto" w:fill="CCEEFF"/>
            <w:noWrap/>
            <w:vAlign w:val="bottom"/>
          </w:tcPr>
          <w:p w:rsidR="009534E2" w:rsidRDefault="003369EB">
            <w:pPr>
              <w:spacing w:after="1"/>
              <w:ind w:right="60"/>
              <w:jc w:val="right"/>
              <w:rPr>
                <w:b/>
                <w:color w:val="000000"/>
              </w:rPr>
            </w:pPr>
            <w:r>
              <w:rPr>
                <w:rFonts w:ascii="Times New Roman" w:hAnsi="Times New Roman" w:eastAsia="Times New Roman" w:cs="Times New Roman"/>
                <w:b/>
                <w:color w:val="000000"/>
              </w:rPr>
              <w:t xml:space="preserve"> 3,922</w:t>
            </w:r>
          </w:p>
        </w:tc>
      </w:tr>
      <w:tr w:rsidR="009534E2">
        <w:tc>
          <w:tcPr>
            <w:tcW w:w="2294" w:type="pct"/>
            <w:tcBorders>
              <w:top w:val="nil"/>
              <w:left w:val="nil"/>
              <w:bottom w:val="nil"/>
              <w:right w:val="nil"/>
              <w:tl2br w:val="nil"/>
              <w:tr2bl w:val="nil"/>
            </w:tcBorders>
            <w:shd w:val="clear" w:color="auto" w:fill="auto"/>
            <w:vAlign w:val="bottom"/>
          </w:tcPr>
          <w:p w:rsidR="009534E2" w:rsidRDefault="003369EB">
            <w:pPr>
              <w:spacing w:after="1"/>
              <w:rPr>
                <w:color w:val="000000"/>
              </w:rPr>
            </w:pPr>
            <w:bookmarkStart w:name="_8e678871_e0b5_4b90_a199_1c63a6348fe2" w:id="2408"/>
            <w:bookmarkStart w:name="_8d7b683e_febc_4833_90b6_af3eaf4530af" w:colFirst="2" w:colLast="2" w:id="2409"/>
            <w:bookmarkEnd w:id="2406"/>
            <w:bookmarkEnd w:id="2407"/>
            <w:r>
              <w:rPr>
                <w:rFonts w:ascii="Times New Roman" w:hAnsi="Times New Roman" w:eastAsia="Times New Roman" w:cs="Times New Roman"/>
                <w:color w:val="000000"/>
              </w:rPr>
              <w:t>2021</w:t>
            </w:r>
          </w:p>
        </w:tc>
        <w:tc>
          <w:tcPr>
            <w:tcW w:w="81" w:type="pct"/>
            <w:tcBorders>
              <w:top w:val="nil"/>
              <w:left w:val="nil"/>
              <w:bottom w:val="nil"/>
              <w:right w:val="nil"/>
              <w:tl2br w:val="nil"/>
              <w:tr2bl w:val="nil"/>
            </w:tcBorders>
            <w:shd w:val="clear" w:color="auto" w:fill="auto"/>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16"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ind w:right="60"/>
              <w:jc w:val="right"/>
              <w:rPr>
                <w:color w:val="000000"/>
              </w:rPr>
            </w:pPr>
            <w:r>
              <w:rPr>
                <w:rFonts w:ascii="Times New Roman" w:hAnsi="Times New Roman" w:eastAsia="Times New Roman" w:cs="Times New Roman"/>
                <w:color w:val="000000"/>
              </w:rPr>
              <w:t xml:space="preserve"> 6,563</w:t>
            </w:r>
          </w:p>
        </w:tc>
        <w:tc>
          <w:tcPr>
            <w:tcW w:w="84" w:type="pct"/>
            <w:tcBorders>
              <w:top w:val="nil"/>
              <w:left w:val="nil"/>
              <w:bottom w:val="nil"/>
              <w:right w:val="nil"/>
              <w:tl2br w:val="nil"/>
              <w:tr2bl w:val="nil"/>
            </w:tcBorders>
            <w:shd w:val="clear" w:color="auto" w:fill="auto"/>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500"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right"/>
              <w:rPr>
                <w:color w:val="000000"/>
              </w:rPr>
            </w:pPr>
            <w:r>
              <w:rPr>
                <w:rFonts w:ascii="Times New Roman" w:hAnsi="Times New Roman" w:eastAsia="Times New Roman" w:cs="Times New Roman"/>
                <w:color w:val="000000"/>
              </w:rPr>
              <w:t xml:space="preserve"> (1,854)</w:t>
            </w:r>
          </w:p>
        </w:tc>
        <w:tc>
          <w:tcPr>
            <w:tcW w:w="83" w:type="pct"/>
            <w:tcBorders>
              <w:top w:val="nil"/>
              <w:left w:val="nil"/>
              <w:bottom w:val="nil"/>
              <w:right w:val="nil"/>
              <w:tl2br w:val="nil"/>
              <w:tr2bl w:val="nil"/>
            </w:tcBorders>
            <w:shd w:val="clear" w:color="auto" w:fill="auto"/>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500"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ind w:right="60"/>
              <w:jc w:val="right"/>
              <w:rPr>
                <w:color w:val="000000"/>
              </w:rPr>
            </w:pPr>
            <w:r>
              <w:rPr>
                <w:rFonts w:ascii="Times New Roman" w:hAnsi="Times New Roman" w:eastAsia="Times New Roman" w:cs="Times New Roman"/>
                <w:color w:val="000000"/>
              </w:rPr>
              <w:t xml:space="preserve"> 501</w:t>
            </w:r>
          </w:p>
        </w:tc>
        <w:tc>
          <w:tcPr>
            <w:tcW w:w="83" w:type="pct"/>
            <w:tcBorders>
              <w:top w:val="nil"/>
              <w:left w:val="nil"/>
              <w:bottom w:val="nil"/>
              <w:right w:val="nil"/>
              <w:tl2br w:val="nil"/>
              <w:tr2bl w:val="nil"/>
            </w:tcBorders>
            <w:shd w:val="clear" w:color="auto" w:fill="auto"/>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417"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right"/>
              <w:rPr>
                <w:color w:val="000000"/>
              </w:rPr>
            </w:pPr>
            <w:r>
              <w:rPr>
                <w:rFonts w:ascii="Times New Roman" w:hAnsi="Times New Roman" w:eastAsia="Times New Roman" w:cs="Times New Roman"/>
                <w:color w:val="000000"/>
              </w:rPr>
              <w:t xml:space="preserve"> (476)</w:t>
            </w:r>
          </w:p>
        </w:tc>
        <w:tc>
          <w:tcPr>
            <w:tcW w:w="84" w:type="pct"/>
            <w:tcBorders>
              <w:top w:val="nil"/>
              <w:left w:val="nil"/>
              <w:bottom w:val="nil"/>
              <w:right w:val="nil"/>
              <w:tl2br w:val="nil"/>
              <w:tr2bl w:val="nil"/>
            </w:tcBorders>
            <w:shd w:val="clear" w:color="auto" w:fill="auto"/>
            <w:noWrap/>
            <w:vAlign w:val="bottom"/>
          </w:tcPr>
          <w:p w:rsidR="009534E2" w:rsidRDefault="003369EB">
            <w:pPr>
              <w:spacing w:after="1"/>
              <w:rPr>
                <w:b/>
                <w:color w:val="000000"/>
              </w:rPr>
            </w:pPr>
            <w:r>
              <w:rPr>
                <w:rFonts w:ascii="Times New Roman" w:hAnsi="Times New Roman" w:eastAsia="Times New Roman" w:cs="Times New Roman"/>
                <w:b/>
                <w:color w:val="000000"/>
              </w:rPr>
              <w:t> </w:t>
            </w:r>
          </w:p>
        </w:tc>
        <w:tc>
          <w:tcPr>
            <w:tcW w:w="458"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ind w:right="60"/>
              <w:jc w:val="right"/>
              <w:rPr>
                <w:b/>
                <w:color w:val="000000"/>
              </w:rPr>
            </w:pPr>
            <w:r>
              <w:rPr>
                <w:rFonts w:ascii="Times New Roman" w:hAnsi="Times New Roman" w:eastAsia="Times New Roman" w:cs="Times New Roman"/>
                <w:b/>
                <w:color w:val="000000"/>
              </w:rPr>
              <w:t xml:space="preserve"> 4,734</w:t>
            </w:r>
          </w:p>
        </w:tc>
      </w:tr>
      <w:bookmarkEnd w:id="2400"/>
      <w:bookmarkEnd w:id="2402"/>
      <w:bookmarkEnd w:id="2403"/>
      <w:bookmarkEnd w:id="2408"/>
      <w:bookmarkEnd w:id="2409"/>
    </w:tbl>
    <w:p w:rsidR="009534E2" w:rsidRDefault="009534E2">
      <w:pPr>
        <w:pStyle w:val="BodyText"/>
        <w:spacing w:after="0"/>
        <w:rPr>
          <w:rFonts w:eastAsia="Times New Roman" w:asciiTheme="majorHAnsi" w:hAnsiTheme="majorHAnsi" w:cstheme="majorHAnsi"/>
          <w:sz w:val="2"/>
          <w:lang w:eastAsia="ru-RU"/>
        </w:rPr>
      </w:pPr>
    </w:p>
    <w:p w:rsidR="009534E2" w:rsidRDefault="00EC0AE1">
      <w:pPr>
        <w:pStyle w:val="BodyText"/>
        <w:spacing w:after="0"/>
        <w:rPr>
          <w:rFonts w:eastAsia="Times New Roman" w:asciiTheme="majorHAnsi" w:hAnsiTheme="majorHAnsi" w:cstheme="majorHAnsi"/>
          <w:sz w:val="2"/>
          <w:lang w:eastAsia="ru-RU"/>
        </w:rPr>
      </w:pPr>
    </w:p>
    <w:p w:rsidR="009534E2" w:rsidRDefault="009534E2">
      <w:pPr>
        <w:rPr>
          <w:rFonts w:asciiTheme="majorHAnsi" w:hAnsiTheme="majorHAnsi" w:cstheme="majorHAnsi"/>
          <w:sz w:val="16"/>
          <w:szCs w:val="16"/>
          <w:lang w:eastAsia="ru-RU"/>
        </w:rPr>
      </w:pPr>
    </w:p>
    <w:p w:rsidR="009534E2" w:rsidRDefault="003369EB">
      <w:pPr>
        <w:pStyle w:val="Heading1"/>
        <w:ind w:left="360" w:hanging="360"/>
        <w:rPr>
          <w:lang w:val="ru-RU" w:eastAsia="ru-RU"/>
        </w:rPr>
      </w:pPr>
      <w:r>
        <w:rPr>
          <w:rFonts w:asciiTheme="minorHAnsi" w:hAnsiTheme="minorHAnsi" w:eastAsiaTheme="minorHAnsi" w:cstheme="minorHAnsi"/>
          <w:bCs/>
          <w:szCs w:val="20"/>
          <w:lang w:eastAsia="ru-RU"/>
        </w:rPr>
        <w:t>20</w:t>
      </w:r>
      <w:r>
        <w:rPr>
          <w:lang w:eastAsia="ru-RU"/>
        </w:rPr>
        <w:t>.</w:t>
      </w:r>
      <w:r>
        <w:rPr>
          <w:lang w:eastAsia="ru-RU"/>
        </w:rPr>
        <w:tab/>
      </w:r>
      <w:r>
        <w:rPr>
          <w:lang w:val="ru-RU" w:eastAsia="ru-RU"/>
        </w:rPr>
        <w:t>Trade and other payables</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As of December 31, 2022 and 2021, the Group’s trade and other payables consisted of the following:</w:t>
      </w:r>
    </w:p>
    <w:p w:rsidR="009534E2" w:rsidRDefault="009534E2">
      <w:pPr>
        <w:pStyle w:val="BodyText"/>
        <w:keepNext/>
        <w:spacing w:after="0"/>
        <w:rPr>
          <w:rFonts w:eastAsia="Times New Roman" w:asciiTheme="majorHAnsi" w:hAnsiTheme="majorHAnsi" w:cstheme="majorHAnsi"/>
          <w:sz w:val="16"/>
          <w:szCs w:val="16"/>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2"/>
        <w:gridCol w:w="253"/>
        <w:gridCol w:w="1177"/>
        <w:gridCol w:w="251"/>
        <w:gridCol w:w="1177"/>
      </w:tblGrid>
      <w:tr w:rsidR="009534E2">
        <w:trPr>
          <w:trHeight w:val="20" w:hRule="exact"/>
          <w:jc w:val="center"/>
        </w:trPr>
        <w:tc>
          <w:tcPr>
            <w:tcW w:w="3677"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8bc66080_ed40_41bf_abb7_73de2fc91de7" w:colFirst="0" w:colLast="0" w:id="2410"/>
            <w:bookmarkStart w:name="_3eb9b772_e767_4a90_8584_7d2ee2d3ea56" w:colFirst="1" w:colLast="1" w:id="2411"/>
            <w:bookmarkStart w:name="_60bce6cf_0bb2_4ee6_9300_97e45afd7921" w:colFirst="2" w:colLast="2" w:id="2412"/>
            <w:bookmarkStart w:name="_6c8babdb_f820_4b40_bdb4_05b43c145765" w:colFirst="3" w:colLast="3" w:id="2413"/>
            <w:bookmarkStart w:name="_25c34a94_e886_48b5_b254_bd022f59e81f" w:colFirst="4" w:colLast="4" w:id="2414"/>
            <w:bookmarkStart w:name="_c70bf377_52e0_421a_9aab_63c9358f7a23" w:id="2415"/>
          </w:p>
        </w:tc>
        <w:tc>
          <w:tcPr>
            <w:tcW w:w="11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45"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11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45"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9534E2">
        <w:trPr>
          <w:jc w:val="center"/>
        </w:trPr>
        <w:tc>
          <w:tcPr>
            <w:tcW w:w="3677"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aa5a3540_7c1a_4aee_a850_4b9a8303cf03" w:id="2416"/>
            <w:bookmarkEnd w:id="2410"/>
            <w:bookmarkEnd w:id="2411"/>
            <w:bookmarkEnd w:id="2412"/>
            <w:bookmarkEnd w:id="2413"/>
            <w:bookmarkEnd w:id="2414"/>
          </w:p>
        </w:tc>
        <w:tc>
          <w:tcPr>
            <w:tcW w:w="11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c>
          <w:tcPr>
            <w:tcW w:w="11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r>
      <w:tr w:rsidR="009534E2">
        <w:trPr>
          <w:jc w:val="center"/>
        </w:trPr>
        <w:tc>
          <w:tcPr>
            <w:tcW w:w="3677"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37fb9536_ed8c_4e1f_9b39_e49293197b65" w:id="2417"/>
            <w:bookmarkEnd w:id="2416"/>
          </w:p>
        </w:tc>
        <w:tc>
          <w:tcPr>
            <w:tcW w:w="11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4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w:t>
            </w:r>
          </w:p>
        </w:tc>
        <w:tc>
          <w:tcPr>
            <w:tcW w:w="11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4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w:t>
            </w:r>
          </w:p>
        </w:tc>
      </w:tr>
      <w:tr w:rsidR="009534E2">
        <w:trPr>
          <w:jc w:val="center"/>
        </w:trPr>
        <w:tc>
          <w:tcPr>
            <w:tcW w:w="3677"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53299e33_dd82_41f2_b67b_a5e93e65f82e" w:id="2418"/>
            <w:bookmarkEnd w:id="2417"/>
          </w:p>
        </w:tc>
        <w:tc>
          <w:tcPr>
            <w:tcW w:w="117"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16"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677"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b96d0c66_1224_4a67_9033_da470c2d565a" w:id="2419"/>
            <w:bookmarkEnd w:id="2418"/>
            <w:r>
              <w:rPr>
                <w:rFonts w:eastAsia="Times New Roman" w:asciiTheme="majorHAnsi" w:hAnsiTheme="majorHAnsi" w:cstheme="majorHAnsi"/>
                <w:color w:val="000000"/>
              </w:rPr>
              <w:t>Payables to merchants</w:t>
            </w:r>
          </w:p>
        </w:tc>
        <w:tc>
          <w:tcPr>
            <w:tcW w:w="11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8,479</w:t>
            </w:r>
          </w:p>
        </w:tc>
        <w:tc>
          <w:tcPr>
            <w:tcW w:w="116"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11,431</w:t>
            </w:r>
          </w:p>
        </w:tc>
      </w:tr>
      <w:tr w:rsidR="009534E2">
        <w:trPr>
          <w:jc w:val="center"/>
        </w:trPr>
        <w:tc>
          <w:tcPr>
            <w:tcW w:w="3677" w:type="pct"/>
            <w:tcBorders>
              <w:top w:val="nil"/>
              <w:left w:val="nil"/>
              <w:bottom w:val="nil"/>
              <w:right w:val="nil"/>
              <w:tl2br w:val="nil"/>
              <w:tr2bl w:val="nil"/>
            </w:tcBorders>
            <w:vAlign w:val="bottom"/>
          </w:tcPr>
          <w:p w:rsidR="009534E2" w:rsidRDefault="003369EB">
            <w:pPr>
              <w:keepNext/>
              <w:spacing w:after="1"/>
              <w:ind w:left="120"/>
              <w:rPr>
                <w:rFonts w:asciiTheme="majorHAnsi" w:hAnsiTheme="majorHAnsi" w:cstheme="majorHAnsi"/>
                <w:color w:val="000000"/>
              </w:rPr>
            </w:pPr>
            <w:bookmarkStart w:name="_a4b857f3_399b_48a3_942f_03b37de75454" w:id="2420"/>
            <w:bookmarkEnd w:id="2419"/>
            <w:r>
              <w:rPr>
                <w:rFonts w:eastAsia="Times New Roman" w:asciiTheme="majorHAnsi" w:hAnsiTheme="majorHAnsi" w:cstheme="majorHAnsi"/>
                <w:color w:val="000000"/>
              </w:rPr>
              <w:t>Money remittances and e-wallets accounts payable</w:t>
            </w:r>
          </w:p>
        </w:tc>
        <w:tc>
          <w:tcPr>
            <w:tcW w:w="11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8,508</w:t>
            </w:r>
          </w:p>
        </w:tc>
        <w:tc>
          <w:tcPr>
            <w:tcW w:w="116"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8,807</w:t>
            </w:r>
          </w:p>
        </w:tc>
      </w:tr>
      <w:tr w:rsidR="009534E2">
        <w:trPr>
          <w:jc w:val="center"/>
        </w:trPr>
        <w:tc>
          <w:tcPr>
            <w:tcW w:w="3677"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6ac3d2ef_cd29_4b9f_ba59_f5294422faee" w:id="2421"/>
            <w:bookmarkEnd w:id="2420"/>
            <w:r>
              <w:rPr>
                <w:rFonts w:eastAsia="Times New Roman" w:asciiTheme="majorHAnsi" w:hAnsiTheme="majorHAnsi" w:cstheme="majorHAnsi"/>
                <w:color w:val="000000"/>
              </w:rPr>
              <w:t>Deposits received from agents</w:t>
            </w:r>
          </w:p>
        </w:tc>
        <w:tc>
          <w:tcPr>
            <w:tcW w:w="11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3,492</w:t>
            </w:r>
          </w:p>
        </w:tc>
        <w:tc>
          <w:tcPr>
            <w:tcW w:w="116"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3,415</w:t>
            </w:r>
          </w:p>
        </w:tc>
      </w:tr>
      <w:tr w:rsidR="009534E2">
        <w:trPr>
          <w:jc w:val="center"/>
        </w:trPr>
        <w:tc>
          <w:tcPr>
            <w:tcW w:w="3677" w:type="pct"/>
            <w:tcBorders>
              <w:top w:val="nil"/>
              <w:left w:val="nil"/>
              <w:bottom w:val="nil"/>
              <w:right w:val="nil"/>
              <w:tl2br w:val="nil"/>
              <w:tr2bl w:val="nil"/>
            </w:tcBorders>
            <w:vAlign w:val="bottom"/>
          </w:tcPr>
          <w:p w:rsidR="009534E2" w:rsidRDefault="003369EB">
            <w:pPr>
              <w:keepNext/>
              <w:spacing w:after="1"/>
              <w:ind w:left="120"/>
              <w:rPr>
                <w:rFonts w:asciiTheme="majorHAnsi" w:hAnsiTheme="majorHAnsi" w:cstheme="majorHAnsi"/>
                <w:color w:val="000000"/>
              </w:rPr>
            </w:pPr>
            <w:bookmarkStart w:name="_033976d9_8bb6_431c_9d42_ccbc30139d3c" w:id="2422"/>
            <w:bookmarkEnd w:id="2421"/>
            <w:r>
              <w:rPr>
                <w:rFonts w:eastAsia="Times New Roman" w:asciiTheme="majorHAnsi" w:hAnsiTheme="majorHAnsi" w:cstheme="majorHAnsi"/>
                <w:color w:val="000000"/>
              </w:rPr>
              <w:t>Payables related to marketing activity</w:t>
            </w:r>
          </w:p>
        </w:tc>
        <w:tc>
          <w:tcPr>
            <w:tcW w:w="117"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545"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w:t>
            </w:r>
          </w:p>
        </w:tc>
        <w:tc>
          <w:tcPr>
            <w:tcW w:w="116"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545"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5,751</w:t>
            </w:r>
          </w:p>
        </w:tc>
      </w:tr>
      <w:tr w:rsidR="009534E2">
        <w:trPr>
          <w:jc w:val="center"/>
        </w:trPr>
        <w:tc>
          <w:tcPr>
            <w:tcW w:w="3677"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a032fe27_5323_435c_b779_094a103daac3" w:id="2423"/>
            <w:bookmarkEnd w:id="2422"/>
            <w:r>
              <w:rPr>
                <w:rFonts w:eastAsia="Times New Roman" w:asciiTheme="majorHAnsi" w:hAnsiTheme="majorHAnsi" w:cstheme="majorHAnsi"/>
                <w:color w:val="000000"/>
              </w:rPr>
              <w:t>Commissions payable</w:t>
            </w:r>
          </w:p>
        </w:tc>
        <w:tc>
          <w:tcPr>
            <w:tcW w:w="11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429</w:t>
            </w:r>
          </w:p>
        </w:tc>
        <w:tc>
          <w:tcPr>
            <w:tcW w:w="116"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485</w:t>
            </w:r>
          </w:p>
        </w:tc>
      </w:tr>
      <w:tr w:rsidR="009534E2">
        <w:trPr>
          <w:jc w:val="center"/>
        </w:trPr>
        <w:tc>
          <w:tcPr>
            <w:tcW w:w="3677" w:type="pct"/>
            <w:tcBorders>
              <w:top w:val="nil"/>
              <w:left w:val="nil"/>
              <w:bottom w:val="nil"/>
              <w:right w:val="nil"/>
              <w:tl2br w:val="nil"/>
              <w:tr2bl w:val="nil"/>
            </w:tcBorders>
            <w:vAlign w:val="bottom"/>
          </w:tcPr>
          <w:p w:rsidR="009534E2" w:rsidRDefault="003369EB">
            <w:pPr>
              <w:keepNext/>
              <w:spacing w:after="1"/>
              <w:ind w:left="120"/>
              <w:rPr>
                <w:rFonts w:asciiTheme="majorHAnsi" w:hAnsiTheme="majorHAnsi" w:cstheme="majorHAnsi"/>
                <w:color w:val="000000"/>
              </w:rPr>
            </w:pPr>
            <w:bookmarkStart w:name="_f91fc383_ae23_4fdd_b9c5_a31e88b4802c" w:id="2424"/>
            <w:bookmarkEnd w:id="2423"/>
            <w:r>
              <w:rPr>
                <w:rFonts w:eastAsia="Times New Roman" w:asciiTheme="majorHAnsi" w:hAnsiTheme="majorHAnsi" w:cstheme="majorHAnsi"/>
                <w:color w:val="000000"/>
              </w:rPr>
              <w:t>Accrued personnel expenses and related taxes</w:t>
            </w:r>
          </w:p>
        </w:tc>
        <w:tc>
          <w:tcPr>
            <w:tcW w:w="11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1,623</w:t>
            </w:r>
          </w:p>
        </w:tc>
        <w:tc>
          <w:tcPr>
            <w:tcW w:w="116"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2,073</w:t>
            </w:r>
          </w:p>
        </w:tc>
      </w:tr>
      <w:tr w:rsidR="009534E2">
        <w:trPr>
          <w:jc w:val="center"/>
        </w:trPr>
        <w:tc>
          <w:tcPr>
            <w:tcW w:w="3677" w:type="pct"/>
            <w:tcBorders>
              <w:top w:val="nil"/>
              <w:left w:val="nil"/>
              <w:bottom w:val="nil"/>
              <w:right w:val="nil"/>
              <w:tl2br w:val="nil"/>
              <w:tr2bl w:val="nil"/>
            </w:tcBorders>
            <w:shd w:val="clear" w:color="auto" w:fill="CCEEFF"/>
            <w:vAlign w:val="bottom"/>
          </w:tcPr>
          <w:p w:rsidR="009534E2" w:rsidRDefault="003369EB">
            <w:pPr>
              <w:keepNext/>
              <w:spacing w:after="1"/>
              <w:ind w:left="120"/>
              <w:rPr>
                <w:rFonts w:asciiTheme="majorHAnsi" w:hAnsiTheme="majorHAnsi" w:cstheme="majorHAnsi"/>
                <w:color w:val="000000"/>
              </w:rPr>
            </w:pPr>
            <w:bookmarkStart w:name="_751d056d_bfec_4441_9656_90c52f149726" w:id="2425"/>
            <w:bookmarkEnd w:id="2424"/>
            <w:r>
              <w:rPr>
                <w:rFonts w:eastAsia="Times New Roman" w:asciiTheme="majorHAnsi" w:hAnsiTheme="majorHAnsi" w:cstheme="majorHAnsi"/>
                <w:color w:val="000000"/>
              </w:rPr>
              <w:t>Other payables</w:t>
            </w:r>
          </w:p>
        </w:tc>
        <w:tc>
          <w:tcPr>
            <w:tcW w:w="117"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831</w:t>
            </w:r>
          </w:p>
        </w:tc>
        <w:tc>
          <w:tcPr>
            <w:tcW w:w="116"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1,086</w:t>
            </w:r>
          </w:p>
        </w:tc>
      </w:tr>
      <w:tr w:rsidR="009534E2">
        <w:trPr>
          <w:jc w:val="center"/>
        </w:trPr>
        <w:tc>
          <w:tcPr>
            <w:tcW w:w="3677"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b/>
                <w:color w:val="000000"/>
              </w:rPr>
            </w:pPr>
            <w:bookmarkStart w:name="_7357a372_cee1_40a3_b932_41423ad280b7" w:id="2426"/>
            <w:bookmarkEnd w:id="2425"/>
            <w:r>
              <w:rPr>
                <w:rFonts w:eastAsia="Times New Roman" w:asciiTheme="majorHAnsi" w:hAnsiTheme="majorHAnsi" w:cstheme="majorHAnsi"/>
                <w:b/>
                <w:color w:val="000000"/>
              </w:rPr>
              <w:t>Total trade and other payables</w:t>
            </w:r>
          </w:p>
        </w:tc>
        <w:tc>
          <w:tcPr>
            <w:tcW w:w="117"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545"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23,365</w:t>
            </w:r>
          </w:p>
        </w:tc>
        <w:tc>
          <w:tcPr>
            <w:tcW w:w="116"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545" w:type="pct"/>
            <w:tcBorders>
              <w:top w:val="nil"/>
              <w:left w:val="nil"/>
              <w:bottom w:val="doub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33,048</w:t>
            </w:r>
          </w:p>
        </w:tc>
      </w:tr>
    </w:tbl>
    <w:p w:rsidR="009534E2" w:rsidRDefault="00EC0AE1">
      <w:pPr>
        <w:pStyle w:val="BodyText"/>
        <w:suppressAutoHyphens/>
        <w:spacing w:after="0"/>
        <w:rPr>
          <w:rFonts w:eastAsia="Times New Roman" w:asciiTheme="majorHAnsi" w:hAnsiTheme="majorHAnsi" w:cstheme="majorHAnsi"/>
          <w:sz w:val="2"/>
          <w:lang w:eastAsia="ru-RU"/>
        </w:rPr>
      </w:pPr>
    </w:p>
    <w:bookmarkEnd w:displacedByCustomXml="next" w:id="2426"/>
    <w:bookmarkEnd w:displacedByCustomXml="next" w:id="2415"/>
    <w:p w:rsidR="009534E2" w:rsidRDefault="009534E2">
      <w:pPr>
        <w:rPr>
          <w:rFonts w:asciiTheme="majorHAnsi" w:hAnsiTheme="majorHAnsi" w:cstheme="majorHAnsi"/>
          <w:sz w:val="16"/>
          <w:szCs w:val="16"/>
        </w:rPr>
      </w:pPr>
      <w:bookmarkStart w:name="_dbdbe976_fee5_40fa_90aa_ab4383eba1f5" w:id="2427"/>
      <w:bookmarkEnd w:id="2427"/>
    </w:p>
    <w:p w:rsidR="009534E2" w:rsidRDefault="003369EB">
      <w:pPr>
        <w:pStyle w:val="Heading1"/>
        <w:ind w:left="360" w:hanging="360"/>
        <w:rPr>
          <w:lang w:eastAsia="ru-RU"/>
        </w:rPr>
      </w:pPr>
      <w:r>
        <w:rPr>
          <w:lang w:eastAsia="ru-RU"/>
        </w:rPr>
        <w:t>21.</w:t>
      </w:r>
      <w:r>
        <w:rPr>
          <w:lang w:eastAsia="ru-RU"/>
        </w:rPr>
        <w:tab/>
        <w:t>Customer accounts and amounts due to banks</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As of December 31, 2022 and 2021, customer accounts and amounts due to banks consisted of the following:</w:t>
      </w:r>
    </w:p>
    <w:p w:rsidR="009534E2" w:rsidRDefault="009534E2">
      <w:pPr>
        <w:pStyle w:val="BodyText"/>
        <w:keepNext/>
        <w:spacing w:after="0"/>
        <w:rPr>
          <w:rFonts w:eastAsia="Times New Roman" w:asciiTheme="majorHAnsi" w:hAnsiTheme="majorHAnsi" w:cstheme="majorHAnsi"/>
          <w:sz w:val="16"/>
          <w:szCs w:val="16"/>
          <w:lang w:eastAsia="ru-RU"/>
        </w:rPr>
      </w:pPr>
      <w:bookmarkStart w:name="_94607a55_37e6_4708_90ba_8d5e6a1bd192" w:id="2428"/>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942"/>
        <w:gridCol w:w="253"/>
        <w:gridCol w:w="1177"/>
        <w:gridCol w:w="251"/>
        <w:gridCol w:w="1177"/>
      </w:tblGrid>
      <w:tr w:rsidR="009534E2">
        <w:trPr>
          <w:trHeight w:val="20" w:hRule="exact"/>
          <w:jc w:val="center"/>
        </w:trPr>
        <w:tc>
          <w:tcPr>
            <w:tcW w:w="3677"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7d8deb48_876b_422d_bfb8_e65d86810b95" w:id="2429"/>
            <w:bookmarkStart w:name="_fbd5cf87_2fd1_4e32_b882_5c422e0435f1" w:colFirst="0" w:colLast="0" w:id="2430"/>
            <w:bookmarkStart w:name="_de81b142_42d0_4584_a7a5_a6ecfdbae942" w:colFirst="1" w:colLast="1" w:id="2431"/>
            <w:bookmarkStart w:name="_d3364519_a61d_4746_893b_a2aa653fdce6" w:colFirst="2" w:colLast="2" w:id="2432"/>
            <w:bookmarkStart w:name="_38f76ab3_3f5f_4441_bc66_8aa4df0f8d3c" w:colFirst="3" w:colLast="3" w:id="2433"/>
            <w:bookmarkStart w:name="_ac7cde41_e1a9_4e7c_8dae_14dc06d40168" w:colFirst="4" w:colLast="4" w:id="2434"/>
            <w:bookmarkStart w:name="_93adead6_b031_40eb_9c07_36746d1ade1f" w:id="2435"/>
            <w:bookmarkEnd w:id="2429"/>
          </w:p>
        </w:tc>
        <w:tc>
          <w:tcPr>
            <w:tcW w:w="11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4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16"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54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3677"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902cc6dd_7514_4a81_9869_44f4f1781db8" w:id="2436"/>
            <w:bookmarkEnd w:id="2430"/>
            <w:bookmarkEnd w:id="2431"/>
            <w:bookmarkEnd w:id="2432"/>
            <w:bookmarkEnd w:id="2433"/>
            <w:bookmarkEnd w:id="2434"/>
          </w:p>
        </w:tc>
        <w:tc>
          <w:tcPr>
            <w:tcW w:w="11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c>
          <w:tcPr>
            <w:tcW w:w="116"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w:t>
            </w:r>
          </w:p>
        </w:tc>
      </w:tr>
      <w:tr w:rsidR="009534E2">
        <w:trPr>
          <w:jc w:val="center"/>
        </w:trPr>
        <w:tc>
          <w:tcPr>
            <w:tcW w:w="3677"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a3f297b7_a5fe_4f8e_912b_b5cbeb68bb90" w:id="2437"/>
            <w:bookmarkEnd w:id="2436"/>
          </w:p>
        </w:tc>
        <w:tc>
          <w:tcPr>
            <w:tcW w:w="117"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545"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w:t>
            </w:r>
          </w:p>
        </w:tc>
        <w:tc>
          <w:tcPr>
            <w:tcW w:w="116"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545"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w:t>
            </w:r>
          </w:p>
        </w:tc>
      </w:tr>
      <w:tr w:rsidR="009534E2">
        <w:trPr>
          <w:jc w:val="center"/>
        </w:trPr>
        <w:tc>
          <w:tcPr>
            <w:tcW w:w="3677"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9988c0aa_6119_4db9_98ca_53c24be00b0b" w:id="2438"/>
            <w:bookmarkEnd w:id="2437"/>
          </w:p>
        </w:tc>
        <w:tc>
          <w:tcPr>
            <w:tcW w:w="117"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16"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4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677"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2da4fdcf_881a_44d3_aa9a_98eb3a065797" w:id="2439"/>
            <w:bookmarkEnd w:id="2438"/>
            <w:r>
              <w:rPr>
                <w:rFonts w:eastAsia="Times New Roman" w:asciiTheme="majorHAnsi" w:hAnsiTheme="majorHAnsi" w:cstheme="majorHAnsi"/>
                <w:color w:val="000000"/>
              </w:rPr>
              <w:t>Legal entities’ current/demand accounts</w:t>
            </w:r>
          </w:p>
        </w:tc>
        <w:tc>
          <w:tcPr>
            <w:tcW w:w="11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5,197</w:t>
            </w:r>
          </w:p>
        </w:tc>
        <w:tc>
          <w:tcPr>
            <w:tcW w:w="116"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8,829</w:t>
            </w:r>
          </w:p>
        </w:tc>
      </w:tr>
      <w:tr w:rsidR="009534E2">
        <w:trPr>
          <w:jc w:val="center"/>
        </w:trPr>
        <w:tc>
          <w:tcPr>
            <w:tcW w:w="3677"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01d46af5_a5b0_4029_b742_6ffbce8cd390" w:id="2440"/>
            <w:bookmarkEnd w:id="2439"/>
            <w:r>
              <w:rPr>
                <w:rFonts w:eastAsia="Times New Roman" w:asciiTheme="majorHAnsi" w:hAnsiTheme="majorHAnsi" w:cstheme="majorHAnsi"/>
                <w:color w:val="000000"/>
              </w:rPr>
              <w:t>Correspondent accounts of other banks</w:t>
            </w:r>
          </w:p>
        </w:tc>
        <w:tc>
          <w:tcPr>
            <w:tcW w:w="11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1,523</w:t>
            </w:r>
          </w:p>
        </w:tc>
        <w:tc>
          <w:tcPr>
            <w:tcW w:w="116"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54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2,335</w:t>
            </w:r>
          </w:p>
        </w:tc>
      </w:tr>
      <w:tr w:rsidR="009534E2">
        <w:trPr>
          <w:jc w:val="center"/>
        </w:trPr>
        <w:tc>
          <w:tcPr>
            <w:tcW w:w="3677"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c89db629_8850_4bb5_846e_4902de912a7d" w:id="2441"/>
            <w:bookmarkEnd w:id="2440"/>
            <w:r>
              <w:rPr>
                <w:rFonts w:eastAsia="Times New Roman" w:asciiTheme="majorHAnsi" w:hAnsiTheme="majorHAnsi" w:cstheme="majorHAnsi"/>
                <w:color w:val="000000"/>
              </w:rPr>
              <w:t>Individuals’ current/demand accounts</w:t>
            </w:r>
          </w:p>
        </w:tc>
        <w:tc>
          <w:tcPr>
            <w:tcW w:w="117"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5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81</w:t>
            </w:r>
          </w:p>
        </w:tc>
        <w:tc>
          <w:tcPr>
            <w:tcW w:w="116"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54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39</w:t>
            </w:r>
          </w:p>
        </w:tc>
      </w:tr>
      <w:tr w:rsidR="009534E2">
        <w:trPr>
          <w:jc w:val="center"/>
        </w:trPr>
        <w:tc>
          <w:tcPr>
            <w:tcW w:w="3677"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49d49ad9_80e5_4991_9fc4_dba817f3cfb5" w:id="2442"/>
            <w:bookmarkEnd w:id="2441"/>
            <w:r>
              <w:rPr>
                <w:rFonts w:eastAsia="Times New Roman" w:asciiTheme="majorHAnsi" w:hAnsiTheme="majorHAnsi" w:cstheme="majorHAnsi"/>
                <w:color w:val="000000"/>
              </w:rPr>
              <w:t>Term deposits</w:t>
            </w:r>
          </w:p>
        </w:tc>
        <w:tc>
          <w:tcPr>
            <w:tcW w:w="117"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545"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834</w:t>
            </w:r>
          </w:p>
        </w:tc>
        <w:tc>
          <w:tcPr>
            <w:tcW w:w="116"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545"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3677"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759000da_00bd_44e7_956c_704635eb0b7f" w:id="2443"/>
            <w:bookmarkEnd w:id="2442"/>
            <w:r>
              <w:rPr>
                <w:rFonts w:eastAsia="Times New Roman" w:asciiTheme="majorHAnsi" w:hAnsiTheme="majorHAnsi" w:cstheme="majorHAnsi"/>
                <w:b/>
                <w:color w:val="000000"/>
              </w:rPr>
              <w:t>Total customer accounts and amounts due to banks</w:t>
            </w:r>
          </w:p>
        </w:tc>
        <w:tc>
          <w:tcPr>
            <w:tcW w:w="11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7,635</w:t>
            </w:r>
          </w:p>
        </w:tc>
        <w:tc>
          <w:tcPr>
            <w:tcW w:w="116"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54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11,203</w:t>
            </w:r>
          </w:p>
        </w:tc>
      </w:tr>
      <w:tr w:rsidR="009534E2">
        <w:trPr>
          <w:jc w:val="center"/>
        </w:trPr>
        <w:tc>
          <w:tcPr>
            <w:tcW w:w="3677"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b/>
                <w:i/>
                <w:color w:val="000000"/>
              </w:rPr>
            </w:pPr>
            <w:bookmarkStart w:name="_58a3addb_0665_4b8e_8470_cf3fc328db2e" w:id="2444"/>
            <w:bookmarkEnd w:id="2443"/>
            <w:r>
              <w:rPr>
                <w:rFonts w:eastAsia="Times New Roman" w:asciiTheme="majorHAnsi" w:hAnsiTheme="majorHAnsi" w:cstheme="majorHAnsi"/>
                <w:b/>
                <w:i/>
                <w:color w:val="000000"/>
              </w:rPr>
              <w:t>Including long-term deposits</w:t>
            </w:r>
          </w:p>
        </w:tc>
        <w:tc>
          <w:tcPr>
            <w:tcW w:w="11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545" w:type="pct"/>
            <w:tcBorders>
              <w:top w:val="nil"/>
              <w:left w:val="nil"/>
              <w:bottom w:val="doub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16"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i/>
                <w:color w:val="000000"/>
              </w:rPr>
            </w:pPr>
            <w:r>
              <w:rPr>
                <w:rFonts w:eastAsia="Times New Roman" w:asciiTheme="majorHAnsi" w:hAnsiTheme="majorHAnsi" w:cstheme="majorHAnsi"/>
                <w:b/>
                <w:i/>
                <w:color w:val="000000"/>
              </w:rPr>
              <w:t> </w:t>
            </w:r>
          </w:p>
        </w:tc>
        <w:tc>
          <w:tcPr>
            <w:tcW w:w="545" w:type="pct"/>
            <w:tcBorders>
              <w:top w:val="nil"/>
              <w:left w:val="nil"/>
              <w:bottom w:val="doub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bookmarkEnd w:id="2428"/>
      <w:bookmarkEnd w:id="2435"/>
      <w:bookmarkEnd w:id="2444"/>
    </w:tbl>
    <w:p w:rsidR="009534E2" w:rsidRDefault="009534E2">
      <w:pPr>
        <w:rPr>
          <w:rFonts w:asciiTheme="majorHAnsi" w:hAnsiTheme="majorHAnsi" w:cstheme="majorHAnsi"/>
          <w:sz w:val="16"/>
          <w:szCs w:val="16"/>
        </w:rPr>
      </w:pPr>
    </w:p>
    <w:p w:rsidR="009534E2" w:rsidRDefault="003369EB">
      <w:pPr>
        <w:pStyle w:val="BodyT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Customer accounts and сorrespondent accounts of other banks bear interest of up to</w:t>
      </w:r>
      <w:bookmarkStart w:name="_3863e3c5_4eb5_44c1_be17_00fa2cc347c4" w:id="2445"/>
      <w:r>
        <w:rPr>
          <w:rFonts w:eastAsia="Times New Roman" w:asciiTheme="majorHAnsi" w:hAnsiTheme="majorHAnsi" w:cstheme="majorHAnsi"/>
          <w:lang w:eastAsia="ru-RU"/>
        </w:rPr>
        <w:t xml:space="preserve"> </w:t>
      </w:r>
      <w:bookmarkStart w:name="_46c90d13_c8c3_4fbf_8caa_3852f7f651ed" w:id="2446"/>
      <w:r>
        <w:rPr>
          <w:rFonts w:eastAsia="Times New Roman" w:asciiTheme="majorHAnsi" w:hAnsiTheme="majorHAnsi" w:cstheme="majorHAnsi"/>
          <w:lang w:eastAsia="ru-RU"/>
        </w:rPr>
        <w:t>7%</w:t>
      </w:r>
      <w:bookmarkEnd w:id="2446"/>
      <w:r>
        <w:rPr>
          <w:rFonts w:eastAsia="Times New Roman" w:asciiTheme="majorHAnsi" w:hAnsiTheme="majorHAnsi" w:cstheme="majorHAnsi"/>
          <w:lang w:eastAsia="ru-RU"/>
        </w:rPr>
        <w:t xml:space="preserve"> (2021 - </w:t>
      </w:r>
      <w:bookmarkStart w:name="_644f1668_c2c0_4dee_9495_ee9b93a8a190" w:id="2447"/>
      <w:bookmarkStart w:name="_e34f551a_2008_4e79_b923_7ef893558295" w:id="2448"/>
      <w:r>
        <w:rPr>
          <w:rFonts w:eastAsia="Times New Roman" w:asciiTheme="majorHAnsi" w:hAnsiTheme="majorHAnsi" w:cstheme="majorHAnsi"/>
          <w:lang w:eastAsia="ru-RU"/>
        </w:rPr>
        <w:t>6%</w:t>
      </w:r>
      <w:bookmarkEnd w:id="2447"/>
      <w:r>
        <w:rPr>
          <w:rFonts w:eastAsia="Times New Roman" w:asciiTheme="majorHAnsi" w:hAnsiTheme="majorHAnsi" w:cstheme="majorHAnsi"/>
          <w:lang w:eastAsia="ru-RU"/>
        </w:rPr>
        <w:t>)</w:t>
      </w:r>
      <w:bookmarkEnd w:id="2445"/>
      <w:bookmarkEnd w:id="2448"/>
      <w:r>
        <w:rPr>
          <w:rFonts w:eastAsia="Times New Roman" w:asciiTheme="majorHAnsi" w:hAnsiTheme="majorHAnsi" w:cstheme="majorHAnsi"/>
          <w:lang w:eastAsia="ru-RU"/>
        </w:rPr>
        <w:t>.</w:t>
      </w:r>
    </w:p>
    <w:p w:rsidR="009534E2" w:rsidRDefault="003369EB">
      <w:pPr>
        <w:rPr>
          <w:rFonts w:eastAsia="Times New Roman" w:asciiTheme="majorHAnsi" w:hAnsiTheme="majorHAnsi" w:cstheme="majorHAnsi"/>
          <w:sz w:val="16"/>
          <w:szCs w:val="16"/>
          <w:lang w:eastAsia="ru-RU"/>
        </w:rPr>
      </w:pPr>
      <w:r>
        <w:rPr>
          <w:rFonts w:eastAsia="Times New Roman" w:asciiTheme="majorHAnsi" w:hAnsiTheme="majorHAnsi" w:cstheme="majorHAnsi"/>
          <w:sz w:val="16"/>
          <w:szCs w:val="16"/>
          <w:lang w:eastAsia="ru-RU"/>
        </w:rPr>
        <w:br w:type="page"/>
      </w:r>
    </w:p>
    <w:p w:rsidR="009534E2" w:rsidRDefault="003369EB">
      <w:pPr>
        <w:pStyle w:val="Heading1"/>
        <w:ind w:left="360" w:hanging="360"/>
        <w:rPr>
          <w:lang w:val="ru-RU" w:eastAsia="ru-RU"/>
        </w:rPr>
      </w:pPr>
      <w:r>
        <w:rPr>
          <w:lang w:eastAsia="ru-RU"/>
        </w:rPr>
        <w:t>22.</w:t>
      </w:r>
      <w:r>
        <w:rPr>
          <w:lang w:eastAsia="ru-RU"/>
        </w:rPr>
        <w:tab/>
        <w:t xml:space="preserve">Leases </w:t>
      </w:r>
    </w:p>
    <w:p w:rsidR="009534E2" w:rsidRDefault="003369EB">
      <w:pPr>
        <w:pStyle w:val="BodyT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 Group has commercial lease agreements of office buildings. The leases have an average life </w:t>
      </w:r>
      <w:bookmarkStart w:name="_e4438472_4e0c_4410_8413_23c7d1a89ec3" w:id="2449"/>
      <w:r>
        <w:rPr>
          <w:rFonts w:eastAsia="Times New Roman" w:asciiTheme="majorHAnsi" w:hAnsiTheme="majorHAnsi" w:cstheme="majorHAnsi"/>
          <w:lang w:eastAsia="ru-RU"/>
        </w:rPr>
        <w:t xml:space="preserve">up to </w:t>
      </w:r>
      <w:bookmarkStart w:name="_f10f1322_2a68_4679_bab5_fe74774e63a5" w:id="2450"/>
      <w:bookmarkStart w:name="_9acd8f0f_a185_4ae2_b9ec_37761544aa3d" w:id="2451"/>
      <w:r>
        <w:rPr>
          <w:rFonts w:eastAsia="Times New Roman" w:asciiTheme="majorHAnsi" w:hAnsiTheme="majorHAnsi" w:cstheme="majorHAnsi"/>
          <w:lang w:eastAsia="ru-RU"/>
        </w:rPr>
        <w:t>eight</w:t>
      </w:r>
      <w:bookmarkEnd w:id="2449"/>
      <w:bookmarkEnd w:id="2450"/>
      <w:r>
        <w:rPr>
          <w:rFonts w:eastAsia="Times New Roman" w:asciiTheme="majorHAnsi" w:hAnsiTheme="majorHAnsi" w:cstheme="majorHAnsi"/>
          <w:lang w:eastAsia="ru-RU"/>
        </w:rPr>
        <w:t xml:space="preserve"> years</w:t>
      </w:r>
      <w:bookmarkEnd w:id="2451"/>
      <w:r>
        <w:rPr>
          <w:rFonts w:eastAsia="Times New Roman" w:asciiTheme="majorHAnsi" w:hAnsiTheme="majorHAnsi" w:cstheme="majorHAnsi"/>
          <w:lang w:eastAsia="ru-RU"/>
        </w:rPr>
        <w:t xml:space="preserve">. The contracts for a term of less than a year fall under the recognition exemption for being short-term leases. Total lease expense for the year ended December 31, 2022 recognized under such contracts is </w:t>
      </w:r>
      <w:bookmarkStart w:name="_4441d8b0_2d81_417f_8121_9a4b5f67d5bc" w:id="2452"/>
      <w:r>
        <w:rPr>
          <w:rFonts w:eastAsia="Times New Roman" w:asciiTheme="majorHAnsi" w:hAnsiTheme="majorHAnsi" w:cstheme="majorHAnsi"/>
          <w:lang w:eastAsia="ru-RU"/>
        </w:rPr>
        <w:t>28</w:t>
      </w:r>
      <w:bookmarkEnd w:id="2452"/>
      <w:r>
        <w:rPr>
          <w:rFonts w:eastAsia="Times New Roman" w:asciiTheme="majorHAnsi" w:hAnsiTheme="majorHAnsi" w:cstheme="majorHAnsi"/>
          <w:lang w:eastAsia="ru-RU"/>
        </w:rPr>
        <w:t xml:space="preserve"> (for the year ended December 31, 2021 - </w:t>
      </w:r>
      <w:bookmarkStart w:name="_aa5a860f_a8f3_4400_a252_309bfc924364" w:id="2453"/>
      <w:bookmarkStart w:name="_635d97f0_f1ef_4826_a27e_12c840099cb1" w:id="2454"/>
      <w:r>
        <w:rPr>
          <w:rFonts w:eastAsia="Times New Roman" w:asciiTheme="majorHAnsi" w:hAnsiTheme="majorHAnsi" w:cstheme="majorHAnsi"/>
          <w:lang w:eastAsia="ru-RU"/>
        </w:rPr>
        <w:t>35</w:t>
      </w:r>
      <w:bookmarkEnd w:id="2453"/>
      <w:r>
        <w:rPr>
          <w:rFonts w:eastAsia="Times New Roman" w:asciiTheme="majorHAnsi" w:hAnsiTheme="majorHAnsi" w:cstheme="majorHAnsi"/>
          <w:lang w:eastAsia="ru-RU"/>
        </w:rPr>
        <w:t>)</w:t>
      </w:r>
      <w:bookmarkEnd w:id="2454"/>
      <w:r>
        <w:rPr>
          <w:rFonts w:eastAsia="Times New Roman" w:asciiTheme="majorHAnsi" w:hAnsiTheme="majorHAnsi" w:cstheme="majorHAnsi"/>
          <w:lang w:eastAsia="ru-RU"/>
        </w:rPr>
        <w:t xml:space="preserve">. Future minimum lease rentals under non-cancellable lease commitments for office premises for a term less than one year as of December 31, 2022 are </w:t>
      </w:r>
      <w:bookmarkStart w:name="_8ca5de4c_5b3b_4551_ba16_e473eda9d090" w:id="2455"/>
      <w:r>
        <w:rPr>
          <w:rFonts w:eastAsia="Times New Roman" w:asciiTheme="majorHAnsi" w:hAnsiTheme="majorHAnsi" w:cstheme="majorHAnsi"/>
          <w:lang w:eastAsia="ru-RU"/>
        </w:rPr>
        <w:t>25</w:t>
      </w:r>
      <w:bookmarkEnd w:id="2455"/>
      <w:r>
        <w:rPr>
          <w:rFonts w:eastAsia="Times New Roman" w:asciiTheme="majorHAnsi" w:hAnsiTheme="majorHAnsi" w:cstheme="majorHAnsi"/>
          <w:lang w:eastAsia="ru-RU"/>
        </w:rPr>
        <w:t xml:space="preserve"> (December 31, 2021 - </w:t>
      </w:r>
      <w:bookmarkStart w:name="_d13ef3f4_7235_4c2d_93e4_429679c572f2" w:id="2456"/>
      <w:bookmarkStart w:name="_186d37ee_6edf_4cfc_8040_06d9ca7fa456" w:id="2457"/>
      <w:r>
        <w:rPr>
          <w:rFonts w:eastAsia="Times New Roman" w:asciiTheme="majorHAnsi" w:hAnsiTheme="majorHAnsi" w:cstheme="majorHAnsi"/>
          <w:lang w:eastAsia="ru-RU"/>
        </w:rPr>
        <w:t>12</w:t>
      </w:r>
      <w:bookmarkEnd w:id="2456"/>
      <w:r>
        <w:rPr>
          <w:rFonts w:eastAsia="Times New Roman" w:asciiTheme="majorHAnsi" w:hAnsiTheme="majorHAnsi" w:cstheme="majorHAnsi"/>
          <w:lang w:eastAsia="ru-RU"/>
        </w:rPr>
        <w:t>)</w:t>
      </w:r>
      <w:bookmarkEnd w:id="2457"/>
      <w:r>
        <w:rPr>
          <w:rFonts w:eastAsia="Times New Roman" w:asciiTheme="majorHAnsi" w:hAnsiTheme="majorHAnsi" w:cstheme="majorHAnsi"/>
          <w:lang w:eastAsia="ru-RU"/>
        </w:rPr>
        <w:t>.</w:t>
      </w:r>
    </w:p>
    <w:p w:rsidR="009534E2" w:rsidRDefault="009534E2">
      <w:pPr>
        <w:pStyle w:val="BodyText"/>
        <w:spacing w:after="0"/>
        <w:rPr>
          <w:rFonts w:eastAsia="Times New Roman" w:asciiTheme="majorHAnsi" w:hAnsiTheme="majorHAnsi" w:cstheme="majorHAnsi"/>
          <w:lang w:eastAsia="ru-RU"/>
        </w:rPr>
      </w:pP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For long-term contracts, right-of-use assets and lease liabilities were recognized. Right-of-use assets are included into property and equipment. </w:t>
      </w:r>
      <w:bookmarkStart w:name="_0f9a6cea_403e_44c3_ac30_c866fbdb4f62" w:id="2458"/>
      <w:r>
        <w:rPr>
          <w:rFonts w:eastAsia="Times New Roman" w:asciiTheme="majorHAnsi" w:hAnsiTheme="majorHAnsi" w:cstheme="majorHAnsi"/>
          <w:lang w:eastAsia="ru-RU"/>
        </w:rPr>
        <w:t>The change in the balances of Right-of-use assets and Lease liabilities the year ended December 31, 2022 was as follows:</w:t>
      </w:r>
    </w:p>
    <w:p w:rsidR="009534E2" w:rsidRDefault="009534E2">
      <w:pPr>
        <w:pStyle w:val="BodyText"/>
        <w:keepNext/>
        <w:spacing w:after="0"/>
        <w:rPr>
          <w:rFonts w:eastAsia="Times New Roman"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920"/>
        <w:gridCol w:w="285"/>
        <w:gridCol w:w="1655"/>
        <w:gridCol w:w="285"/>
        <w:gridCol w:w="1655"/>
      </w:tblGrid>
      <w:tr w:rsidR="009534E2">
        <w:trPr>
          <w:trHeight w:val="20" w:hRule="exact"/>
        </w:trPr>
        <w:tc>
          <w:tcPr>
            <w:tcW w:w="3204"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293e354e_5af1_4e46_a37d_de0b0197acb5" w:colFirst="0" w:colLast="0" w:id="2459"/>
            <w:bookmarkStart w:name="_8e85274b_790a_443b_ac2b_e7ac94d88a1e" w:colFirst="1" w:colLast="1" w:id="2460"/>
            <w:bookmarkStart w:name="_2c2b02f0_cde9_468d_8217_b9f4d165839e" w:colFirst="2" w:colLast="2" w:id="2461"/>
            <w:bookmarkStart w:name="_dc4647ba_28d4_4524_903a_11e29c247a33" w:colFirst="3" w:colLast="3" w:id="2462"/>
            <w:bookmarkStart w:name="_28cb5859_44fa_4a15_aa7a_b99031a672e2" w:colFirst="4" w:colLast="4" w:id="2463"/>
            <w:bookmarkStart w:name="_d299c1d4_e2f6_4c22_9429_76e3055d9d8a" w:id="2464"/>
          </w:p>
        </w:tc>
        <w:tc>
          <w:tcPr>
            <w:tcW w:w="132"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766" w:type="pct"/>
            <w:tcBorders>
              <w:top w:val="nil"/>
              <w:left w:val="nil"/>
              <w:bottom w:val="nil"/>
              <w:right w:val="nil"/>
            </w:tcBorders>
            <w:noWrap/>
            <w:vAlign w:val="center"/>
          </w:tcPr>
          <w:p w:rsidR="009534E2" w:rsidRDefault="009534E2">
            <w:pPr>
              <w:keepNext/>
              <w:spacing w:after="1"/>
              <w:rPr>
                <w:rFonts w:asciiTheme="majorHAnsi" w:hAnsiTheme="majorHAnsi" w:cstheme="majorHAnsi"/>
                <w:sz w:val="2"/>
              </w:rPr>
            </w:pPr>
          </w:p>
        </w:tc>
        <w:tc>
          <w:tcPr>
            <w:tcW w:w="132"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766" w:type="pct"/>
            <w:tcBorders>
              <w:top w:val="nil"/>
              <w:left w:val="nil"/>
              <w:bottom w:val="nil"/>
              <w:right w:val="nil"/>
            </w:tcBorders>
            <w:noWrap/>
            <w:vAlign w:val="center"/>
          </w:tcPr>
          <w:p w:rsidR="009534E2" w:rsidRDefault="009534E2">
            <w:pPr>
              <w:keepNext/>
              <w:spacing w:after="1"/>
              <w:rPr>
                <w:rFonts w:asciiTheme="majorHAnsi" w:hAnsiTheme="majorHAnsi" w:cstheme="majorHAnsi"/>
                <w:sz w:val="2"/>
              </w:rPr>
            </w:pPr>
          </w:p>
        </w:tc>
      </w:tr>
      <w:tr w:rsidR="009534E2">
        <w:tc>
          <w:tcPr>
            <w:tcW w:w="3204" w:type="pct"/>
            <w:tcBorders>
              <w:top w:val="nil"/>
              <w:left w:val="nil"/>
              <w:bottom w:val="nil"/>
              <w:right w:val="nil"/>
              <w:tl2br w:val="nil"/>
              <w:tr2bl w:val="nil"/>
            </w:tcBorders>
            <w:shd w:val="clear" w:color="auto" w:fill="auto"/>
            <w:vAlign w:val="bottom"/>
          </w:tcPr>
          <w:p w:rsidR="009534E2" w:rsidRDefault="009534E2">
            <w:pPr>
              <w:spacing w:after="1"/>
              <w:rPr>
                <w:rFonts w:asciiTheme="majorHAnsi" w:hAnsiTheme="majorHAnsi" w:cstheme="majorHAnsi"/>
                <w:b/>
                <w:color w:val="000000"/>
                <w:sz w:val="16"/>
              </w:rPr>
            </w:pPr>
            <w:bookmarkStart w:name="_48701e47_f8b9_4444_99f1_4c0a6b92f114" w:id="2465"/>
            <w:bookmarkEnd w:id="2459"/>
            <w:bookmarkEnd w:id="2460"/>
            <w:bookmarkEnd w:id="2461"/>
            <w:bookmarkEnd w:id="2462"/>
            <w:bookmarkEnd w:id="2463"/>
          </w:p>
        </w:tc>
        <w:tc>
          <w:tcPr>
            <w:tcW w:w="132" w:type="pct"/>
            <w:tcBorders>
              <w:top w:val="nil"/>
              <w:left w:val="nil"/>
              <w:bottom w:val="nil"/>
              <w:right w:val="nil"/>
              <w:tl2br w:val="nil"/>
              <w:tr2bl w:val="nil"/>
            </w:tcBorders>
            <w:shd w:val="clear" w:color="auto" w:fill="auto"/>
            <w:noWrap/>
            <w:vAlign w:val="bottom"/>
          </w:tcPr>
          <w:p w:rsidR="009534E2" w:rsidRDefault="003369EB">
            <w:pPr>
              <w:spacing w:after="1"/>
              <w:jc w:val="righ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766" w:type="pct"/>
            <w:tcBorders>
              <w:top w:val="nil"/>
              <w:left w:val="nil"/>
              <w:bottom w:val="nil"/>
              <w:right w:val="nil"/>
              <w:tl2br w:val="nil"/>
              <w:tr2bl w:val="nil"/>
            </w:tcBorders>
            <w:shd w:val="clear" w:color="auto" w:fill="auto"/>
            <w:noWrap/>
            <w:vAlign w:val="center"/>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Right-of-use assets </w:t>
            </w:r>
          </w:p>
        </w:tc>
        <w:tc>
          <w:tcPr>
            <w:tcW w:w="132" w:type="pct"/>
            <w:tcBorders>
              <w:top w:val="nil"/>
              <w:left w:val="nil"/>
              <w:bottom w:val="nil"/>
              <w:right w:val="nil"/>
              <w:tl2br w:val="nil"/>
              <w:tr2bl w:val="nil"/>
            </w:tcBorders>
            <w:shd w:val="clear" w:color="auto" w:fill="auto"/>
            <w:noWrap/>
            <w:vAlign w:val="bottom"/>
          </w:tcPr>
          <w:p w:rsidR="009534E2" w:rsidRDefault="009534E2">
            <w:pPr>
              <w:spacing w:after="1"/>
              <w:jc w:val="right"/>
              <w:rPr>
                <w:rFonts w:asciiTheme="majorHAnsi" w:hAnsiTheme="majorHAnsi" w:cstheme="majorHAnsi"/>
                <w:b/>
                <w:color w:val="000000"/>
                <w:sz w:val="16"/>
              </w:rPr>
            </w:pPr>
          </w:p>
        </w:tc>
        <w:tc>
          <w:tcPr>
            <w:tcW w:w="766" w:type="pct"/>
            <w:tcBorders>
              <w:top w:val="nil"/>
              <w:left w:val="nil"/>
              <w:bottom w:val="nil"/>
              <w:right w:val="nil"/>
              <w:tl2br w:val="nil"/>
              <w:tr2bl w:val="nil"/>
            </w:tcBorders>
            <w:shd w:val="clear" w:color="auto" w:fill="auto"/>
            <w:noWrap/>
            <w:vAlign w:val="center"/>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Lease </w:t>
            </w:r>
          </w:p>
        </w:tc>
      </w:tr>
      <w:tr w:rsidR="009534E2">
        <w:tc>
          <w:tcPr>
            <w:tcW w:w="3204" w:type="pct"/>
            <w:tcBorders>
              <w:top w:val="nil"/>
              <w:left w:val="nil"/>
              <w:bottom w:val="nil"/>
              <w:right w:val="nil"/>
              <w:tl2br w:val="nil"/>
              <w:tr2bl w:val="nil"/>
            </w:tcBorders>
            <w:shd w:val="clear" w:color="auto" w:fill="auto"/>
            <w:vAlign w:val="bottom"/>
          </w:tcPr>
          <w:p w:rsidR="009534E2" w:rsidRDefault="009534E2">
            <w:pPr>
              <w:spacing w:after="1"/>
              <w:rPr>
                <w:rFonts w:asciiTheme="majorHAnsi" w:hAnsiTheme="majorHAnsi" w:cstheme="majorHAnsi"/>
                <w:b/>
                <w:color w:val="000000"/>
                <w:sz w:val="16"/>
              </w:rPr>
            </w:pPr>
            <w:bookmarkStart w:name="_91693856_1330_4c62_86cc_64a11c628468" w:id="2466"/>
            <w:bookmarkEnd w:id="2465"/>
          </w:p>
        </w:tc>
        <w:tc>
          <w:tcPr>
            <w:tcW w:w="132" w:type="pct"/>
            <w:tcBorders>
              <w:top w:val="nil"/>
              <w:left w:val="nil"/>
              <w:bottom w:val="nil"/>
              <w:right w:val="nil"/>
              <w:tl2br w:val="nil"/>
              <w:tr2bl w:val="nil"/>
            </w:tcBorders>
            <w:shd w:val="clear" w:color="auto" w:fill="auto"/>
            <w:noWrap/>
            <w:vAlign w:val="bottom"/>
          </w:tcPr>
          <w:p w:rsidR="009534E2" w:rsidRDefault="009534E2">
            <w:pPr>
              <w:spacing w:after="1"/>
              <w:jc w:val="right"/>
              <w:rPr>
                <w:rFonts w:asciiTheme="majorHAnsi" w:hAnsiTheme="majorHAnsi" w:cstheme="majorHAnsi"/>
                <w:b/>
                <w:color w:val="000000"/>
                <w:sz w:val="16"/>
              </w:rPr>
            </w:pPr>
          </w:p>
        </w:tc>
        <w:tc>
          <w:tcPr>
            <w:tcW w:w="766" w:type="pct"/>
            <w:tcBorders>
              <w:top w:val="nil"/>
              <w:left w:val="nil"/>
              <w:bottom w:val="single" w:color="000000" w:sz="4" w:space="0"/>
              <w:right w:val="nil"/>
              <w:tl2br w:val="nil"/>
              <w:tr2bl w:val="nil"/>
            </w:tcBorders>
            <w:shd w:val="clear" w:color="auto" w:fill="auto"/>
            <w:noWrap/>
            <w:vAlign w:val="center"/>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Office buildings</w:t>
            </w:r>
          </w:p>
        </w:tc>
        <w:tc>
          <w:tcPr>
            <w:tcW w:w="132" w:type="pct"/>
            <w:tcBorders>
              <w:top w:val="nil"/>
              <w:left w:val="nil"/>
              <w:bottom w:val="nil"/>
              <w:right w:val="nil"/>
              <w:tl2br w:val="nil"/>
              <w:tr2bl w:val="nil"/>
            </w:tcBorders>
            <w:shd w:val="clear" w:color="auto" w:fill="auto"/>
            <w:noWrap/>
            <w:vAlign w:val="bottom"/>
          </w:tcPr>
          <w:p w:rsidR="009534E2" w:rsidRDefault="009534E2">
            <w:pPr>
              <w:spacing w:after="1"/>
              <w:jc w:val="right"/>
              <w:rPr>
                <w:rFonts w:asciiTheme="majorHAnsi" w:hAnsiTheme="majorHAnsi" w:cstheme="majorHAnsi"/>
                <w:color w:val="000000"/>
                <w:sz w:val="16"/>
              </w:rPr>
            </w:pPr>
          </w:p>
        </w:tc>
        <w:tc>
          <w:tcPr>
            <w:tcW w:w="766"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liabilities </w:t>
            </w:r>
          </w:p>
        </w:tc>
      </w:tr>
      <w:tr w:rsidR="009534E2">
        <w:tc>
          <w:tcPr>
            <w:tcW w:w="3204" w:type="pct"/>
            <w:tcBorders>
              <w:top w:val="nil"/>
              <w:left w:val="nil"/>
              <w:bottom w:val="nil"/>
              <w:right w:val="nil"/>
              <w:tl2br w:val="nil"/>
              <w:tr2bl w:val="nil"/>
            </w:tcBorders>
            <w:shd w:val="clear" w:color="auto" w:fill="CCEEFF"/>
            <w:vAlign w:val="bottom"/>
          </w:tcPr>
          <w:p w:rsidR="009534E2" w:rsidRDefault="003369EB">
            <w:pPr>
              <w:spacing w:after="1"/>
              <w:rPr>
                <w:rFonts w:asciiTheme="majorHAnsi" w:hAnsiTheme="majorHAnsi" w:cstheme="majorHAnsi"/>
                <w:b/>
                <w:color w:val="000000"/>
              </w:rPr>
            </w:pPr>
            <w:bookmarkStart w:name="_bd951a3d_a5d4_47be_af29_b77e0773879c" w:id="2467"/>
            <w:bookmarkStart w:name="_24505b5e_f347_4c77_9e35_8d9cbdf62bdd" w:colFirst="2" w:colLast="2" w:id="2468"/>
            <w:bookmarkStart w:name="_df2aa4d7_ddbc_4888_abee_8e53dad945fe" w:colFirst="4" w:colLast="4" w:id="2469"/>
            <w:bookmarkEnd w:id="2466"/>
            <w:r>
              <w:rPr>
                <w:rFonts w:eastAsia="Times New Roman" w:asciiTheme="majorHAnsi" w:hAnsiTheme="majorHAnsi" w:cstheme="majorHAnsi"/>
                <w:b/>
                <w:color w:val="000000"/>
              </w:rPr>
              <w:t>As of January 1, 2022</w:t>
            </w:r>
          </w:p>
        </w:tc>
        <w:tc>
          <w:tcPr>
            <w:tcW w:w="132"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b/>
                <w:color w:val="000000"/>
              </w:rPr>
            </w:pPr>
            <w:r>
              <w:rPr>
                <w:rFonts w:eastAsia="Times New Roman" w:asciiTheme="majorHAnsi" w:hAnsiTheme="majorHAnsi" w:cstheme="majorHAnsi"/>
                <w:b/>
                <w:color w:val="000000"/>
              </w:rPr>
              <w:t> </w:t>
            </w:r>
          </w:p>
        </w:tc>
        <w:tc>
          <w:tcPr>
            <w:tcW w:w="766" w:type="pct"/>
            <w:tcBorders>
              <w:top w:val="nil"/>
              <w:left w:val="nil"/>
              <w:bottom w:val="nil"/>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653</w:t>
            </w:r>
          </w:p>
        </w:tc>
        <w:tc>
          <w:tcPr>
            <w:tcW w:w="132"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b/>
                <w:color w:val="000000"/>
              </w:rPr>
            </w:pPr>
            <w:r>
              <w:rPr>
                <w:rFonts w:eastAsia="Times New Roman" w:asciiTheme="majorHAnsi" w:hAnsiTheme="majorHAnsi" w:cstheme="majorHAnsi"/>
                <w:b/>
                <w:color w:val="000000"/>
              </w:rPr>
              <w:t> </w:t>
            </w:r>
          </w:p>
        </w:tc>
        <w:tc>
          <w:tcPr>
            <w:tcW w:w="766" w:type="pct"/>
            <w:tcBorders>
              <w:top w:val="nil"/>
              <w:left w:val="nil"/>
              <w:bottom w:val="nil"/>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642</w:t>
            </w:r>
          </w:p>
        </w:tc>
      </w:tr>
      <w:tr w:rsidR="009534E2">
        <w:tc>
          <w:tcPr>
            <w:tcW w:w="3204" w:type="pct"/>
            <w:tcBorders>
              <w:top w:val="nil"/>
              <w:left w:val="nil"/>
              <w:bottom w:val="nil"/>
              <w:right w:val="nil"/>
              <w:tl2br w:val="nil"/>
              <w:tr2bl w:val="nil"/>
            </w:tcBorders>
            <w:vAlign w:val="bottom"/>
          </w:tcPr>
          <w:p w:rsidR="009534E2" w:rsidRDefault="003369EB">
            <w:pPr>
              <w:spacing w:after="1"/>
              <w:ind w:left="120"/>
              <w:rPr>
                <w:rFonts w:asciiTheme="majorHAnsi" w:hAnsiTheme="majorHAnsi" w:cstheme="majorHAnsi"/>
                <w:color w:val="000000"/>
              </w:rPr>
            </w:pPr>
            <w:bookmarkStart w:name="_4e8f90c1_7041_419a_aaa8_47a32571170b" w:id="2470"/>
            <w:bookmarkStart w:name="_6b41a6cd_513f_42f5_9ec2_e26a7d898a0d" w:colFirst="2" w:colLast="2" w:id="2471"/>
            <w:bookmarkStart w:name="_2a7d4f1f_cf0a_4d47_aca5_3208da4bf9c6" w:colFirst="4" w:colLast="4" w:id="2472"/>
            <w:bookmarkEnd w:id="2467"/>
            <w:bookmarkEnd w:id="2468"/>
            <w:bookmarkEnd w:id="2469"/>
            <w:r>
              <w:rPr>
                <w:rFonts w:eastAsia="Times New Roman" w:asciiTheme="majorHAnsi" w:hAnsiTheme="majorHAnsi" w:cstheme="majorHAnsi"/>
                <w:color w:val="000000"/>
              </w:rPr>
              <w:t>Additions</w:t>
            </w:r>
          </w:p>
        </w:tc>
        <w:tc>
          <w:tcPr>
            <w:tcW w:w="132"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nil"/>
              <w:right w:val="nil"/>
              <w:tl2br w:val="nil"/>
              <w:tr2bl w:val="nil"/>
            </w:tcBorders>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184</w:t>
            </w:r>
          </w:p>
        </w:tc>
        <w:tc>
          <w:tcPr>
            <w:tcW w:w="132"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nil"/>
              <w:right w:val="nil"/>
              <w:tl2br w:val="nil"/>
              <w:tr2bl w:val="nil"/>
            </w:tcBorders>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184</w:t>
            </w:r>
          </w:p>
        </w:tc>
      </w:tr>
      <w:tr w:rsidR="009534E2">
        <w:tc>
          <w:tcPr>
            <w:tcW w:w="3204" w:type="pct"/>
            <w:tcBorders>
              <w:top w:val="nil"/>
              <w:left w:val="nil"/>
              <w:bottom w:val="nil"/>
              <w:right w:val="nil"/>
              <w:tl2br w:val="nil"/>
              <w:tr2bl w:val="nil"/>
            </w:tcBorders>
            <w:shd w:val="clear" w:color="auto" w:fill="CCEEFF"/>
            <w:vAlign w:val="bottom"/>
          </w:tcPr>
          <w:p w:rsidR="009534E2" w:rsidRDefault="003369EB">
            <w:pPr>
              <w:spacing w:after="1"/>
              <w:ind w:left="120"/>
              <w:rPr>
                <w:rFonts w:asciiTheme="majorHAnsi" w:hAnsiTheme="majorHAnsi" w:cstheme="majorHAnsi"/>
                <w:color w:val="000000"/>
              </w:rPr>
            </w:pPr>
            <w:bookmarkStart w:name="_397c6da1_f6d6_4c5e_bb84_bd4a8c3fb473" w:id="2473"/>
            <w:bookmarkStart w:name="_6694ec6c_30ea_490a_a9c1_ec4e7d511595" w:colFirst="2" w:colLast="2" w:id="2474"/>
            <w:bookmarkStart w:name="_7ff0bcbc_7488_4cd8_bab3_67ea768310dd" w:colFirst="4" w:colLast="4" w:id="2475"/>
            <w:bookmarkEnd w:id="2470"/>
            <w:bookmarkEnd w:id="2471"/>
            <w:bookmarkEnd w:id="2472"/>
            <w:r>
              <w:rPr>
                <w:rFonts w:eastAsia="Times New Roman" w:asciiTheme="majorHAnsi" w:hAnsiTheme="majorHAnsi" w:cstheme="majorHAnsi"/>
                <w:color w:val="000000"/>
              </w:rPr>
              <w:t>Derecognition</w:t>
            </w:r>
          </w:p>
        </w:tc>
        <w:tc>
          <w:tcPr>
            <w:tcW w:w="132"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(136)</w:t>
            </w:r>
          </w:p>
        </w:tc>
        <w:tc>
          <w:tcPr>
            <w:tcW w:w="132"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(160)</w:t>
            </w:r>
          </w:p>
        </w:tc>
      </w:tr>
      <w:tr w:rsidR="009534E2">
        <w:tc>
          <w:tcPr>
            <w:tcW w:w="3204" w:type="pct"/>
            <w:tcBorders>
              <w:top w:val="nil"/>
              <w:left w:val="nil"/>
              <w:bottom w:val="nil"/>
              <w:right w:val="nil"/>
              <w:tl2br w:val="nil"/>
              <w:tr2bl w:val="nil"/>
            </w:tcBorders>
            <w:vAlign w:val="bottom"/>
          </w:tcPr>
          <w:p w:rsidR="009534E2" w:rsidRDefault="003369EB">
            <w:pPr>
              <w:spacing w:after="1"/>
              <w:ind w:left="120"/>
              <w:rPr>
                <w:rFonts w:asciiTheme="majorHAnsi" w:hAnsiTheme="majorHAnsi" w:cstheme="majorHAnsi"/>
                <w:color w:val="000000"/>
              </w:rPr>
            </w:pPr>
            <w:bookmarkStart w:name="_3a2e84d3_c238_4ec7_b5ac_2cd264b46d9f" w:id="2476"/>
            <w:bookmarkStart w:name="_588e5492_93d8_422a_85f9_ed322a728ae8" w:colFirst="2" w:colLast="2" w:id="2477"/>
            <w:bookmarkStart w:name="_2cfa8007_fa29_485b_8dab_bab9e9ad46dc" w:colFirst="4" w:colLast="4" w:id="2478"/>
            <w:bookmarkEnd w:id="2473"/>
            <w:bookmarkEnd w:id="2474"/>
            <w:bookmarkEnd w:id="2475"/>
            <w:r>
              <w:rPr>
                <w:rFonts w:eastAsia="Times New Roman" w:asciiTheme="majorHAnsi" w:hAnsiTheme="majorHAnsi" w:cstheme="majorHAnsi"/>
                <w:color w:val="000000"/>
              </w:rPr>
              <w:t>Depreciation</w:t>
            </w:r>
          </w:p>
        </w:tc>
        <w:tc>
          <w:tcPr>
            <w:tcW w:w="132"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(246)</w:t>
            </w:r>
          </w:p>
        </w:tc>
        <w:tc>
          <w:tcPr>
            <w:tcW w:w="132"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nil"/>
              <w:right w:val="nil"/>
              <w:tl2br w:val="nil"/>
              <w:tr2bl w:val="nil"/>
            </w:tcBorders>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c>
          <w:tcPr>
            <w:tcW w:w="3204" w:type="pct"/>
            <w:tcBorders>
              <w:top w:val="nil"/>
              <w:left w:val="nil"/>
              <w:bottom w:val="nil"/>
              <w:right w:val="nil"/>
              <w:tl2br w:val="nil"/>
              <w:tr2bl w:val="nil"/>
            </w:tcBorders>
            <w:shd w:val="clear" w:color="auto" w:fill="CCEEFF"/>
            <w:vAlign w:val="bottom"/>
          </w:tcPr>
          <w:p w:rsidR="009534E2" w:rsidRDefault="003369EB">
            <w:pPr>
              <w:spacing w:after="1"/>
              <w:ind w:left="120"/>
              <w:rPr>
                <w:rFonts w:asciiTheme="majorHAnsi" w:hAnsiTheme="majorHAnsi" w:cstheme="majorHAnsi"/>
                <w:color w:val="000000"/>
              </w:rPr>
            </w:pPr>
            <w:bookmarkStart w:name="_9c87d011_2bbe_474a_aa17_12403ec69ee3" w:id="2479"/>
            <w:bookmarkStart w:name="_9ea14aa9_b061_4d82_8ef1_5a7614fa6725" w:colFirst="2" w:colLast="2" w:id="2480"/>
            <w:bookmarkStart w:name="_e67245b2_adb9_4d34_9126_275102774d3d" w:colFirst="4" w:colLast="4" w:id="2481"/>
            <w:bookmarkEnd w:id="2476"/>
            <w:bookmarkEnd w:id="2477"/>
            <w:bookmarkEnd w:id="2478"/>
            <w:r>
              <w:rPr>
                <w:rFonts w:eastAsia="Times New Roman" w:asciiTheme="majorHAnsi" w:hAnsiTheme="majorHAnsi" w:cstheme="majorHAnsi"/>
                <w:color w:val="000000"/>
              </w:rPr>
              <w:t xml:space="preserve">Interest expense </w:t>
            </w:r>
          </w:p>
        </w:tc>
        <w:tc>
          <w:tcPr>
            <w:tcW w:w="132"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nil"/>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32"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nil"/>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51</w:t>
            </w:r>
          </w:p>
        </w:tc>
      </w:tr>
      <w:tr w:rsidR="009534E2">
        <w:tc>
          <w:tcPr>
            <w:tcW w:w="3204" w:type="pct"/>
            <w:tcBorders>
              <w:top w:val="nil"/>
              <w:left w:val="nil"/>
              <w:bottom w:val="nil"/>
              <w:right w:val="nil"/>
              <w:tl2br w:val="nil"/>
              <w:tr2bl w:val="nil"/>
            </w:tcBorders>
            <w:vAlign w:val="bottom"/>
          </w:tcPr>
          <w:p w:rsidR="009534E2" w:rsidRDefault="003369EB">
            <w:pPr>
              <w:spacing w:after="1"/>
              <w:ind w:left="120"/>
              <w:rPr>
                <w:rFonts w:asciiTheme="majorHAnsi" w:hAnsiTheme="majorHAnsi" w:cstheme="majorHAnsi"/>
                <w:color w:val="000000"/>
              </w:rPr>
            </w:pPr>
            <w:bookmarkStart w:name="_141a3aae_dff2_4b14_9f9e_8375efa31e08" w:id="2482"/>
            <w:bookmarkStart w:name="_9c1c4ab2_8929_4800_bd71_124c669f09c6" w:colFirst="2" w:colLast="2" w:id="2483"/>
            <w:bookmarkStart w:name="_24b5d28e_980b_4863_af0e_c61aa70a9306" w:colFirst="4" w:colLast="4" w:id="2484"/>
            <w:bookmarkEnd w:id="2479"/>
            <w:bookmarkEnd w:id="2480"/>
            <w:bookmarkEnd w:id="2481"/>
            <w:r>
              <w:rPr>
                <w:rFonts w:eastAsia="Times New Roman" w:asciiTheme="majorHAnsi" w:hAnsiTheme="majorHAnsi" w:cstheme="majorHAnsi"/>
                <w:color w:val="000000"/>
              </w:rPr>
              <w:t xml:space="preserve">Payments </w:t>
            </w:r>
          </w:p>
        </w:tc>
        <w:tc>
          <w:tcPr>
            <w:tcW w:w="132"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single" w:color="000000" w:sz="4" w:space="0"/>
              <w:right w:val="nil"/>
              <w:tl2br w:val="nil"/>
              <w:tr2bl w:val="nil"/>
            </w:tcBorders>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32"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single" w:color="000000" w:sz="4" w:space="0"/>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(284)</w:t>
            </w:r>
          </w:p>
        </w:tc>
      </w:tr>
      <w:tr w:rsidR="009534E2">
        <w:tc>
          <w:tcPr>
            <w:tcW w:w="3204" w:type="pct"/>
            <w:tcBorders>
              <w:top w:val="nil"/>
              <w:left w:val="nil"/>
              <w:bottom w:val="nil"/>
              <w:right w:val="nil"/>
              <w:tl2br w:val="nil"/>
              <w:tr2bl w:val="nil"/>
            </w:tcBorders>
            <w:shd w:val="clear" w:color="auto" w:fill="CCEEFF"/>
            <w:vAlign w:val="bottom"/>
          </w:tcPr>
          <w:p w:rsidR="009534E2" w:rsidRDefault="003369EB">
            <w:pPr>
              <w:spacing w:after="1"/>
              <w:rPr>
                <w:rFonts w:asciiTheme="majorHAnsi" w:hAnsiTheme="majorHAnsi" w:cstheme="majorHAnsi"/>
                <w:b/>
                <w:color w:val="000000"/>
              </w:rPr>
            </w:pPr>
            <w:bookmarkStart w:name="_1c81e752_5c74_4ad1_ac24_d6b0a79f4afe" w:id="2485"/>
            <w:bookmarkStart w:name="_83783285_2897_4611_91d6_04a17b437ca8" w:colFirst="2" w:colLast="2" w:id="2486"/>
            <w:bookmarkStart w:name="_c7788fc9_766f_4abf_8d85_b3057dc41ffe" w:colFirst="4" w:colLast="4" w:id="2487"/>
            <w:bookmarkEnd w:id="2482"/>
            <w:bookmarkEnd w:id="2483"/>
            <w:bookmarkEnd w:id="2484"/>
            <w:r>
              <w:rPr>
                <w:rFonts w:eastAsia="Times New Roman" w:asciiTheme="majorHAnsi" w:hAnsiTheme="majorHAnsi" w:cstheme="majorHAnsi"/>
                <w:b/>
                <w:color w:val="000000"/>
              </w:rPr>
              <w:t>As of December 31, 2022</w:t>
            </w:r>
          </w:p>
        </w:tc>
        <w:tc>
          <w:tcPr>
            <w:tcW w:w="132"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b/>
                <w:color w:val="000000"/>
              </w:rPr>
            </w:pPr>
            <w:r>
              <w:rPr>
                <w:rFonts w:eastAsia="Times New Roman" w:asciiTheme="majorHAnsi" w:hAnsiTheme="majorHAnsi" w:cstheme="majorHAnsi"/>
                <w:b/>
                <w:color w:val="000000"/>
              </w:rPr>
              <w:t> </w:t>
            </w:r>
          </w:p>
        </w:tc>
        <w:tc>
          <w:tcPr>
            <w:tcW w:w="766" w:type="pct"/>
            <w:tcBorders>
              <w:top w:val="nil"/>
              <w:left w:val="nil"/>
              <w:bottom w:val="single" w:color="000000" w:sz="4" w:space="0"/>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455</w:t>
            </w:r>
          </w:p>
        </w:tc>
        <w:tc>
          <w:tcPr>
            <w:tcW w:w="132"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b/>
                <w:color w:val="000000"/>
              </w:rPr>
            </w:pPr>
            <w:r>
              <w:rPr>
                <w:rFonts w:eastAsia="Times New Roman" w:asciiTheme="majorHAnsi" w:hAnsiTheme="majorHAnsi" w:cstheme="majorHAnsi"/>
                <w:b/>
                <w:color w:val="000000"/>
              </w:rPr>
              <w:t> </w:t>
            </w:r>
          </w:p>
        </w:tc>
        <w:tc>
          <w:tcPr>
            <w:tcW w:w="766" w:type="pct"/>
            <w:tcBorders>
              <w:top w:val="nil"/>
              <w:left w:val="nil"/>
              <w:bottom w:val="single" w:color="000000" w:sz="4" w:space="0"/>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433</w:t>
            </w:r>
          </w:p>
        </w:tc>
      </w:tr>
      <w:tr w:rsidR="009534E2">
        <w:tc>
          <w:tcPr>
            <w:tcW w:w="3204" w:type="pct"/>
            <w:tcBorders>
              <w:top w:val="nil"/>
              <w:left w:val="nil"/>
              <w:bottom w:val="nil"/>
              <w:right w:val="nil"/>
              <w:tl2br w:val="nil"/>
              <w:tr2bl w:val="nil"/>
            </w:tcBorders>
            <w:vAlign w:val="bottom"/>
          </w:tcPr>
          <w:p w:rsidR="009534E2" w:rsidRDefault="003369EB">
            <w:pPr>
              <w:spacing w:after="1"/>
              <w:ind w:left="120"/>
              <w:rPr>
                <w:rFonts w:asciiTheme="majorHAnsi" w:hAnsiTheme="majorHAnsi" w:cstheme="majorHAnsi"/>
                <w:i/>
                <w:color w:val="000000"/>
              </w:rPr>
            </w:pPr>
            <w:bookmarkStart w:name="_aa9c0080_ff00_4ef7_b69e_9cf959ad70c8" w:id="2488"/>
            <w:bookmarkStart w:name="_c11c6421_ef5c_44d1_8906_2a7267e06fd3" w:colFirst="4" w:colLast="4" w:id="2489"/>
            <w:bookmarkStart w:name="_211ac64b_f8f2_44de_acb3_38dd8f175f2e" w:colFirst="2" w:colLast="2" w:id="2490"/>
            <w:bookmarkEnd w:id="2485"/>
            <w:bookmarkEnd w:id="2486"/>
            <w:bookmarkEnd w:id="2487"/>
            <w:r>
              <w:rPr>
                <w:rFonts w:eastAsia="Times New Roman" w:asciiTheme="majorHAnsi" w:hAnsiTheme="majorHAnsi" w:cstheme="majorHAnsi"/>
                <w:i/>
                <w:color w:val="000000"/>
              </w:rPr>
              <w:t>Including short-term portion</w:t>
            </w:r>
          </w:p>
        </w:tc>
        <w:tc>
          <w:tcPr>
            <w:tcW w:w="132"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b/>
                <w:color w:val="000000"/>
              </w:rPr>
            </w:pPr>
            <w:r>
              <w:rPr>
                <w:rFonts w:eastAsia="Times New Roman" w:asciiTheme="majorHAnsi" w:hAnsiTheme="majorHAnsi" w:cstheme="majorHAnsi"/>
                <w:b/>
                <w:color w:val="000000"/>
              </w:rPr>
              <w:t> </w:t>
            </w:r>
          </w:p>
        </w:tc>
        <w:tc>
          <w:tcPr>
            <w:tcW w:w="766" w:type="pct"/>
            <w:tcBorders>
              <w:top w:val="nil"/>
              <w:left w:val="nil"/>
              <w:bottom w:val="nil"/>
              <w:right w:val="nil"/>
              <w:tl2br w:val="nil"/>
              <w:tr2bl w:val="nil"/>
            </w:tcBorders>
            <w:noWrap/>
            <w:vAlign w:val="bottom"/>
          </w:tcPr>
          <w:p w:rsidR="009534E2" w:rsidRDefault="003369EB">
            <w:pPr>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w:t>
            </w:r>
          </w:p>
        </w:tc>
        <w:tc>
          <w:tcPr>
            <w:tcW w:w="132"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i/>
                <w:color w:val="000000"/>
              </w:rPr>
            </w:pPr>
            <w:r>
              <w:rPr>
                <w:rFonts w:eastAsia="Times New Roman" w:asciiTheme="majorHAnsi" w:hAnsiTheme="majorHAnsi" w:cstheme="majorHAnsi"/>
                <w:i/>
                <w:color w:val="000000"/>
              </w:rPr>
              <w:t> </w:t>
            </w:r>
          </w:p>
        </w:tc>
        <w:tc>
          <w:tcPr>
            <w:tcW w:w="766" w:type="pct"/>
            <w:tcBorders>
              <w:top w:val="nil"/>
              <w:left w:val="nil"/>
              <w:bottom w:val="nil"/>
              <w:right w:val="nil"/>
              <w:tl2br w:val="nil"/>
              <w:tr2bl w:val="nil"/>
            </w:tcBorders>
            <w:noWrap/>
            <w:vAlign w:val="bottom"/>
          </w:tcPr>
          <w:p w:rsidR="009534E2" w:rsidRDefault="003369EB">
            <w:pPr>
              <w:spacing w:after="1"/>
              <w:ind w:right="60"/>
              <w:jc w:val="right"/>
              <w:rPr>
                <w:rFonts w:asciiTheme="majorHAnsi" w:hAnsiTheme="majorHAnsi" w:cstheme="majorHAnsi"/>
                <w:i/>
                <w:color w:val="000000"/>
              </w:rPr>
            </w:pPr>
            <w:r>
              <w:rPr>
                <w:rFonts w:eastAsia="Times New Roman" w:asciiTheme="majorHAnsi" w:hAnsiTheme="majorHAnsi" w:cstheme="majorHAnsi"/>
                <w:i/>
                <w:color w:val="000000"/>
              </w:rPr>
              <w:t xml:space="preserve"> 300</w:t>
            </w:r>
          </w:p>
        </w:tc>
      </w:tr>
      <w:bookmarkEnd w:id="2464"/>
      <w:bookmarkEnd w:id="2488"/>
      <w:bookmarkEnd w:id="2489"/>
      <w:bookmarkEnd w:id="2490"/>
    </w:tbl>
    <w:p w:rsidR="009534E2" w:rsidRDefault="009534E2">
      <w:pPr>
        <w:pStyle w:val="BodyText"/>
        <w:spacing w:after="0"/>
        <w:rPr>
          <w:rFonts w:eastAsia="Times New Roman" w:asciiTheme="majorHAnsi" w:hAnsiTheme="majorHAnsi" w:cstheme="majorHAnsi"/>
          <w:lang w:eastAsia="ru-RU"/>
        </w:rPr>
      </w:pP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The change in the balances of Right-of-use assets and Lease liabilities the year ended December 31, 2021 was as follows:</w:t>
      </w:r>
    </w:p>
    <w:p w:rsidR="009534E2" w:rsidRDefault="009534E2">
      <w:pPr>
        <w:pStyle w:val="BodyText"/>
        <w:keepNext/>
        <w:spacing w:after="0"/>
        <w:rPr>
          <w:rFonts w:eastAsia="Times New Roman"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920"/>
        <w:gridCol w:w="285"/>
        <w:gridCol w:w="1655"/>
        <w:gridCol w:w="285"/>
        <w:gridCol w:w="1655"/>
      </w:tblGrid>
      <w:tr w:rsidR="009534E2">
        <w:trPr>
          <w:trHeight w:val="20" w:hRule="exact"/>
        </w:trPr>
        <w:tc>
          <w:tcPr>
            <w:tcW w:w="3204"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0961e06d_c0c0_49b0_aa4b_62c94e87a1d2" w:colFirst="0" w:colLast="0" w:id="2491"/>
            <w:bookmarkStart w:name="_62bc3f76_a671_461f_8fe5_e4a0a92a9564" w:colFirst="1" w:colLast="1" w:id="2492"/>
            <w:bookmarkStart w:name="_242c61a4_89cc_4685_bc28_64205cec9ef0" w:colFirst="2" w:colLast="2" w:id="2493"/>
            <w:bookmarkStart w:name="_e03aa814_b49a_4400_856f_fa32f047b35f" w:colFirst="3" w:colLast="3" w:id="2494"/>
            <w:bookmarkStart w:name="_28c0cf5b_0529_4819_8404_38daf1f94868" w:colFirst="4" w:colLast="4" w:id="2495"/>
            <w:bookmarkStart w:name="_3656e1c7_339b_4f52_bd4e_d7d00d73f56e" w:id="2496"/>
          </w:p>
        </w:tc>
        <w:tc>
          <w:tcPr>
            <w:tcW w:w="132"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76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132"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76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9534E2">
        <w:tc>
          <w:tcPr>
            <w:tcW w:w="3204" w:type="pct"/>
            <w:tcBorders>
              <w:top w:val="nil"/>
              <w:left w:val="nil"/>
              <w:bottom w:val="nil"/>
              <w:right w:val="nil"/>
              <w:tl2br w:val="nil"/>
              <w:tr2bl w:val="nil"/>
            </w:tcBorders>
            <w:shd w:val="clear" w:color="auto" w:fill="auto"/>
            <w:vAlign w:val="bottom"/>
          </w:tcPr>
          <w:p w:rsidR="009534E2" w:rsidRDefault="009534E2">
            <w:pPr>
              <w:spacing w:after="1"/>
              <w:rPr>
                <w:rFonts w:asciiTheme="majorHAnsi" w:hAnsiTheme="majorHAnsi" w:cstheme="majorHAnsi"/>
                <w:b/>
                <w:color w:val="000000"/>
                <w:sz w:val="16"/>
              </w:rPr>
            </w:pPr>
            <w:bookmarkStart w:name="_fe3e36cb_3595_46e3_af41_7c267ad4bde7" w:id="2497"/>
            <w:bookmarkEnd w:id="2491"/>
            <w:bookmarkEnd w:id="2492"/>
            <w:bookmarkEnd w:id="2493"/>
            <w:bookmarkEnd w:id="2494"/>
            <w:bookmarkEnd w:id="2495"/>
          </w:p>
        </w:tc>
        <w:tc>
          <w:tcPr>
            <w:tcW w:w="132" w:type="pct"/>
            <w:tcBorders>
              <w:top w:val="nil"/>
              <w:left w:val="nil"/>
              <w:bottom w:val="nil"/>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766" w:type="pct"/>
            <w:tcBorders>
              <w:top w:val="nil"/>
              <w:left w:val="nil"/>
              <w:bottom w:val="nil"/>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Right-of-use assets</w:t>
            </w:r>
          </w:p>
        </w:tc>
        <w:tc>
          <w:tcPr>
            <w:tcW w:w="132" w:type="pct"/>
            <w:tcBorders>
              <w:top w:val="nil"/>
              <w:left w:val="nil"/>
              <w:bottom w:val="nil"/>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766" w:type="pct"/>
            <w:tcBorders>
              <w:top w:val="nil"/>
              <w:left w:val="nil"/>
              <w:bottom w:val="nil"/>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Lease</w:t>
            </w:r>
          </w:p>
        </w:tc>
      </w:tr>
      <w:tr w:rsidR="009534E2">
        <w:tc>
          <w:tcPr>
            <w:tcW w:w="3204" w:type="pct"/>
            <w:tcBorders>
              <w:top w:val="nil"/>
              <w:left w:val="nil"/>
              <w:bottom w:val="nil"/>
              <w:right w:val="nil"/>
              <w:tl2br w:val="nil"/>
              <w:tr2bl w:val="nil"/>
            </w:tcBorders>
            <w:shd w:val="clear" w:color="auto" w:fill="auto"/>
            <w:vAlign w:val="bottom"/>
          </w:tcPr>
          <w:p w:rsidR="009534E2" w:rsidRDefault="009534E2">
            <w:pPr>
              <w:spacing w:after="1"/>
              <w:rPr>
                <w:rFonts w:asciiTheme="majorHAnsi" w:hAnsiTheme="majorHAnsi" w:cstheme="majorHAnsi"/>
                <w:b/>
                <w:color w:val="000000"/>
                <w:sz w:val="16"/>
              </w:rPr>
            </w:pPr>
            <w:bookmarkStart w:name="_02b5a4a3_962b_4c22_9b68_be78c463dc8e" w:id="2498"/>
            <w:bookmarkEnd w:id="2497"/>
          </w:p>
        </w:tc>
        <w:tc>
          <w:tcPr>
            <w:tcW w:w="132" w:type="pct"/>
            <w:tcBorders>
              <w:top w:val="nil"/>
              <w:left w:val="nil"/>
              <w:bottom w:val="nil"/>
              <w:right w:val="nil"/>
              <w:tl2br w:val="nil"/>
              <w:tr2bl w:val="nil"/>
            </w:tcBorders>
            <w:shd w:val="clear" w:color="auto" w:fill="auto"/>
            <w:noWrap/>
            <w:vAlign w:val="bottom"/>
          </w:tcPr>
          <w:p w:rsidR="009534E2" w:rsidRDefault="009534E2">
            <w:pPr>
              <w:spacing w:after="1"/>
              <w:jc w:val="center"/>
              <w:rPr>
                <w:rFonts w:asciiTheme="majorHAnsi" w:hAnsiTheme="majorHAnsi" w:cstheme="majorHAnsi"/>
                <w:b/>
                <w:color w:val="000000"/>
                <w:sz w:val="16"/>
              </w:rPr>
            </w:pPr>
          </w:p>
        </w:tc>
        <w:tc>
          <w:tcPr>
            <w:tcW w:w="766"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Office buildings</w:t>
            </w:r>
          </w:p>
        </w:tc>
        <w:tc>
          <w:tcPr>
            <w:tcW w:w="132" w:type="pct"/>
            <w:tcBorders>
              <w:top w:val="nil"/>
              <w:left w:val="nil"/>
              <w:bottom w:val="nil"/>
              <w:right w:val="nil"/>
              <w:tl2br w:val="nil"/>
              <w:tr2bl w:val="nil"/>
            </w:tcBorders>
            <w:shd w:val="clear" w:color="auto" w:fill="auto"/>
            <w:noWrap/>
            <w:vAlign w:val="bottom"/>
          </w:tcPr>
          <w:p w:rsidR="009534E2" w:rsidRDefault="009534E2">
            <w:pPr>
              <w:spacing w:after="1"/>
              <w:jc w:val="center"/>
              <w:rPr>
                <w:rFonts w:asciiTheme="majorHAnsi" w:hAnsiTheme="majorHAnsi" w:cstheme="majorHAnsi"/>
                <w:b/>
                <w:color w:val="000000"/>
                <w:sz w:val="16"/>
              </w:rPr>
            </w:pPr>
          </w:p>
        </w:tc>
        <w:tc>
          <w:tcPr>
            <w:tcW w:w="766"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liabilities</w:t>
            </w:r>
          </w:p>
        </w:tc>
      </w:tr>
      <w:tr w:rsidR="009534E2">
        <w:tc>
          <w:tcPr>
            <w:tcW w:w="3204" w:type="pct"/>
            <w:tcBorders>
              <w:top w:val="nil"/>
              <w:left w:val="nil"/>
              <w:bottom w:val="nil"/>
              <w:right w:val="nil"/>
              <w:tl2br w:val="nil"/>
              <w:tr2bl w:val="nil"/>
            </w:tcBorders>
            <w:shd w:val="clear" w:color="auto" w:fill="CCEEFF"/>
            <w:vAlign w:val="bottom"/>
          </w:tcPr>
          <w:p w:rsidR="009534E2" w:rsidRDefault="003369EB">
            <w:pPr>
              <w:spacing w:after="1"/>
              <w:rPr>
                <w:rFonts w:asciiTheme="majorHAnsi" w:hAnsiTheme="majorHAnsi" w:cstheme="majorHAnsi"/>
                <w:b/>
                <w:color w:val="000000"/>
              </w:rPr>
            </w:pPr>
            <w:bookmarkStart w:name="_44c5d939_f747_4f7b_aa6e_f9a52685d963" w:id="2499"/>
            <w:bookmarkStart w:name="_af1492a7_3f7d_47d3_96cb_b9c82ddabd5b" w:colFirst="2" w:colLast="2" w:id="2500"/>
            <w:bookmarkStart w:name="_72126d09_03ae_41b3_b378_39b21e95f052" w:colFirst="4" w:colLast="4" w:id="2501"/>
            <w:bookmarkEnd w:id="2498"/>
            <w:r>
              <w:rPr>
                <w:rFonts w:eastAsia="Times New Roman" w:asciiTheme="majorHAnsi" w:hAnsiTheme="majorHAnsi" w:cstheme="majorHAnsi"/>
                <w:b/>
                <w:color w:val="000000"/>
              </w:rPr>
              <w:t>As of January 1, 2021</w:t>
            </w:r>
          </w:p>
        </w:tc>
        <w:tc>
          <w:tcPr>
            <w:tcW w:w="132" w:type="pct"/>
            <w:tcBorders>
              <w:top w:val="nil"/>
              <w:left w:val="nil"/>
              <w:bottom w:val="nil"/>
              <w:right w:val="nil"/>
              <w:tl2br w:val="nil"/>
              <w:tr2bl w:val="nil"/>
            </w:tcBorders>
            <w:shd w:val="clear" w:color="auto" w:fill="CCEEFF"/>
            <w:noWrap/>
            <w:vAlign w:val="bottom"/>
          </w:tcPr>
          <w:p w:rsidR="009534E2" w:rsidRDefault="003369EB">
            <w:pPr>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766" w:type="pct"/>
            <w:tcBorders>
              <w:top w:val="nil"/>
              <w:left w:val="nil"/>
              <w:bottom w:val="nil"/>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1,087</w:t>
            </w:r>
          </w:p>
        </w:tc>
        <w:tc>
          <w:tcPr>
            <w:tcW w:w="132"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b/>
                <w:color w:val="000000"/>
              </w:rPr>
            </w:pPr>
            <w:r>
              <w:rPr>
                <w:rFonts w:eastAsia="Times New Roman" w:asciiTheme="majorHAnsi" w:hAnsiTheme="majorHAnsi" w:cstheme="majorHAnsi"/>
                <w:b/>
                <w:color w:val="000000"/>
              </w:rPr>
              <w:t> </w:t>
            </w:r>
          </w:p>
        </w:tc>
        <w:tc>
          <w:tcPr>
            <w:tcW w:w="766" w:type="pct"/>
            <w:tcBorders>
              <w:top w:val="nil"/>
              <w:left w:val="nil"/>
              <w:bottom w:val="nil"/>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1,116</w:t>
            </w:r>
          </w:p>
        </w:tc>
      </w:tr>
      <w:tr w:rsidR="009534E2">
        <w:tc>
          <w:tcPr>
            <w:tcW w:w="3204" w:type="pct"/>
            <w:tcBorders>
              <w:top w:val="nil"/>
              <w:left w:val="nil"/>
              <w:bottom w:val="nil"/>
              <w:right w:val="nil"/>
              <w:tl2br w:val="nil"/>
              <w:tr2bl w:val="nil"/>
            </w:tcBorders>
            <w:vAlign w:val="bottom"/>
          </w:tcPr>
          <w:p w:rsidR="009534E2" w:rsidRDefault="003369EB">
            <w:pPr>
              <w:spacing w:after="1"/>
              <w:ind w:left="120"/>
              <w:rPr>
                <w:rFonts w:asciiTheme="majorHAnsi" w:hAnsiTheme="majorHAnsi" w:cstheme="majorHAnsi"/>
                <w:color w:val="000000"/>
              </w:rPr>
            </w:pPr>
            <w:bookmarkStart w:name="_9c817da3_958d_4c73_8aed_d8c1070a0614" w:id="2502"/>
            <w:bookmarkStart w:name="_c08bcef1_b2b9_4d31_ba48_3d6050c68992" w:colFirst="2" w:colLast="2" w:id="2503"/>
            <w:bookmarkStart w:name="_35022e3a_76c6_4763_9fb8_cf065ff3c8cc" w:colFirst="4" w:colLast="4" w:id="2504"/>
            <w:bookmarkEnd w:id="2499"/>
            <w:bookmarkEnd w:id="2500"/>
            <w:bookmarkEnd w:id="2501"/>
            <w:r>
              <w:rPr>
                <w:rFonts w:eastAsia="Times New Roman" w:asciiTheme="majorHAnsi" w:hAnsiTheme="majorHAnsi" w:cstheme="majorHAnsi"/>
                <w:color w:val="000000"/>
              </w:rPr>
              <w:t>Additions</w:t>
            </w:r>
          </w:p>
        </w:tc>
        <w:tc>
          <w:tcPr>
            <w:tcW w:w="132" w:type="pct"/>
            <w:tcBorders>
              <w:top w:val="nil"/>
              <w:left w:val="nil"/>
              <w:bottom w:val="nil"/>
              <w:right w:val="nil"/>
              <w:tl2br w:val="nil"/>
              <w:tr2bl w:val="nil"/>
            </w:tcBorders>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nil"/>
              <w:right w:val="nil"/>
              <w:tl2br w:val="nil"/>
              <w:tr2bl w:val="nil"/>
            </w:tcBorders>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40</w:t>
            </w:r>
          </w:p>
        </w:tc>
        <w:tc>
          <w:tcPr>
            <w:tcW w:w="132"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nil"/>
              <w:right w:val="nil"/>
              <w:tl2br w:val="nil"/>
              <w:tr2bl w:val="nil"/>
            </w:tcBorders>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40</w:t>
            </w:r>
          </w:p>
        </w:tc>
      </w:tr>
      <w:tr w:rsidR="009534E2">
        <w:tc>
          <w:tcPr>
            <w:tcW w:w="3204" w:type="pct"/>
            <w:tcBorders>
              <w:top w:val="nil"/>
              <w:left w:val="nil"/>
              <w:bottom w:val="nil"/>
              <w:right w:val="nil"/>
              <w:tl2br w:val="nil"/>
              <w:tr2bl w:val="nil"/>
            </w:tcBorders>
            <w:shd w:val="clear" w:color="auto" w:fill="CCEEFF"/>
            <w:vAlign w:val="bottom"/>
          </w:tcPr>
          <w:p w:rsidR="009534E2" w:rsidRDefault="003369EB">
            <w:pPr>
              <w:spacing w:after="1"/>
              <w:ind w:left="120"/>
              <w:rPr>
                <w:rFonts w:asciiTheme="majorHAnsi" w:hAnsiTheme="majorHAnsi" w:cstheme="majorHAnsi"/>
                <w:color w:val="000000"/>
              </w:rPr>
            </w:pPr>
            <w:bookmarkStart w:name="_061cdc4e_2c84_413f_9c9c_a495d6de2037" w:id="2505"/>
            <w:bookmarkStart w:name="_b415fc14_2c3b_43e3_a5f4_da9f3e571aa3" w:colFirst="2" w:colLast="2" w:id="2506"/>
            <w:bookmarkStart w:name="_6118e3b0_cb3f_4a16_9ef4_05b106c71fee" w:colFirst="4" w:colLast="4" w:id="2507"/>
            <w:bookmarkEnd w:id="2502"/>
            <w:bookmarkEnd w:id="2503"/>
            <w:bookmarkEnd w:id="2504"/>
            <w:r>
              <w:rPr>
                <w:rFonts w:eastAsia="Times New Roman" w:asciiTheme="majorHAnsi" w:hAnsiTheme="majorHAnsi" w:cstheme="majorHAnsi"/>
                <w:color w:val="000000"/>
              </w:rPr>
              <w:t>Derecognition</w:t>
            </w:r>
          </w:p>
        </w:tc>
        <w:tc>
          <w:tcPr>
            <w:tcW w:w="132" w:type="pct"/>
            <w:tcBorders>
              <w:top w:val="nil"/>
              <w:left w:val="nil"/>
              <w:bottom w:val="nil"/>
              <w:right w:val="nil"/>
              <w:tl2br w:val="nil"/>
              <w:tr2bl w:val="nil"/>
            </w:tcBorders>
            <w:shd w:val="clear" w:color="auto" w:fill="CCEEFF"/>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(201)</w:t>
            </w:r>
          </w:p>
        </w:tc>
        <w:tc>
          <w:tcPr>
            <w:tcW w:w="132"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(240)</w:t>
            </w:r>
          </w:p>
        </w:tc>
      </w:tr>
      <w:tr w:rsidR="009534E2">
        <w:tc>
          <w:tcPr>
            <w:tcW w:w="3204" w:type="pct"/>
            <w:tcBorders>
              <w:top w:val="nil"/>
              <w:left w:val="nil"/>
              <w:bottom w:val="nil"/>
              <w:right w:val="nil"/>
              <w:tl2br w:val="nil"/>
              <w:tr2bl w:val="nil"/>
            </w:tcBorders>
            <w:vAlign w:val="bottom"/>
          </w:tcPr>
          <w:p w:rsidR="009534E2" w:rsidRDefault="003369EB">
            <w:pPr>
              <w:spacing w:after="1"/>
              <w:ind w:left="120"/>
              <w:rPr>
                <w:rFonts w:asciiTheme="majorHAnsi" w:hAnsiTheme="majorHAnsi" w:cstheme="majorHAnsi"/>
                <w:color w:val="000000"/>
              </w:rPr>
            </w:pPr>
            <w:bookmarkStart w:name="_062a1a27_b96a_4690_825c_5e0d02ea8d1e" w:id="2508"/>
            <w:bookmarkStart w:name="_c59cd24c_0359_4339_a112_d31f1fd6c69d" w:colFirst="2" w:colLast="2" w:id="2509"/>
            <w:bookmarkStart w:name="_bba770a5_ad46_49c9_918e_4c10af294e45" w:colFirst="4" w:colLast="4" w:id="2510"/>
            <w:bookmarkEnd w:id="2505"/>
            <w:bookmarkEnd w:id="2506"/>
            <w:bookmarkEnd w:id="2507"/>
            <w:r>
              <w:rPr>
                <w:rFonts w:eastAsia="Times New Roman" w:asciiTheme="majorHAnsi" w:hAnsiTheme="majorHAnsi" w:cstheme="majorHAnsi"/>
                <w:color w:val="000000"/>
              </w:rPr>
              <w:t>Depreciation</w:t>
            </w:r>
          </w:p>
        </w:tc>
        <w:tc>
          <w:tcPr>
            <w:tcW w:w="132" w:type="pct"/>
            <w:tcBorders>
              <w:top w:val="nil"/>
              <w:left w:val="nil"/>
              <w:bottom w:val="nil"/>
              <w:right w:val="nil"/>
              <w:tl2br w:val="nil"/>
              <w:tr2bl w:val="nil"/>
            </w:tcBorders>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(273)</w:t>
            </w:r>
          </w:p>
        </w:tc>
        <w:tc>
          <w:tcPr>
            <w:tcW w:w="132"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nil"/>
              <w:right w:val="nil"/>
              <w:tl2br w:val="nil"/>
              <w:tr2bl w:val="nil"/>
            </w:tcBorders>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c>
          <w:tcPr>
            <w:tcW w:w="3204" w:type="pct"/>
            <w:tcBorders>
              <w:top w:val="nil"/>
              <w:left w:val="nil"/>
              <w:bottom w:val="nil"/>
              <w:right w:val="nil"/>
              <w:tl2br w:val="nil"/>
              <w:tr2bl w:val="nil"/>
            </w:tcBorders>
            <w:shd w:val="clear" w:color="auto" w:fill="CCEEFF"/>
            <w:vAlign w:val="bottom"/>
          </w:tcPr>
          <w:p w:rsidR="009534E2" w:rsidRDefault="003369EB">
            <w:pPr>
              <w:spacing w:after="1"/>
              <w:ind w:left="120"/>
              <w:rPr>
                <w:rFonts w:asciiTheme="majorHAnsi" w:hAnsiTheme="majorHAnsi" w:cstheme="majorHAnsi"/>
                <w:color w:val="000000"/>
              </w:rPr>
            </w:pPr>
            <w:bookmarkStart w:name="_87b5f283_2a6e_443e_96e1_cfd84f3e81bd" w:id="2511"/>
            <w:bookmarkStart w:name="_608c0c70_b5d6_4bca_93fa_40b43a1f43d6" w:colFirst="4" w:colLast="4" w:id="2512"/>
            <w:bookmarkStart w:name="_c3e2d9a9_1ed9_42d8_8d33_0f71fb563bf8" w:colFirst="2" w:colLast="2" w:id="2513"/>
            <w:bookmarkEnd w:id="2508"/>
            <w:bookmarkEnd w:id="2509"/>
            <w:bookmarkEnd w:id="2510"/>
            <w:r>
              <w:rPr>
                <w:rFonts w:eastAsia="Times New Roman" w:asciiTheme="majorHAnsi" w:hAnsiTheme="majorHAnsi" w:cstheme="majorHAnsi"/>
                <w:color w:val="000000"/>
              </w:rPr>
              <w:t>Interest expense</w:t>
            </w:r>
          </w:p>
        </w:tc>
        <w:tc>
          <w:tcPr>
            <w:tcW w:w="132" w:type="pct"/>
            <w:tcBorders>
              <w:top w:val="nil"/>
              <w:left w:val="nil"/>
              <w:bottom w:val="nil"/>
              <w:right w:val="nil"/>
              <w:tl2br w:val="nil"/>
              <w:tr2bl w:val="nil"/>
            </w:tcBorders>
            <w:shd w:val="clear" w:color="auto" w:fill="CCEEFF"/>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nil"/>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32"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nil"/>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75</w:t>
            </w:r>
          </w:p>
        </w:tc>
      </w:tr>
      <w:tr w:rsidR="009534E2">
        <w:tc>
          <w:tcPr>
            <w:tcW w:w="3204" w:type="pct"/>
            <w:tcBorders>
              <w:top w:val="nil"/>
              <w:left w:val="nil"/>
              <w:bottom w:val="nil"/>
              <w:right w:val="nil"/>
              <w:tl2br w:val="nil"/>
              <w:tr2bl w:val="nil"/>
            </w:tcBorders>
            <w:vAlign w:val="bottom"/>
          </w:tcPr>
          <w:p w:rsidR="009534E2" w:rsidRDefault="003369EB">
            <w:pPr>
              <w:spacing w:after="1"/>
              <w:ind w:left="120"/>
              <w:rPr>
                <w:rFonts w:asciiTheme="majorHAnsi" w:hAnsiTheme="majorHAnsi" w:cstheme="majorHAnsi"/>
                <w:color w:val="000000"/>
              </w:rPr>
            </w:pPr>
            <w:bookmarkStart w:name="_793c9ac6_4514_46e6_bb86_c5807ae6b5c2" w:id="2514"/>
            <w:bookmarkStart w:name="_ef0b88c6_b062_4fe0_9b7d_4a5faa4922bc" w:colFirst="4" w:colLast="4" w:id="2515"/>
            <w:bookmarkStart w:name="_7eeeec5f_bb97_4fcc_8afb_c76b52a702b2" w:colFirst="2" w:colLast="2" w:id="2516"/>
            <w:bookmarkEnd w:id="2511"/>
            <w:bookmarkEnd w:id="2512"/>
            <w:bookmarkEnd w:id="2513"/>
            <w:r>
              <w:rPr>
                <w:rFonts w:eastAsia="Times New Roman" w:asciiTheme="majorHAnsi" w:hAnsiTheme="majorHAnsi" w:cstheme="majorHAnsi"/>
                <w:color w:val="000000"/>
              </w:rPr>
              <w:t>Payments</w:t>
            </w:r>
          </w:p>
        </w:tc>
        <w:tc>
          <w:tcPr>
            <w:tcW w:w="132" w:type="pct"/>
            <w:tcBorders>
              <w:top w:val="nil"/>
              <w:left w:val="nil"/>
              <w:bottom w:val="nil"/>
              <w:right w:val="nil"/>
              <w:tl2br w:val="nil"/>
              <w:tr2bl w:val="nil"/>
            </w:tcBorders>
            <w:noWrap/>
            <w:vAlign w:val="bottom"/>
          </w:tcPr>
          <w:p w:rsidR="009534E2" w:rsidRDefault="003369EB">
            <w:pPr>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single" w:color="000000" w:sz="4" w:space="0"/>
              <w:right w:val="nil"/>
              <w:tl2br w:val="nil"/>
              <w:tr2bl w:val="nil"/>
            </w:tcBorders>
            <w:noWrap/>
            <w:vAlign w:val="bottom"/>
          </w:tcPr>
          <w:p w:rsidR="009534E2" w:rsidRDefault="003369EB">
            <w:pPr>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32"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66" w:type="pct"/>
            <w:tcBorders>
              <w:top w:val="nil"/>
              <w:left w:val="nil"/>
              <w:bottom w:val="single" w:color="000000" w:sz="4" w:space="0"/>
              <w:right w:val="nil"/>
              <w:tl2br w:val="nil"/>
              <w:tr2bl w:val="nil"/>
            </w:tcBorders>
            <w:noWrap/>
            <w:vAlign w:val="bottom"/>
          </w:tcPr>
          <w:p w:rsidR="009534E2" w:rsidRDefault="003369EB">
            <w:pPr>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(349)</w:t>
            </w:r>
          </w:p>
        </w:tc>
      </w:tr>
      <w:tr w:rsidR="009534E2">
        <w:tc>
          <w:tcPr>
            <w:tcW w:w="3204" w:type="pct"/>
            <w:tcBorders>
              <w:top w:val="nil"/>
              <w:left w:val="nil"/>
              <w:bottom w:val="nil"/>
              <w:right w:val="nil"/>
              <w:tl2br w:val="nil"/>
              <w:tr2bl w:val="nil"/>
            </w:tcBorders>
            <w:shd w:val="clear" w:color="auto" w:fill="CCEEFF"/>
            <w:vAlign w:val="bottom"/>
          </w:tcPr>
          <w:p w:rsidR="009534E2" w:rsidRDefault="003369EB">
            <w:pPr>
              <w:spacing w:after="1"/>
              <w:rPr>
                <w:rFonts w:asciiTheme="majorHAnsi" w:hAnsiTheme="majorHAnsi" w:cstheme="majorHAnsi"/>
                <w:b/>
                <w:color w:val="000000"/>
              </w:rPr>
            </w:pPr>
            <w:bookmarkStart w:name="_b91c2c9a_ac24_491c_9c4e_e22f5c1d59f9" w:id="2517"/>
            <w:bookmarkStart w:name="_78b04517_1e65_4dde_9f8f_df7c5bfbe9bd" w:colFirst="2" w:colLast="2" w:id="2518"/>
            <w:bookmarkStart w:name="_28c73428_e90b_49f1_968a_1c5f2d65ed28" w:colFirst="4" w:colLast="4" w:id="2519"/>
            <w:bookmarkEnd w:id="2514"/>
            <w:bookmarkEnd w:id="2515"/>
            <w:bookmarkEnd w:id="2516"/>
            <w:r>
              <w:rPr>
                <w:rFonts w:eastAsia="Times New Roman" w:asciiTheme="majorHAnsi" w:hAnsiTheme="majorHAnsi" w:cstheme="majorHAnsi"/>
                <w:b/>
                <w:color w:val="000000"/>
              </w:rPr>
              <w:t>As of December 31, 2021</w:t>
            </w:r>
          </w:p>
        </w:tc>
        <w:tc>
          <w:tcPr>
            <w:tcW w:w="132" w:type="pct"/>
            <w:tcBorders>
              <w:top w:val="nil"/>
              <w:left w:val="nil"/>
              <w:bottom w:val="nil"/>
              <w:right w:val="nil"/>
              <w:tl2br w:val="nil"/>
              <w:tr2bl w:val="nil"/>
            </w:tcBorders>
            <w:shd w:val="clear" w:color="auto" w:fill="CCEEFF"/>
            <w:noWrap/>
            <w:vAlign w:val="bottom"/>
          </w:tcPr>
          <w:p w:rsidR="009534E2" w:rsidRDefault="003369EB">
            <w:pPr>
              <w:spacing w:after="1"/>
              <w:rPr>
                <w:rFonts w:asciiTheme="majorHAnsi" w:hAnsiTheme="majorHAnsi" w:cstheme="majorHAnsi"/>
                <w:b/>
                <w:color w:val="000000"/>
              </w:rPr>
            </w:pPr>
            <w:r>
              <w:rPr>
                <w:rFonts w:eastAsia="Times New Roman" w:asciiTheme="majorHAnsi" w:hAnsiTheme="majorHAnsi" w:cstheme="majorHAnsi"/>
                <w:b/>
                <w:color w:val="000000"/>
              </w:rPr>
              <w:t> </w:t>
            </w:r>
          </w:p>
        </w:tc>
        <w:tc>
          <w:tcPr>
            <w:tcW w:w="766" w:type="pct"/>
            <w:tcBorders>
              <w:top w:val="nil"/>
              <w:left w:val="nil"/>
              <w:bottom w:val="single" w:color="000000" w:sz="4" w:space="0"/>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653</w:t>
            </w:r>
          </w:p>
        </w:tc>
        <w:tc>
          <w:tcPr>
            <w:tcW w:w="132" w:type="pct"/>
            <w:tcBorders>
              <w:top w:val="nil"/>
              <w:left w:val="nil"/>
              <w:bottom w:val="nil"/>
              <w:right w:val="nil"/>
              <w:tl2br w:val="nil"/>
              <w:tr2bl w:val="nil"/>
            </w:tcBorders>
            <w:shd w:val="clear" w:color="auto" w:fill="CCEEFF"/>
            <w:noWrap/>
            <w:vAlign w:val="bottom"/>
          </w:tcPr>
          <w:p w:rsidR="009534E2" w:rsidRDefault="003369EB">
            <w:pPr>
              <w:spacing w:after="1"/>
              <w:jc w:val="right"/>
              <w:rPr>
                <w:rFonts w:asciiTheme="majorHAnsi" w:hAnsiTheme="majorHAnsi" w:cstheme="majorHAnsi"/>
                <w:b/>
                <w:color w:val="000000"/>
              </w:rPr>
            </w:pPr>
            <w:r>
              <w:rPr>
                <w:rFonts w:eastAsia="Times New Roman" w:asciiTheme="majorHAnsi" w:hAnsiTheme="majorHAnsi" w:cstheme="majorHAnsi"/>
                <w:b/>
                <w:color w:val="000000"/>
              </w:rPr>
              <w:t> </w:t>
            </w:r>
          </w:p>
        </w:tc>
        <w:tc>
          <w:tcPr>
            <w:tcW w:w="766" w:type="pct"/>
            <w:tcBorders>
              <w:top w:val="nil"/>
              <w:left w:val="nil"/>
              <w:bottom w:val="single" w:color="000000" w:sz="4" w:space="0"/>
              <w:right w:val="nil"/>
              <w:tl2br w:val="nil"/>
              <w:tr2bl w:val="nil"/>
            </w:tcBorders>
            <w:shd w:val="clear" w:color="auto" w:fill="CCEEFF"/>
            <w:noWrap/>
            <w:vAlign w:val="bottom"/>
          </w:tcPr>
          <w:p w:rsidR="009534E2" w:rsidRDefault="003369EB">
            <w:pPr>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642</w:t>
            </w:r>
          </w:p>
        </w:tc>
      </w:tr>
      <w:tr w:rsidR="009534E2">
        <w:tc>
          <w:tcPr>
            <w:tcW w:w="3204" w:type="pct"/>
            <w:tcBorders>
              <w:top w:val="nil"/>
              <w:left w:val="nil"/>
              <w:bottom w:val="nil"/>
              <w:right w:val="nil"/>
              <w:tl2br w:val="nil"/>
              <w:tr2bl w:val="nil"/>
            </w:tcBorders>
            <w:vAlign w:val="bottom"/>
          </w:tcPr>
          <w:p w:rsidR="009534E2" w:rsidRDefault="003369EB">
            <w:pPr>
              <w:spacing w:after="1"/>
              <w:ind w:left="120"/>
              <w:rPr>
                <w:rFonts w:asciiTheme="majorHAnsi" w:hAnsiTheme="majorHAnsi" w:cstheme="majorHAnsi"/>
                <w:i/>
                <w:color w:val="000000"/>
              </w:rPr>
            </w:pPr>
            <w:bookmarkStart w:name="_0490f9e2_7116_4bc5_92d5_eda6d5aaac02" w:id="2520"/>
            <w:bookmarkStart w:name="_13106ebf_69c3_442a_a986_968a08780c10" w:colFirst="4" w:colLast="4" w:id="2521"/>
            <w:bookmarkStart w:name="_80ac9737_73bf_472d_a74d_ec5905c9066f" w:colFirst="2" w:colLast="2" w:id="2522"/>
            <w:bookmarkEnd w:id="2517"/>
            <w:bookmarkEnd w:id="2518"/>
            <w:bookmarkEnd w:id="2519"/>
            <w:r>
              <w:rPr>
                <w:rFonts w:eastAsia="Times New Roman" w:asciiTheme="majorHAnsi" w:hAnsiTheme="majorHAnsi" w:cstheme="majorHAnsi"/>
                <w:i/>
                <w:color w:val="000000"/>
              </w:rPr>
              <w:t>Including short-term portion</w:t>
            </w:r>
          </w:p>
        </w:tc>
        <w:tc>
          <w:tcPr>
            <w:tcW w:w="132" w:type="pct"/>
            <w:tcBorders>
              <w:top w:val="nil"/>
              <w:left w:val="nil"/>
              <w:bottom w:val="nil"/>
              <w:right w:val="nil"/>
              <w:tl2br w:val="nil"/>
              <w:tr2bl w:val="nil"/>
            </w:tcBorders>
            <w:noWrap/>
            <w:vAlign w:val="bottom"/>
          </w:tcPr>
          <w:p w:rsidR="009534E2" w:rsidRDefault="003369EB">
            <w:pPr>
              <w:spacing w:after="1"/>
              <w:rPr>
                <w:rFonts w:asciiTheme="majorHAnsi" w:hAnsiTheme="majorHAnsi" w:cstheme="majorHAnsi"/>
                <w:i/>
                <w:color w:val="000000"/>
              </w:rPr>
            </w:pPr>
            <w:r>
              <w:rPr>
                <w:rFonts w:eastAsia="Times New Roman" w:asciiTheme="majorHAnsi" w:hAnsiTheme="majorHAnsi" w:cstheme="majorHAnsi"/>
                <w:i/>
                <w:color w:val="000000"/>
              </w:rPr>
              <w:t> </w:t>
            </w:r>
          </w:p>
        </w:tc>
        <w:tc>
          <w:tcPr>
            <w:tcW w:w="766" w:type="pct"/>
            <w:tcBorders>
              <w:top w:val="nil"/>
              <w:left w:val="nil"/>
              <w:bottom w:val="nil"/>
              <w:right w:val="nil"/>
              <w:tl2br w:val="nil"/>
              <w:tr2bl w:val="nil"/>
            </w:tcBorders>
            <w:noWrap/>
            <w:vAlign w:val="bottom"/>
          </w:tcPr>
          <w:p w:rsidR="009534E2" w:rsidRDefault="003369EB">
            <w:pPr>
              <w:spacing w:after="1"/>
              <w:ind w:right="60"/>
              <w:jc w:val="right"/>
              <w:rPr>
                <w:rFonts w:asciiTheme="majorHAnsi" w:hAnsiTheme="majorHAnsi" w:cstheme="majorHAnsi"/>
                <w:i/>
                <w:color w:val="000000"/>
              </w:rPr>
            </w:pPr>
            <w:r>
              <w:rPr>
                <w:rFonts w:eastAsia="Times New Roman" w:asciiTheme="majorHAnsi" w:hAnsiTheme="majorHAnsi" w:cstheme="majorHAnsi"/>
                <w:i/>
                <w:color w:val="000000"/>
              </w:rPr>
              <w:t xml:space="preserve"> —</w:t>
            </w:r>
          </w:p>
        </w:tc>
        <w:tc>
          <w:tcPr>
            <w:tcW w:w="132" w:type="pct"/>
            <w:tcBorders>
              <w:top w:val="nil"/>
              <w:left w:val="nil"/>
              <w:bottom w:val="nil"/>
              <w:right w:val="nil"/>
              <w:tl2br w:val="nil"/>
              <w:tr2bl w:val="nil"/>
            </w:tcBorders>
            <w:noWrap/>
            <w:vAlign w:val="bottom"/>
          </w:tcPr>
          <w:p w:rsidR="009534E2" w:rsidRDefault="003369EB">
            <w:pPr>
              <w:spacing w:after="1"/>
              <w:jc w:val="right"/>
              <w:rPr>
                <w:rFonts w:asciiTheme="majorHAnsi" w:hAnsiTheme="majorHAnsi" w:cstheme="majorHAnsi"/>
                <w:i/>
                <w:color w:val="000000"/>
              </w:rPr>
            </w:pPr>
            <w:r>
              <w:rPr>
                <w:rFonts w:eastAsia="Times New Roman" w:asciiTheme="majorHAnsi" w:hAnsiTheme="majorHAnsi" w:cstheme="majorHAnsi"/>
                <w:i/>
                <w:color w:val="000000"/>
              </w:rPr>
              <w:t> </w:t>
            </w:r>
          </w:p>
        </w:tc>
        <w:tc>
          <w:tcPr>
            <w:tcW w:w="766" w:type="pct"/>
            <w:tcBorders>
              <w:top w:val="nil"/>
              <w:left w:val="nil"/>
              <w:bottom w:val="nil"/>
              <w:right w:val="nil"/>
              <w:tl2br w:val="nil"/>
              <w:tr2bl w:val="nil"/>
            </w:tcBorders>
            <w:noWrap/>
            <w:vAlign w:val="bottom"/>
          </w:tcPr>
          <w:p w:rsidR="009534E2" w:rsidRDefault="003369EB">
            <w:pPr>
              <w:spacing w:after="1"/>
              <w:ind w:right="60"/>
              <w:jc w:val="right"/>
              <w:rPr>
                <w:rFonts w:asciiTheme="majorHAnsi" w:hAnsiTheme="majorHAnsi" w:cstheme="majorHAnsi"/>
                <w:i/>
                <w:color w:val="000000"/>
              </w:rPr>
            </w:pPr>
            <w:r>
              <w:rPr>
                <w:rFonts w:eastAsia="Times New Roman" w:asciiTheme="majorHAnsi" w:hAnsiTheme="majorHAnsi" w:cstheme="majorHAnsi"/>
                <w:i/>
                <w:color w:val="000000"/>
              </w:rPr>
              <w:t xml:space="preserve"> 308</w:t>
            </w:r>
          </w:p>
        </w:tc>
      </w:tr>
      <w:bookmarkEnd w:id="2458"/>
      <w:bookmarkEnd w:id="2496"/>
      <w:bookmarkEnd w:id="2520"/>
      <w:bookmarkEnd w:id="2521"/>
      <w:bookmarkEnd w:id="2522"/>
    </w:tbl>
    <w:p w:rsidR="009534E2" w:rsidRDefault="009534E2">
      <w:pPr>
        <w:pStyle w:val="BodyText"/>
        <w:spacing w:after="0"/>
        <w:rPr>
          <w:rFonts w:eastAsia="Times New Roman" w:asciiTheme="majorHAnsi" w:hAnsiTheme="majorHAnsi" w:cstheme="majorHAnsi"/>
          <w:lang w:eastAsia="ru-RU"/>
        </w:rPr>
      </w:pPr>
    </w:p>
    <w:p w:rsidR="009534E2" w:rsidRDefault="003369EB">
      <w:pPr>
        <w:pStyle w:val="BodyT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For the amount of rent expense recognized from short-term leases and variable lease payments for year ended December 31, 2022, December 31, 2021 and December 31, 2020 see Note 25.</w:t>
      </w: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bookmarkStart w:name="_d813998f_6f3e_447d_b6ff_9a7e2ffe5ad4" w:displacedByCustomXml="next" w:id="2523"/>
    <w:bookmarkEnd w:displacedByCustomXml="next" w:id="2523"/>
    <w:p w:rsidR="009534E2" w:rsidRDefault="003369EB">
      <w:pPr>
        <w:pStyle w:val="BodyText"/>
        <w:keepNext/>
        <w:keepLines/>
        <w:ind w:left="360" w:hanging="360"/>
        <w:outlineLvl w:val="1"/>
        <w:rPr>
          <w:rFonts w:eastAsia="Times New Roman" w:asciiTheme="majorHAnsi" w:hAnsiTheme="majorHAnsi" w:cstheme="majorHAnsi"/>
          <w:b/>
          <w:lang w:eastAsia="ru-RU"/>
        </w:rPr>
      </w:pPr>
      <w:r>
        <w:rPr>
          <w:rFonts w:eastAsia="Times New Roman" w:asciiTheme="majorHAnsi" w:hAnsiTheme="majorHAnsi" w:cstheme="majorHAnsi"/>
          <w:b/>
          <w:lang w:eastAsia="ru-RU"/>
        </w:rPr>
        <w:t>23.</w:t>
      </w:r>
      <w:r>
        <w:rPr>
          <w:rFonts w:eastAsia="Times New Roman" w:asciiTheme="majorHAnsi" w:hAnsiTheme="majorHAnsi" w:cstheme="majorHAnsi"/>
          <w:b/>
          <w:lang w:eastAsia="ru-RU"/>
        </w:rPr>
        <w:tab/>
        <w:t>Revenue</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Other revenue for the years ended December 31 was as follows:</w:t>
      </w:r>
    </w:p>
    <w:p w:rsidR="009534E2" w:rsidRDefault="009534E2">
      <w:pPr>
        <w:pStyle w:val="BodyText"/>
        <w:keepNext/>
        <w:spacing w:after="0"/>
        <w:rPr>
          <w:rFonts w:eastAsia="Times New Roman" w:asciiTheme="majorHAnsi" w:hAnsiTheme="majorHAnsi" w:cstheme="majorHAnsi"/>
          <w:lang w:eastAsia="ru-RU"/>
        </w:rPr>
      </w:pPr>
      <w:bookmarkStart w:name="_ed3e9bbc_f240_4201_9f8b_ecd4bbd08860" w:id="2524"/>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009534E2">
        <w:trPr>
          <w:trHeight w:val="20" w:hRule="exact"/>
          <w:jc w:val="center"/>
        </w:trPr>
        <w:tc>
          <w:tcPr>
            <w:tcW w:w="3401"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a6e15533_e4f4_4571_95f9_a938adf47da0" w:id="2525"/>
            <w:bookmarkStart w:name="_c044b5fb_7de5_422f_96c0_69f01bd5efee" w:colFirst="0" w:colLast="0" w:id="2526"/>
            <w:bookmarkStart w:name="_16953919_b83f_4a50_b691_20230259ed81" w:colFirst="1" w:colLast="1" w:id="2527"/>
            <w:bookmarkStart w:name="_90842b71_6e3c_40c6_8279_8da6e6a7f45b" w:colFirst="2" w:colLast="2" w:id="2528"/>
            <w:bookmarkStart w:name="_6a20d7dc_f106_48e9_b796_81be4db07036" w:colFirst="3" w:colLast="3" w:id="2529"/>
            <w:bookmarkStart w:name="_519b0930_df56_47b0_bf38_88555ba86a15" w:colFirst="4" w:colLast="4" w:id="2530"/>
            <w:bookmarkStart w:name="_745f1124_2ca6_488f_858c_bb28a621ecf6" w:colFirst="5" w:colLast="5" w:id="2531"/>
            <w:bookmarkStart w:name="_8216f872_3697_4072_9ca1_072b3d8e096e" w:colFirst="6" w:colLast="6" w:id="2532"/>
            <w:bookmarkStart w:name="_9c8e94b0_5b19_4ce6_b574_283d2e7aa364" w:id="2533"/>
            <w:bookmarkEnd w:id="2525"/>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3401"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4decde63_1478_4862_ad84_dead98fd0ba5" w:id="2534"/>
            <w:bookmarkEnd w:id="2526"/>
            <w:bookmarkEnd w:id="2527"/>
            <w:bookmarkEnd w:id="2528"/>
            <w:bookmarkEnd w:id="2529"/>
            <w:bookmarkEnd w:id="2530"/>
            <w:bookmarkEnd w:id="2531"/>
            <w:bookmarkEnd w:id="2532"/>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401" w:type="pct"/>
            <w:tcBorders>
              <w:top w:val="nil"/>
              <w:left w:val="nil"/>
              <w:bottom w:val="nil"/>
              <w:right w:val="nil"/>
              <w:tl2br w:val="nil"/>
              <w:tr2bl w:val="nil"/>
            </w:tcBorders>
            <w:shd w:val="clear" w:color="auto" w:fill="CCEEFF"/>
            <w:noWrap/>
            <w:vAlign w:val="bottom"/>
          </w:tcPr>
          <w:p w:rsidR="009534E2" w:rsidRDefault="003369EB">
            <w:pPr>
              <w:keepNext/>
              <w:ind w:left="120"/>
              <w:rPr>
                <w:rFonts w:asciiTheme="majorHAnsi" w:hAnsiTheme="majorHAnsi" w:cstheme="majorHAnsi"/>
                <w:color w:val="000000"/>
              </w:rPr>
            </w:pPr>
            <w:bookmarkStart w:name="_b7c8eeeb_29b2_460d_89a9_234d911bdd60" w:id="2535"/>
            <w:bookmarkEnd w:id="2534"/>
            <w:r>
              <w:rPr>
                <w:rFonts w:eastAsia="Times New Roman" w:asciiTheme="majorHAnsi" w:hAnsiTheme="majorHAnsi" w:cstheme="majorHAnsi"/>
                <w:color w:val="000000"/>
              </w:rPr>
              <w:t>Platform and marketing services related fees</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794</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958</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2,055</w:t>
            </w:r>
          </w:p>
        </w:tc>
      </w:tr>
      <w:tr w:rsidR="009534E2">
        <w:trPr>
          <w:jc w:val="center"/>
        </w:trPr>
        <w:tc>
          <w:tcPr>
            <w:tcW w:w="3401" w:type="pct"/>
            <w:tcBorders>
              <w:top w:val="nil"/>
              <w:left w:val="nil"/>
              <w:bottom w:val="nil"/>
              <w:right w:val="nil"/>
              <w:tl2br w:val="nil"/>
              <w:tr2bl w:val="nil"/>
            </w:tcBorders>
            <w:noWrap/>
            <w:vAlign w:val="bottom"/>
          </w:tcPr>
          <w:p w:rsidR="009534E2" w:rsidRDefault="003369EB">
            <w:pPr>
              <w:keepNext/>
              <w:ind w:left="120"/>
              <w:rPr>
                <w:rFonts w:asciiTheme="majorHAnsi" w:hAnsiTheme="majorHAnsi" w:cstheme="majorHAnsi"/>
                <w:color w:val="000000"/>
              </w:rPr>
            </w:pPr>
            <w:bookmarkStart w:name="_4442675c_8041_4e11_b6fe_ed634791da28" w:id="2536"/>
            <w:bookmarkEnd w:id="2535"/>
            <w:r>
              <w:rPr>
                <w:rFonts w:eastAsia="Times New Roman" w:asciiTheme="majorHAnsi" w:hAnsiTheme="majorHAnsi" w:cstheme="majorHAnsi"/>
                <w:color w:val="000000"/>
              </w:rPr>
              <w:t>Fees for guarantees issued</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440</w:t>
            </w:r>
          </w:p>
        </w:tc>
        <w:tc>
          <w:tcPr>
            <w:tcW w:w="108"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723</w:t>
            </w:r>
          </w:p>
        </w:tc>
        <w:tc>
          <w:tcPr>
            <w:tcW w:w="108"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1,523</w:t>
            </w:r>
          </w:p>
        </w:tc>
      </w:tr>
      <w:tr w:rsidR="009534E2">
        <w:trPr>
          <w:jc w:val="center"/>
        </w:trPr>
        <w:tc>
          <w:tcPr>
            <w:tcW w:w="3401" w:type="pct"/>
            <w:tcBorders>
              <w:top w:val="nil"/>
              <w:left w:val="nil"/>
              <w:bottom w:val="nil"/>
              <w:right w:val="nil"/>
              <w:tl2br w:val="nil"/>
              <w:tr2bl w:val="nil"/>
            </w:tcBorders>
            <w:shd w:val="clear" w:color="auto" w:fill="CCEEFF"/>
            <w:noWrap/>
            <w:vAlign w:val="bottom"/>
          </w:tcPr>
          <w:p w:rsidR="009534E2" w:rsidRDefault="003369EB">
            <w:pPr>
              <w:keepNext/>
              <w:ind w:left="120"/>
              <w:rPr>
                <w:rFonts w:asciiTheme="majorHAnsi" w:hAnsiTheme="majorHAnsi" w:cstheme="majorHAnsi"/>
                <w:color w:val="000000"/>
              </w:rPr>
            </w:pPr>
            <w:bookmarkStart w:name="_a4f2407d_34a6_46d6_a0c5_d52355528dbe" w:id="2537"/>
            <w:bookmarkEnd w:id="2536"/>
            <w:r>
              <w:rPr>
                <w:rFonts w:eastAsia="Times New Roman" w:asciiTheme="majorHAnsi" w:hAnsiTheme="majorHAnsi" w:cstheme="majorHAnsi"/>
                <w:color w:val="000000"/>
              </w:rPr>
              <w:t>Cash and settlement service fees</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512</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500</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1,378</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704ce31e_8fed_414a_bdb9_db886bb1bba5" w:id="2538"/>
            <w:bookmarkEnd w:id="2537"/>
            <w:r>
              <w:rPr>
                <w:rFonts w:eastAsia="Times New Roman" w:asciiTheme="majorHAnsi" w:hAnsiTheme="majorHAnsi" w:cstheme="majorHAnsi"/>
                <w:color w:val="000000"/>
              </w:rPr>
              <w:t>Other revenue</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208</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333</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407</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90e21a43_2feb_416f_9965_95cc0b83d01b" w:id="2539"/>
            <w:bookmarkEnd w:id="2538"/>
            <w:r>
              <w:rPr>
                <w:rFonts w:eastAsia="Times New Roman" w:asciiTheme="majorHAnsi" w:hAnsiTheme="majorHAnsi" w:cstheme="majorHAnsi"/>
                <w:b/>
                <w:color w:val="000000"/>
              </w:rPr>
              <w:t>Total other revenue</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1,954</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2,514</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5,363</w:t>
            </w:r>
          </w:p>
        </w:tc>
      </w:tr>
      <w:bookmarkEnd w:id="2524"/>
      <w:bookmarkEnd w:id="2533"/>
      <w:bookmarkEnd w:id="2539"/>
    </w:tbl>
    <w:p w:rsidR="009534E2" w:rsidRDefault="009534E2">
      <w:pPr>
        <w:rPr>
          <w:rFonts w:asciiTheme="majorHAnsi" w:hAnsiTheme="majorHAnsi" w:cstheme="majorHAnsi"/>
        </w:rPr>
      </w:pP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For the purposes of consolidated cash flow statement, “Interest income, net” includes both continued and discontinued operations and consists of the following:</w:t>
      </w:r>
    </w:p>
    <w:p w:rsidR="009534E2" w:rsidRDefault="009534E2">
      <w:pPr>
        <w:pStyle w:val="BodyText"/>
        <w:keepNext/>
        <w:spacing w:after="0"/>
        <w:rPr>
          <w:rFonts w:eastAsia="Times New Roman" w:asciiTheme="majorHAnsi" w:hAnsiTheme="majorHAnsi" w:cstheme="majorHAnsi"/>
          <w:lang w:eastAsia="ru-RU"/>
        </w:rPr>
      </w:pPr>
      <w:bookmarkStart w:name="_a672ac7c_f9ab_40f4_a28d_6f2213f28e1b" w:id="2540"/>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009534E2">
        <w:trPr>
          <w:trHeight w:val="20" w:hRule="exact"/>
          <w:jc w:val="center"/>
        </w:trPr>
        <w:tc>
          <w:tcPr>
            <w:tcW w:w="3401"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b3588ccc_d16e_427e_bd94_22b425fe69bd" w:colFirst="0" w:colLast="0" w:id="2541"/>
            <w:bookmarkStart w:name="_ae7714a8_da0b_4d69_a3fd_236b5d384c93" w:colFirst="1" w:colLast="1" w:id="2542"/>
            <w:bookmarkStart w:name="_70301765_a51b_4391_8ecb_e65cf2050255" w:colFirst="2" w:colLast="2" w:id="2543"/>
            <w:bookmarkStart w:name="_8994b66b_1bfd_4140_a922_3f5e0b5b13a4" w:colFirst="3" w:colLast="3" w:id="2544"/>
            <w:bookmarkStart w:name="_ccfba4ea_33bb_4c5b_9042_f882c0379254" w:colFirst="4" w:colLast="4" w:id="2545"/>
            <w:bookmarkStart w:name="_74fb3c02_f69b_4c21_8742_f2a0577504e2" w:colFirst="5" w:colLast="5" w:id="2546"/>
            <w:bookmarkStart w:name="_7a7c1935_6d30_4660_b8b5_f6675112ca50" w:colFirst="6" w:colLast="6" w:id="2547"/>
            <w:bookmarkStart w:name="_d8f0af92_2755_40ce_b7a7_d513ad463499" w:id="2548"/>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3401"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a665b5a4_6873_4e55_8d99_c93b02edc2b6" w:id="2549"/>
            <w:bookmarkEnd w:id="2541"/>
            <w:bookmarkEnd w:id="2542"/>
            <w:bookmarkEnd w:id="2543"/>
            <w:bookmarkEnd w:id="2544"/>
            <w:bookmarkEnd w:id="2545"/>
            <w:bookmarkEnd w:id="2546"/>
            <w:bookmarkEnd w:id="2547"/>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ab49b1e7_be5d_48c6_8378_f13dd60810f3" w:id="2550"/>
            <w:bookmarkEnd w:id="2549"/>
            <w:r>
              <w:rPr>
                <w:rFonts w:eastAsia="Times New Roman" w:asciiTheme="majorHAnsi" w:hAnsiTheme="majorHAnsi" w:cstheme="majorHAnsi"/>
                <w:color w:val="000000"/>
              </w:rPr>
              <w:t>Interest revenue calculated using the effective interest rate</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(2,390)</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(3,453)</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(6,764)</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00542a5b_2f63_4e06_9258_8c4743068a2d" w:id="2551"/>
            <w:bookmarkEnd w:id="2550"/>
            <w:r>
              <w:rPr>
                <w:rFonts w:eastAsia="Times New Roman" w:asciiTheme="majorHAnsi" w:hAnsiTheme="majorHAnsi" w:cstheme="majorHAnsi"/>
                <w:color w:val="000000"/>
              </w:rPr>
              <w:t>Interest expense classified as part of cost of revenue</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288</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505</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454</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e8e57387_2e3d_4612_9f9c_a474dadd0d07" w:id="2552"/>
            <w:bookmarkEnd w:id="2551"/>
            <w:r>
              <w:rPr>
                <w:rFonts w:eastAsia="Times New Roman" w:asciiTheme="majorHAnsi" w:hAnsiTheme="majorHAnsi" w:cstheme="majorHAnsi"/>
                <w:color w:val="000000"/>
              </w:rPr>
              <w:t>Interest income and expenses from non-banking loans, net, classified separately in the consolidated statement of comprehensive income</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68</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(92)</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(58)</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303572db_9cce_4ee5_9d72_0a9706fc07b1" w:id="2553"/>
            <w:bookmarkEnd w:id="2552"/>
            <w:r>
              <w:rPr>
                <w:rFonts w:eastAsia="Times New Roman" w:asciiTheme="majorHAnsi" w:hAnsiTheme="majorHAnsi" w:cstheme="majorHAnsi"/>
                <w:color w:val="000000"/>
              </w:rPr>
              <w:t>Interest income and expenses related to discontinued operations</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single" w:color="000000" w:sz="4" w:space="0"/>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(659)</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single" w:color="000000" w:sz="4" w:space="0"/>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ac0ae9c0_a420_400e_beaf_070cd9fb5e22" w:id="2554"/>
            <w:bookmarkEnd w:id="2553"/>
            <w:r>
              <w:rPr>
                <w:rFonts w:eastAsia="Times New Roman" w:asciiTheme="majorHAnsi" w:hAnsiTheme="majorHAnsi" w:cstheme="majorHAnsi"/>
                <w:b/>
                <w:color w:val="000000"/>
              </w:rPr>
              <w:t>Interest income, net, for the purposes of consolidated cash flow statement</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(2,693)</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(3,040)</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(6,368)</w:t>
            </w:r>
          </w:p>
        </w:tc>
      </w:tr>
    </w:tbl>
    <w:p w:rsidR="009534E2" w:rsidRDefault="00EC0AE1">
      <w:pPr>
        <w:rPr>
          <w:rFonts w:asciiTheme="majorHAnsi" w:hAnsiTheme="majorHAnsi" w:cstheme="majorHAnsi"/>
          <w:sz w:val="2"/>
        </w:rPr>
      </w:pPr>
    </w:p>
    <w:bookmarkEnd w:displacedByCustomXml="next" w:id="2554"/>
    <w:bookmarkEnd w:displacedByCustomXml="next" w:id="2548"/>
    <w:bookmarkEnd w:displacedByCustomXml="next" w:id="2540"/>
    <w:p w:rsidR="009534E2" w:rsidRDefault="009534E2">
      <w:pPr>
        <w:rPr>
          <w:rFonts w:asciiTheme="majorHAnsi" w:hAnsiTheme="majorHAnsi" w:cstheme="majorHAnsi"/>
        </w:rPr>
      </w:pPr>
      <w:bookmarkStart w:name="_0d3ff275_814a_4313_ab07_d0d1cc8c9ede" w:id="2555"/>
      <w:bookmarkEnd w:id="2555"/>
    </w:p>
    <w:p w:rsidR="009534E2" w:rsidRDefault="003369EB">
      <w:pPr>
        <w:pStyle w:val="Heading1"/>
        <w:ind w:left="360" w:hanging="360"/>
        <w:rPr>
          <w:rFonts w:eastAsiaTheme="minorHAnsi"/>
          <w:b w:val="0"/>
          <w:szCs w:val="20"/>
          <w:lang w:eastAsia="ru-RU"/>
        </w:rPr>
      </w:pPr>
      <w:r>
        <w:rPr>
          <w:lang w:eastAsia="ru-RU"/>
        </w:rPr>
        <w:t>24.</w:t>
      </w:r>
      <w:r>
        <w:rPr>
          <w:lang w:eastAsia="ru-RU"/>
        </w:rPr>
        <w:tab/>
        <w:t xml:space="preserve">Cost of revenue </w:t>
      </w:r>
    </w:p>
    <w:p w:rsidR="009534E2" w:rsidRDefault="003369EB">
      <w:pPr>
        <w:pStyle w:val="BodyText"/>
        <w:keepNext/>
        <w:keepLines/>
        <w:spacing w:after="0"/>
        <w:rPr>
          <w:rFonts w:eastAsia="Times New Roman" w:asciiTheme="majorHAnsi" w:hAnsiTheme="majorHAnsi" w:cstheme="majorHAnsi"/>
          <w:lang w:eastAsia="ru-RU"/>
        </w:rPr>
      </w:pPr>
      <w:bookmarkStart w:name="_316c4668_452b_4c7f_b403_898fa1bff5d7" w:id="2556"/>
      <w:r>
        <w:rPr>
          <w:rFonts w:eastAsia="Times New Roman" w:asciiTheme="majorHAnsi" w:hAnsiTheme="majorHAnsi" w:cstheme="majorHAnsi"/>
          <w:lang w:eastAsia="ru-RU"/>
        </w:rPr>
        <w:t>Cost of revenue for the years ended December 31 was as follows:</w:t>
      </w:r>
    </w:p>
    <w:p w:rsidR="009534E2" w:rsidRDefault="009534E2">
      <w:pPr>
        <w:pStyle w:val="BodyText"/>
        <w:keepNext/>
        <w:keepLines/>
        <w:spacing w:after="0"/>
        <w:rPr>
          <w:rFonts w:eastAsia="Times New Roman" w:asciiTheme="majorHAnsi" w:hAnsiTheme="majorHAnsi" w:cstheme="majorHAnsi"/>
          <w:lang w:eastAsia="ru-RU"/>
        </w:rPr>
      </w:pPr>
      <w:bookmarkStart w:name="_3a44f82d_78d9_40d2_ae9d_397040d26ee7" w:id="2557"/>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009534E2">
        <w:trPr>
          <w:trHeight w:val="20" w:hRule="exact"/>
          <w:jc w:val="center"/>
        </w:trPr>
        <w:tc>
          <w:tcPr>
            <w:tcW w:w="3401" w:type="pct"/>
            <w:tcBorders>
              <w:top w:val="nil"/>
              <w:left w:val="nil"/>
              <w:bottom w:val="nil"/>
              <w:right w:val="nil"/>
            </w:tcBorders>
            <w:vAlign w:val="bottom"/>
          </w:tcPr>
          <w:p w:rsidR="009534E2" w:rsidRDefault="009534E2">
            <w:pPr>
              <w:keepNext/>
              <w:keepLines/>
              <w:rPr>
                <w:rFonts w:asciiTheme="majorHAnsi" w:hAnsiTheme="majorHAnsi" w:cstheme="majorHAnsi"/>
                <w:sz w:val="2"/>
              </w:rPr>
            </w:pPr>
            <w:bookmarkStart w:name="_9d935e0e_7ec7_445a_943a_e6315e294f77" w:colFirst="0" w:colLast="0" w:id="2558"/>
            <w:bookmarkStart w:name="_1de112cf_6f8c_43cb_8ea1_ac0f856e725d" w:colFirst="1" w:colLast="1" w:id="2559"/>
            <w:bookmarkStart w:name="_982ea7e4_d7aa_4c13_bbe8_56e5e806cc19" w:colFirst="2" w:colLast="2" w:id="2560"/>
            <w:bookmarkStart w:name="_480a819d_0968_450d_b787_4b399858644e" w:colFirst="3" w:colLast="3" w:id="2561"/>
            <w:bookmarkStart w:name="_777c215b_9cde_48d4_9ba9_394131bd5cfc" w:colFirst="4" w:colLast="4" w:id="2562"/>
            <w:bookmarkStart w:name="_176d16e5_b0c2_4cfe_a212_c15d1b184492" w:colFirst="5" w:colLast="5" w:id="2563"/>
            <w:bookmarkStart w:name="_ee84ac81_af19_4c2a_8c93_5909095644ec" w:colFirst="6" w:colLast="6" w:id="2564"/>
            <w:bookmarkStart w:name="_a0d112b7_22ca_4abd_aa34_7029f423517b" w:id="2565"/>
          </w:p>
        </w:tc>
        <w:tc>
          <w:tcPr>
            <w:tcW w:w="108"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r>
      <w:tr w:rsidR="009534E2">
        <w:trPr>
          <w:jc w:val="center"/>
        </w:trPr>
        <w:tc>
          <w:tcPr>
            <w:tcW w:w="3401" w:type="pct"/>
            <w:tcBorders>
              <w:top w:val="nil"/>
              <w:left w:val="nil"/>
              <w:bottom w:val="nil"/>
              <w:right w:val="nil"/>
              <w:tl2br w:val="nil"/>
              <w:tr2bl w:val="nil"/>
            </w:tcBorders>
            <w:shd w:val="clear" w:color="auto" w:fill="auto"/>
            <w:vAlign w:val="bottom"/>
          </w:tcPr>
          <w:p w:rsidR="009534E2" w:rsidRDefault="009534E2">
            <w:pPr>
              <w:keepNext/>
              <w:keepLines/>
              <w:rPr>
                <w:rFonts w:asciiTheme="majorHAnsi" w:hAnsiTheme="majorHAnsi" w:cstheme="majorHAnsi"/>
                <w:b/>
                <w:color w:val="000000"/>
                <w:sz w:val="16"/>
              </w:rPr>
            </w:pPr>
            <w:bookmarkStart w:name="_ec13d5e5_e225_4403_85d1_8334bf333db8" w:id="2566"/>
            <w:bookmarkEnd w:id="2558"/>
            <w:bookmarkEnd w:id="2559"/>
            <w:bookmarkEnd w:id="2560"/>
            <w:bookmarkEnd w:id="2561"/>
            <w:bookmarkEnd w:id="2562"/>
            <w:bookmarkEnd w:id="2563"/>
            <w:bookmarkEnd w:id="2564"/>
          </w:p>
        </w:tc>
        <w:tc>
          <w:tcPr>
            <w:tcW w:w="108" w:type="pct"/>
            <w:tcBorders>
              <w:top w:val="nil"/>
              <w:left w:val="nil"/>
              <w:bottom w:val="nil"/>
              <w:right w:val="nil"/>
              <w:tl2br w:val="nil"/>
              <w:tr2bl w:val="nil"/>
            </w:tcBorders>
            <w:shd w:val="clear" w:color="auto" w:fill="auto"/>
            <w:noWrap/>
            <w:vAlign w:val="bottom"/>
          </w:tcPr>
          <w:p w:rsidR="009534E2" w:rsidRDefault="003369EB">
            <w:pPr>
              <w:keepNext/>
              <w:keepLines/>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08" w:type="pct"/>
            <w:tcBorders>
              <w:top w:val="nil"/>
              <w:left w:val="nil"/>
              <w:bottom w:val="nil"/>
              <w:right w:val="nil"/>
              <w:tl2br w:val="nil"/>
              <w:tr2bl w:val="nil"/>
            </w:tcBorders>
            <w:shd w:val="clear" w:color="auto" w:fill="auto"/>
            <w:noWrap/>
            <w:vAlign w:val="bottom"/>
          </w:tcPr>
          <w:p w:rsidR="009534E2" w:rsidRDefault="003369EB">
            <w:pPr>
              <w:keepNext/>
              <w:keepLines/>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08" w:type="pct"/>
            <w:tcBorders>
              <w:top w:val="nil"/>
              <w:left w:val="nil"/>
              <w:bottom w:val="nil"/>
              <w:right w:val="nil"/>
              <w:tl2br w:val="nil"/>
              <w:tr2bl w:val="nil"/>
            </w:tcBorders>
            <w:shd w:val="clear" w:color="auto" w:fill="auto"/>
            <w:noWrap/>
            <w:vAlign w:val="bottom"/>
          </w:tcPr>
          <w:p w:rsidR="009534E2" w:rsidRDefault="003369EB">
            <w:pPr>
              <w:keepNext/>
              <w:keepLines/>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keepLines/>
              <w:ind w:left="120"/>
              <w:rPr>
                <w:rFonts w:asciiTheme="majorHAnsi" w:hAnsiTheme="majorHAnsi" w:cstheme="majorHAnsi"/>
                <w:color w:val="000000"/>
              </w:rPr>
            </w:pPr>
            <w:bookmarkStart w:name="_f5c4dedc_d185_4313_bad8_13a3cd551104" w:id="2567"/>
            <w:bookmarkEnd w:id="2566"/>
            <w:r>
              <w:rPr>
                <w:rFonts w:eastAsia="Times New Roman" w:asciiTheme="majorHAnsi" w:hAnsiTheme="majorHAnsi" w:cstheme="majorHAnsi"/>
                <w:color w:val="000000"/>
              </w:rPr>
              <w:t>Transaction costs</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keepLines/>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14,777</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15,892</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14,119</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keepLines/>
              <w:ind w:left="120"/>
              <w:rPr>
                <w:rFonts w:asciiTheme="majorHAnsi" w:hAnsiTheme="majorHAnsi" w:cstheme="majorHAnsi"/>
                <w:color w:val="000000"/>
              </w:rPr>
            </w:pPr>
            <w:bookmarkStart w:name="_b5a8b5c5_0f84_4eb0_90ad_2bbeedb4181a" w:id="2568"/>
            <w:bookmarkEnd w:id="2567"/>
            <w:r>
              <w:rPr>
                <w:rFonts w:eastAsia="Times New Roman" w:asciiTheme="majorHAnsi" w:hAnsiTheme="majorHAnsi" w:cstheme="majorHAnsi"/>
                <w:color w:val="000000"/>
              </w:rPr>
              <w:t>Platform and marketing services related expenses</w:t>
            </w:r>
          </w:p>
        </w:tc>
        <w:tc>
          <w:tcPr>
            <w:tcW w:w="108"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114</w:t>
            </w:r>
          </w:p>
        </w:tc>
        <w:tc>
          <w:tcPr>
            <w:tcW w:w="108" w:type="pct"/>
            <w:tcBorders>
              <w:top w:val="nil"/>
              <w:left w:val="nil"/>
              <w:bottom w:val="nil"/>
              <w:right w:val="nil"/>
              <w:tl2br w:val="nil"/>
              <w:tr2bl w:val="nil"/>
            </w:tcBorders>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1,035</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be57b2de_5a3f_48a5_86fa_4dbb8501d214" w:id="2569"/>
            <w:bookmarkEnd w:id="2568"/>
            <w:r>
              <w:rPr>
                <w:rFonts w:eastAsia="Times New Roman" w:asciiTheme="majorHAnsi" w:hAnsiTheme="majorHAnsi" w:cstheme="majorHAnsi"/>
                <w:color w:val="000000"/>
              </w:rPr>
              <w:t>Guarantees issued related expenses</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247</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380</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725</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ba4257ea_06fa_4747_b9da_6ce05c42ded0" w:id="2570"/>
            <w:bookmarkEnd w:id="2569"/>
            <w:r>
              <w:rPr>
                <w:rFonts w:eastAsia="Times New Roman" w:asciiTheme="majorHAnsi" w:hAnsiTheme="majorHAnsi" w:cstheme="majorHAnsi"/>
                <w:color w:val="000000"/>
              </w:rPr>
              <w:t>Interest expense</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288</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505</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454</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97ddbfe0_1287_43d3_acd0_cb3a7ec484ee" w:id="2571"/>
            <w:bookmarkEnd w:id="2570"/>
            <w:r>
              <w:rPr>
                <w:rFonts w:eastAsia="Times New Roman" w:asciiTheme="majorHAnsi" w:hAnsiTheme="majorHAnsi" w:cstheme="majorHAnsi"/>
                <w:color w:val="000000"/>
              </w:rPr>
              <w:t>Other expenses</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1,182</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1,131</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1,032</w:t>
            </w:r>
          </w:p>
        </w:tc>
      </w:tr>
      <w:tr w:rsidR="009534E2">
        <w:trPr>
          <w:jc w:val="center"/>
        </w:trPr>
        <w:tc>
          <w:tcPr>
            <w:tcW w:w="340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bookmarkStart w:name="_5d93e40d_52d2_480e_8104_2b8dfd74ac7d" w:id="2572"/>
            <w:bookmarkEnd w:id="2571"/>
            <w:r>
              <w:rPr>
                <w:rFonts w:eastAsia="Times New Roman" w:asciiTheme="majorHAnsi" w:hAnsiTheme="majorHAnsi" w:cstheme="majorHAnsi"/>
                <w:b/>
                <w:color w:val="000000"/>
              </w:rPr>
              <w:t xml:space="preserve">Total cost of revenue </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doub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16,494</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doub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18,022</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doub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17,365</w:t>
            </w:r>
          </w:p>
        </w:tc>
      </w:tr>
    </w:tbl>
    <w:p w:rsidR="009534E2" w:rsidRDefault="00EC0AE1">
      <w:pPr>
        <w:rPr>
          <w:rFonts w:asciiTheme="majorHAnsi" w:hAnsiTheme="majorHAnsi" w:cstheme="majorHAnsi"/>
          <w:sz w:val="2"/>
        </w:rPr>
      </w:pPr>
    </w:p>
    <w:bookmarkEnd w:displacedByCustomXml="next" w:id="2572"/>
    <w:bookmarkEnd w:displacedByCustomXml="next" w:id="2565"/>
    <w:bookmarkEnd w:displacedByCustomXml="next" w:id="2557"/>
    <w:bookmarkEnd w:displacedByCustomXml="next" w:id="2556"/>
    <w:p w:rsidR="009534E2" w:rsidRDefault="009534E2">
      <w:pPr>
        <w:rPr>
          <w:rFonts w:asciiTheme="majorHAnsi" w:hAnsiTheme="majorHAnsi" w:cstheme="majorHAnsi"/>
        </w:rPr>
      </w:pPr>
    </w:p>
    <w:bookmarkStart w:name="_6300dc1c_46b3_4daf_8cc2_6270ccaab9e9" w:displacedByCustomXml="next" w:id="2573"/>
    <w:bookmarkEnd w:displacedByCustomXml="next" w:id="2573"/>
    <w:p w:rsidR="009534E2" w:rsidRDefault="003369EB">
      <w:pPr>
        <w:pStyle w:val="Heading1"/>
        <w:ind w:left="360" w:hanging="360"/>
        <w:rPr>
          <w:lang w:eastAsia="ru-RU"/>
        </w:rPr>
      </w:pPr>
      <w:r>
        <w:rPr>
          <w:lang w:eastAsia="ru-RU"/>
        </w:rPr>
        <w:t>25.</w:t>
      </w:r>
      <w:r>
        <w:rPr>
          <w:lang w:eastAsia="ru-RU"/>
        </w:rPr>
        <w:tab/>
        <w:t>Selling, general and administrative expenses</w:t>
      </w:r>
    </w:p>
    <w:p w:rsidR="009534E2" w:rsidRDefault="003369EB">
      <w:pPr>
        <w:pStyle w:val="BodyText"/>
        <w:keepNext/>
        <w:keepLines/>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Selling, general and administrative expenses for the years ended December 31 were as follows:</w:t>
      </w:r>
    </w:p>
    <w:p w:rsidR="009534E2" w:rsidRDefault="009534E2">
      <w:pPr>
        <w:pStyle w:val="BodyText"/>
        <w:keepNext/>
        <w:keepLines/>
        <w:spacing w:after="0"/>
        <w:rPr>
          <w:rFonts w:eastAsia="Times New Roman" w:asciiTheme="majorHAnsi" w:hAnsiTheme="majorHAnsi" w:cstheme="majorHAnsi"/>
          <w:lang w:eastAsia="ru-RU"/>
        </w:rPr>
      </w:pPr>
      <w:bookmarkStart w:name="_7c2eec23_ee93_4c92_9a7a_8df0fab19e45" w:id="2574"/>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009534E2">
        <w:trPr>
          <w:trHeight w:val="20" w:hRule="exact"/>
          <w:jc w:val="center"/>
        </w:trPr>
        <w:tc>
          <w:tcPr>
            <w:tcW w:w="3401" w:type="pct"/>
            <w:tcBorders>
              <w:top w:val="nil"/>
              <w:left w:val="nil"/>
              <w:bottom w:val="nil"/>
              <w:right w:val="nil"/>
            </w:tcBorders>
            <w:vAlign w:val="bottom"/>
          </w:tcPr>
          <w:p w:rsidR="009534E2" w:rsidRDefault="009534E2">
            <w:pPr>
              <w:keepNext/>
              <w:keepLines/>
              <w:rPr>
                <w:rFonts w:asciiTheme="majorHAnsi" w:hAnsiTheme="majorHAnsi" w:cstheme="majorHAnsi"/>
                <w:sz w:val="2"/>
              </w:rPr>
            </w:pPr>
            <w:bookmarkStart w:name="_e89c73d6_247e_4dd8_ac6e_27eb9d8def4d" w:colFirst="0" w:colLast="0" w:id="2575"/>
            <w:bookmarkStart w:name="_fb529857_ff10_41cd_9594_b64577e732ab" w:colFirst="1" w:colLast="1" w:id="2576"/>
            <w:bookmarkStart w:name="_7f2c4930_b9ea_45a0_84a1_eb86805abfc6" w:colFirst="2" w:colLast="2" w:id="2577"/>
            <w:bookmarkStart w:name="_1de01e49_3542_4e0f_b512_8ccae9df50c7" w:colFirst="3" w:colLast="3" w:id="2578"/>
            <w:bookmarkStart w:name="_c7ba2309_7327_41d7_8f83_09cc1e02ea13" w:colFirst="4" w:colLast="4" w:id="2579"/>
            <w:bookmarkStart w:name="_66bf8b69_df30_4b77_a495_3c317282f286" w:colFirst="5" w:colLast="5" w:id="2580"/>
            <w:bookmarkStart w:name="_9b299e4a_3ba0_49f6_bfaa_3c4a8c206f6f" w:colFirst="6" w:colLast="6" w:id="2581"/>
            <w:bookmarkStart w:name="_b4c4afc7_d211_4823_80f4_200d5565a8fb" w:id="2582"/>
          </w:p>
        </w:tc>
        <w:tc>
          <w:tcPr>
            <w:tcW w:w="108"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keepLines/>
              <w:rPr>
                <w:rFonts w:asciiTheme="majorHAnsi" w:hAnsiTheme="majorHAnsi" w:cstheme="majorHAnsi"/>
                <w:sz w:val="2"/>
              </w:rPr>
            </w:pPr>
          </w:p>
        </w:tc>
      </w:tr>
      <w:tr w:rsidR="009534E2">
        <w:trPr>
          <w:jc w:val="center"/>
        </w:trPr>
        <w:tc>
          <w:tcPr>
            <w:tcW w:w="3401" w:type="pct"/>
            <w:tcBorders>
              <w:top w:val="nil"/>
              <w:left w:val="nil"/>
              <w:bottom w:val="nil"/>
              <w:right w:val="nil"/>
              <w:tl2br w:val="nil"/>
              <w:tr2bl w:val="nil"/>
            </w:tcBorders>
            <w:shd w:val="clear" w:color="auto" w:fill="auto"/>
            <w:vAlign w:val="bottom"/>
          </w:tcPr>
          <w:p w:rsidR="009534E2" w:rsidRDefault="009534E2">
            <w:pPr>
              <w:keepNext/>
              <w:keepLines/>
              <w:rPr>
                <w:rFonts w:asciiTheme="majorHAnsi" w:hAnsiTheme="majorHAnsi" w:cstheme="majorHAnsi"/>
                <w:color w:val="000000"/>
                <w:sz w:val="16"/>
              </w:rPr>
            </w:pPr>
            <w:bookmarkStart w:name="_16e51cb9_ca77_477e_ad2e_afded14e3d07" w:id="2583"/>
            <w:bookmarkEnd w:id="2575"/>
            <w:bookmarkEnd w:id="2576"/>
            <w:bookmarkEnd w:id="2577"/>
            <w:bookmarkEnd w:id="2578"/>
            <w:bookmarkEnd w:id="2579"/>
            <w:bookmarkEnd w:id="2580"/>
            <w:bookmarkEnd w:id="2581"/>
          </w:p>
        </w:tc>
        <w:tc>
          <w:tcPr>
            <w:tcW w:w="108" w:type="pct"/>
            <w:tcBorders>
              <w:top w:val="nil"/>
              <w:left w:val="nil"/>
              <w:bottom w:val="nil"/>
              <w:right w:val="nil"/>
              <w:tl2br w:val="nil"/>
              <w:tr2bl w:val="nil"/>
            </w:tcBorders>
            <w:shd w:val="clear" w:color="auto" w:fill="auto"/>
            <w:noWrap/>
            <w:vAlign w:val="bottom"/>
          </w:tcPr>
          <w:p w:rsidR="009534E2" w:rsidRDefault="003369EB">
            <w:pPr>
              <w:keepNext/>
              <w:keepLines/>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08" w:type="pct"/>
            <w:tcBorders>
              <w:top w:val="nil"/>
              <w:left w:val="nil"/>
              <w:bottom w:val="nil"/>
              <w:right w:val="nil"/>
              <w:tl2br w:val="nil"/>
              <w:tr2bl w:val="nil"/>
            </w:tcBorders>
            <w:shd w:val="clear" w:color="auto" w:fill="auto"/>
            <w:noWrap/>
            <w:vAlign w:val="bottom"/>
          </w:tcPr>
          <w:p w:rsidR="009534E2" w:rsidRDefault="003369EB">
            <w:pPr>
              <w:keepNext/>
              <w:keepLines/>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08" w:type="pct"/>
            <w:tcBorders>
              <w:top w:val="nil"/>
              <w:left w:val="nil"/>
              <w:bottom w:val="nil"/>
              <w:right w:val="nil"/>
              <w:tl2br w:val="nil"/>
              <w:tr2bl w:val="nil"/>
            </w:tcBorders>
            <w:shd w:val="clear" w:color="auto" w:fill="auto"/>
            <w:noWrap/>
            <w:vAlign w:val="bottom"/>
          </w:tcPr>
          <w:p w:rsidR="009534E2" w:rsidRDefault="003369EB">
            <w:pPr>
              <w:keepNext/>
              <w:keepLines/>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keepLines/>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keepLines/>
              <w:ind w:left="120"/>
              <w:rPr>
                <w:rFonts w:asciiTheme="majorHAnsi" w:hAnsiTheme="majorHAnsi" w:cstheme="majorHAnsi"/>
                <w:color w:val="000000"/>
              </w:rPr>
            </w:pPr>
            <w:bookmarkStart w:name="_f9d23372_58fe_4513_994e_53810c00a754" w:id="2584"/>
            <w:bookmarkEnd w:id="2583"/>
            <w:r>
              <w:rPr>
                <w:rFonts w:eastAsia="Times New Roman" w:asciiTheme="majorHAnsi" w:hAnsiTheme="majorHAnsi" w:cstheme="majorHAnsi"/>
                <w:color w:val="000000"/>
              </w:rPr>
              <w:t>Advertising, client acquisition and related expenses</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301</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342</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keepLines/>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keepLines/>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429</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08742733_a849_48ea_9929_9e059335ce28" w:id="2585"/>
            <w:bookmarkEnd w:id="2584"/>
            <w:r>
              <w:rPr>
                <w:rFonts w:eastAsia="Times New Roman" w:asciiTheme="majorHAnsi" w:hAnsiTheme="majorHAnsi" w:cstheme="majorHAnsi"/>
                <w:color w:val="000000"/>
              </w:rPr>
              <w:t>Tax expenses, except income and payroll related taxes</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316</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390</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362</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d5237cb8_8029_4f21_8d69_43bfd67cd437" w:id="2586"/>
            <w:bookmarkEnd w:id="2585"/>
            <w:r>
              <w:rPr>
                <w:rFonts w:eastAsia="Times New Roman" w:asciiTheme="majorHAnsi" w:hAnsiTheme="majorHAnsi" w:cstheme="majorHAnsi"/>
                <w:color w:val="000000"/>
              </w:rPr>
              <w:t>Advisory and audit services</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611</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974</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796</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47e75cfe_753b_428f_8cf9_b0debb9b31b2" w:id="2587"/>
            <w:bookmarkEnd w:id="2586"/>
            <w:r>
              <w:rPr>
                <w:rFonts w:eastAsia="Times New Roman" w:asciiTheme="majorHAnsi" w:hAnsiTheme="majorHAnsi" w:cstheme="majorHAnsi"/>
                <w:color w:val="000000"/>
              </w:rPr>
              <w:t xml:space="preserve">Rent of premises </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113</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107</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101</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b646218c_cb01_4884_bbf7_d77d76265456" w:id="2588"/>
            <w:bookmarkEnd w:id="2587"/>
            <w:r>
              <w:rPr>
                <w:rFonts w:eastAsia="Times New Roman" w:asciiTheme="majorHAnsi" w:hAnsiTheme="majorHAnsi" w:cstheme="majorHAnsi"/>
                <w:color w:val="000000"/>
              </w:rPr>
              <w:t>Expenses related to Tochka  platform services</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382</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365</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570</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f4f053a1_c09c_4df5_8971_8f7a2d1dbef3" w:id="2589"/>
            <w:bookmarkEnd w:id="2588"/>
            <w:r>
              <w:rPr>
                <w:rFonts w:eastAsia="Times New Roman" w:asciiTheme="majorHAnsi" w:hAnsiTheme="majorHAnsi" w:cstheme="majorHAnsi"/>
                <w:color w:val="000000"/>
              </w:rPr>
              <w:t>IT related services</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346</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389</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385</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1367ca39_b7f6_4472_bd24_3ce8c2555bf2" w:id="2590"/>
            <w:bookmarkEnd w:id="2589"/>
            <w:r>
              <w:rPr>
                <w:rFonts w:eastAsia="Times New Roman" w:asciiTheme="majorHAnsi" w:hAnsiTheme="majorHAnsi" w:cstheme="majorHAnsi"/>
                <w:color w:val="000000"/>
              </w:rPr>
              <w:t>Business travel and representative expenses</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101</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195</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509</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6d4e87fb_16ae_499f_a43b_5f6d9fb3020c" w:id="2591"/>
            <w:bookmarkEnd w:id="2590"/>
            <w:r>
              <w:rPr>
                <w:rFonts w:eastAsia="Times New Roman" w:asciiTheme="majorHAnsi" w:hAnsiTheme="majorHAnsi" w:cstheme="majorHAnsi"/>
                <w:color w:val="000000"/>
              </w:rPr>
              <w:t>Offering expenses</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71</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080c5a9d_8129_47cc_beef_039111cf88c9" w:id="2592"/>
            <w:bookmarkEnd w:id="2591"/>
            <w:r>
              <w:rPr>
                <w:rFonts w:eastAsia="Times New Roman" w:asciiTheme="majorHAnsi" w:hAnsiTheme="majorHAnsi" w:cstheme="majorHAnsi"/>
                <w:color w:val="000000"/>
              </w:rPr>
              <w:t>Other expenses</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492</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466</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615</w:t>
            </w:r>
          </w:p>
        </w:tc>
      </w:tr>
      <w:tr w:rsidR="009534E2">
        <w:trPr>
          <w:jc w:val="center"/>
        </w:trPr>
        <w:tc>
          <w:tcPr>
            <w:tcW w:w="3401"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bookmarkStart w:name="_20571576_deb0_40c3_8ed9_e10723767550" w:id="2593"/>
            <w:bookmarkEnd w:id="2592"/>
            <w:r>
              <w:rPr>
                <w:rFonts w:eastAsia="Times New Roman" w:asciiTheme="majorHAnsi" w:hAnsiTheme="majorHAnsi" w:cstheme="majorHAnsi"/>
                <w:b/>
                <w:color w:val="000000"/>
              </w:rPr>
              <w:t>Total selling, general and administrative expenses</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doub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2,733</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doub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3,228</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double" w:color="000000" w:sz="4" w:space="0"/>
              <w:right w:val="nil"/>
              <w:tl2br w:val="nil"/>
              <w:tr2bl w:val="nil"/>
            </w:tcBorders>
            <w:noWrap/>
            <w:vAlign w:val="bottom"/>
          </w:tcPr>
          <w:p w:rsidR="009534E2" w:rsidRDefault="003369EB">
            <w:pPr>
              <w:keepNext/>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3,767</w:t>
            </w:r>
          </w:p>
        </w:tc>
      </w:tr>
    </w:tbl>
    <w:p w:rsidR="009534E2" w:rsidRDefault="00EC0AE1">
      <w:pPr>
        <w:rPr>
          <w:rFonts w:asciiTheme="majorHAnsi" w:hAnsiTheme="majorHAnsi" w:cstheme="majorHAnsi"/>
          <w:sz w:val="2"/>
        </w:rPr>
      </w:pPr>
    </w:p>
    <w:bookmarkEnd w:displacedByCustomXml="next" w:id="2593"/>
    <w:bookmarkEnd w:displacedByCustomXml="next" w:id="2582"/>
    <w:bookmarkEnd w:displacedByCustomXml="next" w:id="2574"/>
    <w:p w:rsidR="009534E2" w:rsidRDefault="003369EB">
      <w:pPr>
        <w:rPr>
          <w:rFonts w:asciiTheme="majorHAnsi" w:hAnsiTheme="majorHAnsi" w:cstheme="majorHAnsi"/>
        </w:rPr>
      </w:pPr>
      <w:r>
        <w:rPr>
          <w:rFonts w:asciiTheme="majorHAnsi" w:hAnsiTheme="majorHAnsi" w:cstheme="majorHAnsi"/>
        </w:rPr>
        <w:br w:type="page"/>
      </w:r>
    </w:p>
    <w:p w:rsidR="009534E2" w:rsidRDefault="003369EB">
      <w:pPr>
        <w:pStyle w:val="Heading1"/>
        <w:ind w:left="360" w:hanging="360"/>
        <w:rPr>
          <w:rFonts w:eastAsiaTheme="minorHAnsi"/>
          <w:b w:val="0"/>
          <w:szCs w:val="20"/>
          <w:lang w:eastAsia="ru-RU"/>
        </w:rPr>
      </w:pPr>
      <w:r>
        <w:rPr>
          <w:lang w:eastAsia="ru-RU"/>
        </w:rPr>
        <w:t>26.</w:t>
      </w:r>
      <w:r>
        <w:rPr>
          <w:lang w:eastAsia="ru-RU"/>
        </w:rPr>
        <w:tab/>
        <w:t>Dividends paid and proposed</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Dividends paid and proposed by the Group to the shareholders of the parent are presented below:</w:t>
      </w:r>
    </w:p>
    <w:p w:rsidR="009534E2" w:rsidRDefault="009534E2">
      <w:pPr>
        <w:pStyle w:val="BodyText"/>
        <w:keepNext/>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009534E2">
        <w:trPr>
          <w:trHeight w:val="20" w:hRule="exact"/>
          <w:jc w:val="center"/>
        </w:trPr>
        <w:tc>
          <w:tcPr>
            <w:tcW w:w="3401"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ce37e085_425f_4fbc_827e_c9e17623c219" w:id="2594"/>
            <w:bookmarkStart w:name="_546526f8_0c72_4f99_9944_4cb4f0678896" w:colFirst="0" w:colLast="0" w:id="2595"/>
            <w:bookmarkStart w:name="_88411053_9942_40a5_8cdd_d9fac8032987" w:colFirst="1" w:colLast="1" w:id="2596"/>
            <w:bookmarkStart w:name="_e991b4dd_4f4c_4748_91d8_76a5749d7c15" w:colFirst="2" w:colLast="2" w:id="2597"/>
            <w:bookmarkStart w:name="_b5966b10_d657_4f6d_a18f_b13d9dcb21bd" w:colFirst="3" w:colLast="3" w:id="2598"/>
            <w:bookmarkStart w:name="_5c8f05eb_fef0_42e3_8662_0269aa5ab83a" w:colFirst="4" w:colLast="4" w:id="2599"/>
            <w:bookmarkStart w:name="_5ab7576e_3cc0_4430_ad44_05a829e8c79d" w:colFirst="5" w:colLast="5" w:id="2600"/>
            <w:bookmarkStart w:name="_934ee8c4_7dc1_4e00_a794_ee0cfe84cc74" w:colFirst="6" w:colLast="6" w:id="2601"/>
            <w:bookmarkStart w:name="_da1768c6_d9a3_4a6c_a5ca_e6be1437607c" w:id="2602"/>
            <w:bookmarkStart w:name="_f31add6a_d062_4a91_bc59_0e452c39780e" w:id="2603"/>
            <w:bookmarkEnd w:id="2594"/>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3401"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rPr>
            </w:pPr>
            <w:bookmarkStart w:name="_2a447d37_45e8_42e5_8c6c_e47db7a0f162" w:id="2604"/>
            <w:bookmarkEnd w:id="2595"/>
            <w:bookmarkEnd w:id="2596"/>
            <w:bookmarkEnd w:id="2597"/>
            <w:bookmarkEnd w:id="2598"/>
            <w:bookmarkEnd w:id="2599"/>
            <w:bookmarkEnd w:id="2600"/>
            <w:bookmarkEnd w:id="2601"/>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c4148320_1f2e_4bea_bd65_e184a11cfa59" w:id="2605"/>
            <w:bookmarkEnd w:id="2604"/>
            <w:r>
              <w:rPr>
                <w:rFonts w:eastAsia="Times New Roman" w:asciiTheme="majorHAnsi" w:hAnsiTheme="majorHAnsi" w:cstheme="majorHAnsi"/>
                <w:b/>
                <w:color w:val="000000"/>
              </w:rPr>
              <w:t>Proposed, declared and approved during the year:</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b/>
                <w:color w:val="000000"/>
              </w:rPr>
            </w:pP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aa2e6d4a_98df_46d0_a105_0cb1c80d9db7" w:id="2606"/>
            <w:bookmarkEnd w:id="2605"/>
            <w:r>
              <w:rPr>
                <w:rFonts w:eastAsia="Times New Roman" w:asciiTheme="majorHAnsi" w:hAnsiTheme="majorHAnsi" w:cstheme="majorHAnsi"/>
                <w:color w:val="000000"/>
              </w:rPr>
              <w:t>2022: no dividends</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4a9f8b6e_32f1_42ed_b7c0_c870285cbbe2" w:id="2607"/>
            <w:bookmarkEnd w:id="2606"/>
            <w:r>
              <w:rPr>
                <w:rFonts w:eastAsia="Times New Roman" w:asciiTheme="majorHAnsi" w:hAnsiTheme="majorHAnsi" w:cstheme="majorHAnsi"/>
                <w:color w:val="000000"/>
              </w:rPr>
              <w:t xml:space="preserve">2021: Final dividend for 2020: U.S.$ </w:t>
            </w:r>
            <w:bookmarkStart w:name="_a9cf4928_c0a6_4e1c_bafd_c9e102ec0d61" w:id="2608"/>
            <w:r>
              <w:rPr>
                <w:rFonts w:eastAsia="Times New Roman" w:asciiTheme="majorHAnsi" w:hAnsiTheme="majorHAnsi" w:cstheme="majorHAnsi"/>
                <w:color w:val="000000"/>
              </w:rPr>
              <w:t>19,347,534</w:t>
            </w:r>
            <w:bookmarkEnd w:id="2608"/>
            <w:r>
              <w:rPr>
                <w:rFonts w:eastAsia="Times New Roman" w:asciiTheme="majorHAnsi" w:hAnsiTheme="majorHAnsi" w:cstheme="majorHAnsi"/>
                <w:color w:val="000000"/>
              </w:rPr>
              <w:t xml:space="preserve"> or U.S.$ </w:t>
            </w:r>
            <w:bookmarkStart w:name="_6ab99ee7_be42_4921_bcc9_d0c84501b600" w:id="2609"/>
            <w:r>
              <w:rPr>
                <w:rFonts w:eastAsia="Times New Roman" w:asciiTheme="majorHAnsi" w:hAnsiTheme="majorHAnsi" w:cstheme="majorHAnsi"/>
                <w:color w:val="000000"/>
              </w:rPr>
              <w:t>0.31</w:t>
            </w:r>
            <w:bookmarkEnd w:id="2609"/>
            <w:r>
              <w:rPr>
                <w:rFonts w:eastAsia="Times New Roman" w:asciiTheme="majorHAnsi" w:hAnsiTheme="majorHAnsi" w:cstheme="majorHAnsi"/>
                <w:color w:val="000000"/>
              </w:rPr>
              <w:t xml:space="preserve"> per share, Interim dividend for 2021: U.S.$ </w:t>
            </w:r>
            <w:bookmarkStart w:name="_036d4288_1c71_4b89_bbdf_7e19d660bd79" w:id="2610"/>
            <w:r>
              <w:rPr>
                <w:rFonts w:eastAsia="Times New Roman" w:asciiTheme="majorHAnsi" w:hAnsiTheme="majorHAnsi" w:cstheme="majorHAnsi"/>
                <w:color w:val="000000"/>
              </w:rPr>
              <w:t>51,197,062</w:t>
            </w:r>
            <w:bookmarkEnd w:id="2610"/>
            <w:r>
              <w:rPr>
                <w:rFonts w:eastAsia="Times New Roman" w:asciiTheme="majorHAnsi" w:hAnsiTheme="majorHAnsi" w:cstheme="majorHAnsi"/>
                <w:color w:val="000000"/>
              </w:rPr>
              <w:t xml:space="preserve"> or U.S.$ </w:t>
            </w:r>
            <w:bookmarkStart w:name="_2bbfb83b_9b2a_4d42_a5de_492f117388ac" w:id="2611"/>
            <w:r>
              <w:rPr>
                <w:rFonts w:eastAsia="Times New Roman" w:asciiTheme="majorHAnsi" w:hAnsiTheme="majorHAnsi" w:cstheme="majorHAnsi"/>
                <w:color w:val="000000"/>
              </w:rPr>
              <w:t>0.82</w:t>
            </w:r>
            <w:bookmarkEnd w:id="2611"/>
            <w:r>
              <w:rPr>
                <w:rFonts w:eastAsia="Times New Roman" w:asciiTheme="majorHAnsi" w:hAnsiTheme="majorHAnsi" w:cstheme="majorHAnsi"/>
                <w:color w:val="000000"/>
              </w:rPr>
              <w:t xml:space="preserve"> per share</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5,179</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f81db594_bbe6_45c2_aa56_8b73e2cb88ab" w:id="2612"/>
            <w:bookmarkEnd w:id="2607"/>
            <w:r>
              <w:rPr>
                <w:rFonts w:eastAsia="Times New Roman" w:asciiTheme="majorHAnsi" w:hAnsiTheme="majorHAnsi" w:cstheme="majorHAnsi"/>
                <w:color w:val="000000"/>
              </w:rPr>
              <w:t xml:space="preserve">2020: Final dividend for 2019: U.S.$ </w:t>
            </w:r>
            <w:bookmarkStart w:name="_acf799f6_3cc8_4fad_83e6_1b1f08878286" w:id="2613"/>
            <w:r>
              <w:rPr>
                <w:rFonts w:eastAsia="Times New Roman" w:asciiTheme="majorHAnsi" w:hAnsiTheme="majorHAnsi" w:cstheme="majorHAnsi"/>
                <w:color w:val="000000"/>
              </w:rPr>
              <w:t>13,667,632</w:t>
            </w:r>
            <w:bookmarkEnd w:id="2613"/>
            <w:r>
              <w:rPr>
                <w:rFonts w:eastAsia="Times New Roman" w:asciiTheme="majorHAnsi" w:hAnsiTheme="majorHAnsi" w:cstheme="majorHAnsi"/>
                <w:color w:val="000000"/>
              </w:rPr>
              <w:t xml:space="preserve"> or U.S.$ </w:t>
            </w:r>
            <w:bookmarkStart w:name="_30f90329_3b02_4b77_92d7_d5c5bb75b877" w:id="2614"/>
            <w:r>
              <w:rPr>
                <w:rFonts w:eastAsia="Times New Roman" w:asciiTheme="majorHAnsi" w:hAnsiTheme="majorHAnsi" w:cstheme="majorHAnsi"/>
                <w:color w:val="000000"/>
              </w:rPr>
              <w:t>0.22</w:t>
            </w:r>
            <w:bookmarkEnd w:id="2614"/>
            <w:r>
              <w:rPr>
                <w:rFonts w:eastAsia="Times New Roman" w:asciiTheme="majorHAnsi" w:hAnsiTheme="majorHAnsi" w:cstheme="majorHAnsi"/>
                <w:color w:val="000000"/>
              </w:rPr>
              <w:t xml:space="preserve"> per share, Interim dividend for 2020: U.S.$ </w:t>
            </w:r>
            <w:bookmarkStart w:name="_4724aae0_729d_4603_9f9a_751206a4f19e" w:id="2615"/>
            <w:r>
              <w:rPr>
                <w:rFonts w:eastAsia="Times New Roman" w:asciiTheme="majorHAnsi" w:hAnsiTheme="majorHAnsi" w:cstheme="majorHAnsi"/>
                <w:color w:val="000000"/>
              </w:rPr>
              <w:t>50,489,929</w:t>
            </w:r>
            <w:bookmarkEnd w:id="2615"/>
            <w:r>
              <w:rPr>
                <w:rFonts w:eastAsia="Times New Roman" w:asciiTheme="majorHAnsi" w:hAnsiTheme="majorHAnsi" w:cstheme="majorHAnsi"/>
                <w:color w:val="000000"/>
              </w:rPr>
              <w:t xml:space="preserve"> or U.S.$ </w:t>
            </w:r>
            <w:bookmarkStart w:name="_7cb797e1_69fd_4d33_881e_fc406e3b5b82" w:id="2616"/>
            <w:r>
              <w:rPr>
                <w:rFonts w:eastAsia="Times New Roman" w:asciiTheme="majorHAnsi" w:hAnsiTheme="majorHAnsi" w:cstheme="majorHAnsi"/>
                <w:color w:val="000000"/>
              </w:rPr>
              <w:t>0.81</w:t>
            </w:r>
            <w:bookmarkEnd w:id="2616"/>
            <w:r>
              <w:rPr>
                <w:rFonts w:eastAsia="Times New Roman" w:asciiTheme="majorHAnsi" w:hAnsiTheme="majorHAnsi" w:cstheme="majorHAnsi"/>
                <w:color w:val="000000"/>
              </w:rPr>
              <w:t xml:space="preserve"> per share </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4,797</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5b68f9fd_a248_4b63_a20e_87e8b9945e6c" w:id="2617"/>
            <w:bookmarkEnd w:id="2612"/>
            <w:r>
              <w:rPr>
                <w:rFonts w:eastAsia="Times New Roman" w:asciiTheme="majorHAnsi" w:hAnsiTheme="majorHAnsi" w:cstheme="majorHAnsi"/>
                <w:b/>
                <w:color w:val="000000"/>
              </w:rPr>
              <w:t>Paid during the period*:</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acd83a03_5210_4cc5_b3c4_db0d6293f511" w:id="2618"/>
            <w:bookmarkEnd w:id="2617"/>
            <w:r>
              <w:rPr>
                <w:rFonts w:eastAsia="Times New Roman" w:asciiTheme="majorHAnsi" w:hAnsiTheme="majorHAnsi" w:cstheme="majorHAnsi"/>
                <w:color w:val="000000"/>
              </w:rPr>
              <w:t>2022: no dividends</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d285b88d_38b9_4264_9e27_95f7c59ddad4" w:id="2619"/>
            <w:bookmarkEnd w:id="2618"/>
            <w:r>
              <w:rPr>
                <w:rFonts w:eastAsia="Times New Roman" w:asciiTheme="majorHAnsi" w:hAnsiTheme="majorHAnsi" w:cstheme="majorHAnsi"/>
                <w:color w:val="000000"/>
              </w:rPr>
              <w:t xml:space="preserve">2021: Final dividend for 2020: U.S.$ </w:t>
            </w:r>
            <w:bookmarkStart w:name="_4008defd_bb41_4e05_9c47_d2f4b2edf717" w:id="2620"/>
            <w:r>
              <w:rPr>
                <w:rFonts w:eastAsia="Times New Roman" w:asciiTheme="majorHAnsi" w:hAnsiTheme="majorHAnsi" w:cstheme="majorHAnsi"/>
                <w:color w:val="000000"/>
              </w:rPr>
              <w:t>19,347,534</w:t>
            </w:r>
            <w:bookmarkEnd w:id="2620"/>
            <w:r>
              <w:rPr>
                <w:rFonts w:eastAsia="Times New Roman" w:asciiTheme="majorHAnsi" w:hAnsiTheme="majorHAnsi" w:cstheme="majorHAnsi"/>
                <w:color w:val="000000"/>
              </w:rPr>
              <w:t xml:space="preserve"> or U.S.$ </w:t>
            </w:r>
            <w:bookmarkStart w:name="_ad86306e_8e65_4aad_9a09_e6ad780c528c" w:id="2621"/>
            <w:r>
              <w:rPr>
                <w:rFonts w:eastAsia="Times New Roman" w:asciiTheme="majorHAnsi" w:hAnsiTheme="majorHAnsi" w:cstheme="majorHAnsi"/>
                <w:color w:val="000000"/>
              </w:rPr>
              <w:t>0.31</w:t>
            </w:r>
            <w:bookmarkEnd w:id="2621"/>
            <w:r>
              <w:rPr>
                <w:rFonts w:eastAsia="Times New Roman" w:asciiTheme="majorHAnsi" w:hAnsiTheme="majorHAnsi" w:cstheme="majorHAnsi"/>
                <w:color w:val="000000"/>
              </w:rPr>
              <w:t xml:space="preserve"> per share, Interim dividend for 2021: U.S.$ </w:t>
            </w:r>
            <w:bookmarkStart w:name="_18a63fa8_1a28_4b8f_a05b_717e88207d88" w:id="2622"/>
            <w:r>
              <w:rPr>
                <w:rFonts w:eastAsia="Times New Roman" w:asciiTheme="majorHAnsi" w:hAnsiTheme="majorHAnsi" w:cstheme="majorHAnsi"/>
                <w:color w:val="000000"/>
              </w:rPr>
              <w:t>51,197,062</w:t>
            </w:r>
            <w:bookmarkEnd w:id="2622"/>
            <w:r>
              <w:rPr>
                <w:rFonts w:eastAsia="Times New Roman" w:asciiTheme="majorHAnsi" w:hAnsiTheme="majorHAnsi" w:cstheme="majorHAnsi"/>
                <w:color w:val="000000"/>
              </w:rPr>
              <w:t xml:space="preserve">or U.S.$ </w:t>
            </w:r>
            <w:bookmarkStart w:name="_7c254e0f_cecb_45d3_b472_9e5b3e9123c6" w:id="2623"/>
            <w:r>
              <w:rPr>
                <w:rFonts w:eastAsia="Times New Roman" w:asciiTheme="majorHAnsi" w:hAnsiTheme="majorHAnsi" w:cstheme="majorHAnsi"/>
                <w:color w:val="000000"/>
              </w:rPr>
              <w:t>0.82</w:t>
            </w:r>
            <w:bookmarkEnd w:id="2623"/>
            <w:r>
              <w:rPr>
                <w:rFonts w:eastAsia="Times New Roman" w:asciiTheme="majorHAnsi" w:hAnsiTheme="majorHAnsi" w:cstheme="majorHAnsi"/>
                <w:color w:val="000000"/>
              </w:rPr>
              <w:t xml:space="preserve"> per share</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5,211</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8cd14370_b69e_4f59_ba54_718320b93093" w:id="2624"/>
            <w:bookmarkEnd w:id="2619"/>
            <w:r>
              <w:rPr>
                <w:rFonts w:eastAsia="Times New Roman" w:asciiTheme="majorHAnsi" w:hAnsiTheme="majorHAnsi" w:cstheme="majorHAnsi"/>
                <w:color w:val="000000"/>
              </w:rPr>
              <w:t xml:space="preserve">2020: Final dividend for 2019: U.S.$ </w:t>
            </w:r>
            <w:bookmarkStart w:name="_6aaaee7c_eb5a_4431_adf9_49ff76dd45b8" w:id="2625"/>
            <w:r>
              <w:rPr>
                <w:rFonts w:eastAsia="Times New Roman" w:asciiTheme="majorHAnsi" w:hAnsiTheme="majorHAnsi" w:cstheme="majorHAnsi"/>
                <w:color w:val="000000"/>
              </w:rPr>
              <w:t>13,667,632</w:t>
            </w:r>
            <w:bookmarkEnd w:id="2625"/>
            <w:r>
              <w:rPr>
                <w:rFonts w:eastAsia="Times New Roman" w:asciiTheme="majorHAnsi" w:hAnsiTheme="majorHAnsi" w:cstheme="majorHAnsi"/>
                <w:color w:val="000000"/>
              </w:rPr>
              <w:t xml:space="preserve"> or U.S.$ </w:t>
            </w:r>
            <w:bookmarkStart w:name="_2a32ba3f_6ac3_4f6f_b900_76da75a77d3f" w:id="2626"/>
            <w:r>
              <w:rPr>
                <w:rFonts w:eastAsia="Times New Roman" w:asciiTheme="majorHAnsi" w:hAnsiTheme="majorHAnsi" w:cstheme="majorHAnsi"/>
                <w:color w:val="000000"/>
              </w:rPr>
              <w:t>0.22</w:t>
            </w:r>
            <w:bookmarkEnd w:id="2626"/>
            <w:r>
              <w:rPr>
                <w:rFonts w:eastAsia="Times New Roman" w:asciiTheme="majorHAnsi" w:hAnsiTheme="majorHAnsi" w:cstheme="majorHAnsi"/>
                <w:color w:val="000000"/>
              </w:rPr>
              <w:t xml:space="preserve"> per share, Interim dividend for 2020: U.S.$ </w:t>
            </w:r>
            <w:bookmarkStart w:name="_f5efeab1_62e3_4767_ad91_89b1305a6844" w:id="2627"/>
            <w:r>
              <w:rPr>
                <w:rFonts w:eastAsia="Times New Roman" w:asciiTheme="majorHAnsi" w:hAnsiTheme="majorHAnsi" w:cstheme="majorHAnsi"/>
                <w:color w:val="000000"/>
              </w:rPr>
              <w:t>50,489,929</w:t>
            </w:r>
            <w:bookmarkEnd w:id="2627"/>
            <w:r>
              <w:rPr>
                <w:rFonts w:eastAsia="Times New Roman" w:asciiTheme="majorHAnsi" w:hAnsiTheme="majorHAnsi" w:cstheme="majorHAnsi"/>
                <w:color w:val="000000"/>
              </w:rPr>
              <w:t xml:space="preserve"> or U.S.$ </w:t>
            </w:r>
            <w:bookmarkStart w:name="_7c7ba20c_c958_45d6_8c2e_f1541211ad80" w:id="2628"/>
            <w:r>
              <w:rPr>
                <w:rFonts w:eastAsia="Times New Roman" w:asciiTheme="majorHAnsi" w:hAnsiTheme="majorHAnsi" w:cstheme="majorHAnsi"/>
                <w:color w:val="000000"/>
              </w:rPr>
              <w:t>0.81</w:t>
            </w:r>
            <w:bookmarkEnd w:id="2628"/>
            <w:r>
              <w:rPr>
                <w:rFonts w:eastAsia="Times New Roman" w:asciiTheme="majorHAnsi" w:hAnsiTheme="majorHAnsi" w:cstheme="majorHAnsi"/>
                <w:color w:val="000000"/>
              </w:rPr>
              <w:t xml:space="preserve">  per share</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4,804</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015a13a0_1d9a_43a2_a180_dfe9086905f9" w:id="2629"/>
            <w:bookmarkEnd w:id="2624"/>
            <w:r>
              <w:rPr>
                <w:rFonts w:eastAsia="Times New Roman" w:asciiTheme="majorHAnsi" w:hAnsiTheme="majorHAnsi" w:cstheme="majorHAnsi"/>
                <w:b/>
                <w:color w:val="000000"/>
              </w:rPr>
              <w:t>Proposed for approval (not recognized as a liability as of December 31):</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15a738fe_02b4_43f4_8450_775011468afc" w:id="2630"/>
            <w:bookmarkEnd w:id="2629"/>
            <w:r>
              <w:rPr>
                <w:rFonts w:eastAsia="Times New Roman" w:asciiTheme="majorHAnsi" w:hAnsiTheme="majorHAnsi" w:cstheme="majorHAnsi"/>
                <w:color w:val="000000"/>
              </w:rPr>
              <w:t>2022: no dividends</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a513e2f9_8aa8_416a_92b1_87cae718f7e7" w:id="2631"/>
            <w:bookmarkEnd w:id="2630"/>
            <w:r>
              <w:rPr>
                <w:rFonts w:eastAsia="Times New Roman" w:asciiTheme="majorHAnsi" w:hAnsiTheme="majorHAnsi" w:cstheme="majorHAnsi"/>
                <w:color w:val="000000"/>
              </w:rPr>
              <w:t>2021: no dividends</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rPr>
            </w:pP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90a868c0_0181_4e42_9671_c2d7376bb9ed" w:id="2632"/>
            <w:bookmarkEnd w:id="2631"/>
            <w:r>
              <w:rPr>
                <w:rFonts w:eastAsia="Times New Roman" w:asciiTheme="majorHAnsi" w:hAnsiTheme="majorHAnsi" w:cstheme="majorHAnsi"/>
                <w:color w:val="000000"/>
              </w:rPr>
              <w:t xml:space="preserve">2020: Final dividend for 2020: U.S.$ </w:t>
            </w:r>
            <w:bookmarkStart w:name="_04838499_779d_4503_a7ae_55c8c261731f" w:id="2633"/>
            <w:r>
              <w:rPr>
                <w:rFonts w:eastAsia="Times New Roman" w:asciiTheme="majorHAnsi" w:hAnsiTheme="majorHAnsi" w:cstheme="majorHAnsi"/>
                <w:color w:val="000000"/>
              </w:rPr>
              <w:t>19,347,534</w:t>
            </w:r>
            <w:bookmarkEnd w:id="2633"/>
            <w:r>
              <w:rPr>
                <w:rFonts w:eastAsia="Times New Roman" w:asciiTheme="majorHAnsi" w:hAnsiTheme="majorHAnsi" w:cstheme="majorHAnsi"/>
                <w:color w:val="000000"/>
              </w:rPr>
              <w:t xml:space="preserve"> or U.S.$ </w:t>
            </w:r>
            <w:bookmarkStart w:name="_4af0a7d3_6d13_4403_8c43_d9f7ff1ec369" w:id="2634"/>
            <w:r>
              <w:rPr>
                <w:rFonts w:eastAsia="Times New Roman" w:asciiTheme="majorHAnsi" w:hAnsiTheme="majorHAnsi" w:cstheme="majorHAnsi"/>
                <w:color w:val="000000"/>
              </w:rPr>
              <w:t>0.31</w:t>
            </w:r>
            <w:bookmarkEnd w:id="2634"/>
            <w:r>
              <w:rPr>
                <w:rFonts w:eastAsia="Times New Roman" w:asciiTheme="majorHAnsi" w:hAnsiTheme="majorHAnsi" w:cstheme="majorHAnsi"/>
                <w:color w:val="000000"/>
              </w:rPr>
              <w:t xml:space="preserve"> per share</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1,411</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425"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rPr>
            </w:pP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91d6ec1b_3020_4b74_931b_3bb289a022e6" w:id="2635"/>
            <w:bookmarkEnd w:id="2632"/>
            <w:r>
              <w:rPr>
                <w:rFonts w:eastAsia="Times New Roman" w:asciiTheme="majorHAnsi" w:hAnsiTheme="majorHAnsi" w:cstheme="majorHAnsi"/>
                <w:b/>
                <w:color w:val="000000"/>
              </w:rPr>
              <w:t>Dividends payable as of December 31</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bl>
    <w:bookmarkEnd w:id="2602"/>
    <w:bookmarkEnd w:id="2635"/>
    <w:p w:rsidR="009534E2" w:rsidRDefault="00EC0AE1">
      <w:pPr>
        <w:rPr>
          <w:rFonts w:eastAsia="Times New Roman" w:asciiTheme="majorHAnsi" w:hAnsiTheme="majorHAnsi" w:cstheme="majorHAnsi"/>
          <w:u w:val="single"/>
        </w:rPr>
      </w:pPr>
      <w:r>
        <w:rPr>
          <w:rFonts w:eastAsia="Times New Roman" w:asciiTheme="majorHAnsi" w:hAnsiTheme="majorHAnsi" w:cstheme="majorHAnsi"/>
          <w:sz w:val="8"/>
          <w:szCs w:val="8"/>
          <w:lang w:eastAsia="ru-RU"/>
        </w:rPr>
        <w:pict w14:anchorId="12CAA9AF">
          <v:rect id="_x0000_i1052" style="width:135pt;height:1pt" o:hr="t" o:hrstd="t" o:hrnoshade="t" o:hrpct="250" fillcolor="black" stroked="f"/>
        </w:pict>
      </w:r>
    </w:p>
    <w:p w:rsidR="009534E2" w:rsidRDefault="003369EB">
      <w:pPr>
        <w:pStyle w:val="BodyText"/>
        <w:numPr>
          <w:ilvl w:val="0"/>
          <w:numId w:val="35"/>
        </w:numPr>
        <w:tabs>
          <w:tab w:val="left" w:pos="360"/>
        </w:tabs>
        <w:spacing w:after="0"/>
        <w:ind w:left="360"/>
        <w:rPr>
          <w:rFonts w:eastAsia="Times New Roman" w:asciiTheme="majorHAnsi" w:hAnsiTheme="majorHAnsi" w:cstheme="majorHAnsi"/>
          <w:lang w:eastAsia="ru-RU"/>
        </w:rPr>
      </w:pPr>
      <w:r>
        <w:rPr>
          <w:rFonts w:eastAsia="Times New Roman" w:asciiTheme="majorHAnsi" w:hAnsiTheme="majorHAnsi" w:cstheme="majorHAnsi"/>
          <w:lang w:eastAsia="ru-RU"/>
        </w:rPr>
        <w:t>The difference between paid and declared dividends represents foreign exchange movement</w:t>
      </w:r>
    </w:p>
    <w:bookmarkEnd w:displacedByCustomXml="next" w:id="2603"/>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keepNext/>
        <w:keepLines/>
        <w:spacing w:after="200"/>
        <w:ind w:left="360" w:hanging="360"/>
        <w:outlineLvl w:val="1"/>
        <w:rPr>
          <w:rFonts w:eastAsia="Times New Roman" w:asciiTheme="majorHAnsi" w:hAnsiTheme="majorHAnsi" w:cstheme="majorHAnsi"/>
          <w:b/>
          <w:bCs/>
          <w:szCs w:val="32"/>
          <w:lang w:eastAsia="ru-RU"/>
        </w:rPr>
      </w:pPr>
      <w:r>
        <w:rPr>
          <w:rFonts w:eastAsia="Times New Roman" w:asciiTheme="majorHAnsi" w:hAnsiTheme="majorHAnsi" w:cstheme="majorHAnsi"/>
          <w:b/>
          <w:bCs/>
          <w:szCs w:val="32"/>
          <w:lang w:eastAsia="ru-RU"/>
        </w:rPr>
        <w:t>27.</w:t>
      </w:r>
      <w:r>
        <w:rPr>
          <w:rFonts w:eastAsia="Times New Roman" w:asciiTheme="majorHAnsi" w:hAnsiTheme="majorHAnsi" w:cstheme="majorHAnsi"/>
          <w:b/>
          <w:bCs/>
          <w:szCs w:val="32"/>
          <w:lang w:eastAsia="ru-RU"/>
        </w:rPr>
        <w:tab/>
        <w:t>Income tax</w:t>
      </w:r>
    </w:p>
    <w:p w:rsidR="009534E2" w:rsidRDefault="003369EB">
      <w:pPr>
        <w:pStyle w:val="BodyText"/>
        <w:keepNext/>
        <w:rPr>
          <w:rFonts w:eastAsia="Times New Roman" w:asciiTheme="majorHAnsi" w:hAnsiTheme="majorHAnsi" w:cstheme="majorHAnsi"/>
          <w:lang w:eastAsia="ru-RU"/>
        </w:rPr>
      </w:pPr>
      <w:r>
        <w:rPr>
          <w:rFonts w:eastAsia="Times New Roman" w:asciiTheme="majorHAnsi" w:hAnsiTheme="majorHAnsi" w:cstheme="majorHAnsi"/>
          <w:lang w:eastAsia="ru-RU"/>
        </w:rPr>
        <w:t>The Company is incorporated in Cyprus under the Cyprus Companies Law, but the business activity of the Group and joint ventures is subject to taxation in multiple jurisdictions, the most significant of which include:</w:t>
      </w:r>
    </w:p>
    <w:p w:rsidR="009534E2" w:rsidRDefault="003369EB">
      <w:pPr>
        <w:pStyle w:val="Heading2"/>
        <w:rPr>
          <w:lang w:eastAsia="ru-RU"/>
        </w:rPr>
      </w:pPr>
      <w:r>
        <w:rPr>
          <w:lang w:eastAsia="ru-RU"/>
        </w:rPr>
        <w:t>Cyprus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 Company is subject to </w:t>
      </w:r>
      <w:bookmarkStart w:name="_0b0e32be_4f38_4f8b_8379_7006fd51393d" w:id="2636"/>
      <w:r>
        <w:rPr>
          <w:rFonts w:eastAsia="Times New Roman" w:asciiTheme="majorHAnsi" w:hAnsiTheme="majorHAnsi" w:cstheme="majorHAnsi"/>
          <w:lang w:eastAsia="ru-RU"/>
        </w:rPr>
        <w:t>12.5%</w:t>
      </w:r>
      <w:bookmarkEnd w:id="2636"/>
      <w:r>
        <w:rPr>
          <w:rFonts w:eastAsia="Times New Roman" w:asciiTheme="majorHAnsi" w:hAnsiTheme="majorHAnsi" w:cstheme="majorHAnsi"/>
          <w:lang w:eastAsia="ru-RU"/>
        </w:rPr>
        <w:t xml:space="preserve"> corporate income tax applied to its worldwide income. On December 9, 2021, the Minister of Finance presented to parliament the proposed Cyprus budgetary plan for 2022 and envisaged fiscal policy plan for the next three-year period, including an outline of the government’s vision with respect to a possible reform of the Cyprus tax system. Specifically, an increase of the corporate income tax rate from </w:t>
      </w:r>
      <w:bookmarkStart w:name="_8468c185_5b68_4a50_9028_bf896d8bc7de" w:id="2637"/>
      <w:r>
        <w:rPr>
          <w:rFonts w:eastAsia="Times New Roman" w:asciiTheme="majorHAnsi" w:hAnsiTheme="majorHAnsi" w:cstheme="majorHAnsi"/>
          <w:lang w:eastAsia="ru-RU"/>
        </w:rPr>
        <w:t>12.5%</w:t>
      </w:r>
      <w:bookmarkEnd w:id="2637"/>
      <w:r>
        <w:rPr>
          <w:rFonts w:eastAsia="Times New Roman" w:asciiTheme="majorHAnsi" w:hAnsiTheme="majorHAnsi" w:cstheme="majorHAnsi"/>
          <w:lang w:eastAsia="ru-RU"/>
        </w:rPr>
        <w:t xml:space="preserve"> to </w:t>
      </w:r>
      <w:bookmarkStart w:name="_209a8213_90e0_4bfc_a214_771175ad0e00" w:id="2638"/>
      <w:r>
        <w:rPr>
          <w:rFonts w:eastAsia="Times New Roman" w:asciiTheme="majorHAnsi" w:hAnsiTheme="majorHAnsi" w:cstheme="majorHAnsi"/>
          <w:lang w:eastAsia="ru-RU"/>
        </w:rPr>
        <w:t>15%</w:t>
      </w:r>
      <w:bookmarkEnd w:id="2638"/>
      <w:r>
        <w:rPr>
          <w:rFonts w:eastAsia="Times New Roman" w:asciiTheme="majorHAnsi" w:hAnsiTheme="majorHAnsi" w:cstheme="majorHAnsi"/>
          <w:lang w:eastAsia="ru-RU"/>
        </w:rPr>
        <w:t xml:space="preserve"> is envisaged, in line with the OECD Inclusive Framework’s Pillar Two agreement. The European Commission’s proposal indicates that the new rules should be transposed into domestic law by EU Member States by June 30, 2023. Once duly adopted, it is proposed to take effect from January 1, 2024.</w:t>
      </w:r>
    </w:p>
    <w:p w:rsidR="009534E2" w:rsidRDefault="003369EB">
      <w:pPr>
        <w:spacing w:after="200"/>
        <w:rPr>
          <w:rFonts w:eastAsia="Times New Roman" w:asciiTheme="majorHAnsi" w:hAnsiTheme="majorHAnsi" w:cstheme="majorHAnsi"/>
          <w:lang w:eastAsia="ru-RU"/>
        </w:rPr>
      </w:pPr>
      <w:r>
        <w:rPr>
          <w:rFonts w:eastAsia="Times New Roman" w:asciiTheme="majorHAnsi" w:hAnsiTheme="majorHAnsi" w:cstheme="majorHAnsi"/>
          <w:lang w:eastAsia="ru-RU"/>
        </w:rPr>
        <w:t>The Company is exempt from the special contribution to the Defence Fund on dividends received from abroad.</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val="en-GB" w:eastAsia="ru-RU"/>
        </w:rPr>
        <w:t>In 2020 the Company obtained a written confirmation from the Cyprus tax authorities in the form of a tax ruling in which the Cyprus tax authorities accept in writing not to impose any deemed dividend distribution liability since the Company is a public entity and it is impossible to identify the final minor shareholders.</w:t>
      </w:r>
    </w:p>
    <w:p w:rsidR="009534E2" w:rsidRDefault="003369EB">
      <w:pPr>
        <w:pStyle w:val="Heading2"/>
        <w:rPr>
          <w:lang w:eastAsia="ru-RU"/>
        </w:rPr>
      </w:pPr>
      <w:r>
        <w:rPr>
          <w:lang w:eastAsia="ru-RU"/>
        </w:rPr>
        <w:t>The Russian Federation</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 Company’s subsidiaries incorporated in the Russian Federation are subject to corporate income tax at the standard rate of </w:t>
      </w:r>
      <w:bookmarkStart w:name="_c689601e_d47c_40dd_911c_43d41acbef28" w:id="2639"/>
      <w:r>
        <w:rPr>
          <w:rFonts w:eastAsia="Times New Roman" w:asciiTheme="majorHAnsi" w:hAnsiTheme="majorHAnsi" w:cstheme="majorHAnsi"/>
          <w:lang w:eastAsia="ru-RU"/>
        </w:rPr>
        <w:t>15%</w:t>
      </w:r>
      <w:bookmarkEnd w:id="2639"/>
      <w:r>
        <w:rPr>
          <w:rFonts w:eastAsia="Times New Roman" w:asciiTheme="majorHAnsi" w:hAnsiTheme="majorHAnsi" w:cstheme="majorHAnsi"/>
          <w:lang w:eastAsia="ru-RU"/>
        </w:rPr>
        <w:t xml:space="preserve"> </w:t>
      </w:r>
      <w:bookmarkStart w:name="_5a8c4039_0bc3_483d_99d3_8dbad360ba03" w:id="2640"/>
      <w:r>
        <w:rPr>
          <w:rFonts w:eastAsia="Times New Roman" w:asciiTheme="majorHAnsi" w:hAnsiTheme="majorHAnsi" w:cstheme="majorHAnsi"/>
          <w:lang w:eastAsia="ru-RU"/>
        </w:rPr>
        <w:t xml:space="preserve">applied to income received from Russian government bonds and </w:t>
      </w:r>
      <w:bookmarkStart w:name="_13c199c8_c8d2_4932_ace5_c6ee6a6f3b0e" w:id="2641"/>
      <w:r>
        <w:rPr>
          <w:rFonts w:eastAsia="Times New Roman" w:asciiTheme="majorHAnsi" w:hAnsiTheme="majorHAnsi" w:cstheme="majorHAnsi"/>
          <w:lang w:eastAsia="ru-RU"/>
        </w:rPr>
        <w:t>20%</w:t>
      </w:r>
      <w:bookmarkEnd w:id="2640"/>
      <w:bookmarkEnd w:id="2641"/>
      <w:r>
        <w:rPr>
          <w:rFonts w:eastAsia="Times New Roman" w:asciiTheme="majorHAnsi" w:hAnsiTheme="majorHAnsi" w:cstheme="majorHAnsi"/>
          <w:lang w:eastAsia="ru-RU"/>
        </w:rPr>
        <w:t xml:space="preserve"> applied to their taxable income. </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 Protocol of September 8, 2020 effective from January 1, 2021 established withholding tax rates as </w:t>
      </w:r>
      <w:bookmarkStart w:name="_e76993a7_0cae_4191_998e_0f5174f590cc" w:id="2642"/>
      <w:r>
        <w:rPr>
          <w:rFonts w:eastAsia="Times New Roman" w:asciiTheme="majorHAnsi" w:hAnsiTheme="majorHAnsi" w:cstheme="majorHAnsi"/>
          <w:lang w:eastAsia="ru-RU"/>
        </w:rPr>
        <w:t>15%</w:t>
      </w:r>
      <w:bookmarkEnd w:id="2642"/>
      <w:r>
        <w:rPr>
          <w:rFonts w:eastAsia="Times New Roman" w:asciiTheme="majorHAnsi" w:hAnsiTheme="majorHAnsi" w:cstheme="majorHAnsi"/>
          <w:lang w:eastAsia="ru-RU"/>
        </w:rPr>
        <w:t xml:space="preserve"> in respect of interest and dividend income paid to Cyprus (though it provides for a number of exceptions where the lower rates of </w:t>
      </w:r>
      <w:bookmarkStart w:name="_c964fbfc_6d68_4df9_8092_c36618404ace" w:id="2643"/>
      <w:r>
        <w:rPr>
          <w:rFonts w:eastAsia="Times New Roman" w:asciiTheme="majorHAnsi" w:hAnsiTheme="majorHAnsi" w:cstheme="majorHAnsi"/>
          <w:lang w:eastAsia="ru-RU"/>
        </w:rPr>
        <w:t>5%</w:t>
      </w:r>
      <w:bookmarkEnd w:id="2643"/>
      <w:r>
        <w:rPr>
          <w:rFonts w:eastAsia="Times New Roman" w:asciiTheme="majorHAnsi" w:hAnsiTheme="majorHAnsi" w:cstheme="majorHAnsi"/>
          <w:lang w:eastAsia="ru-RU"/>
        </w:rPr>
        <w:t xml:space="preserve"> or </w:t>
      </w:r>
      <w:bookmarkStart w:name="_e05bcaf6_dabe_422a_acb5_eed5c0926393" w:id="2644"/>
      <w:r>
        <w:rPr>
          <w:rFonts w:eastAsia="Times New Roman" w:asciiTheme="majorHAnsi" w:hAnsiTheme="majorHAnsi" w:cstheme="majorHAnsi"/>
          <w:lang w:eastAsia="ru-RU"/>
        </w:rPr>
        <w:t>0%</w:t>
      </w:r>
      <w:bookmarkEnd w:id="2644"/>
      <w:r>
        <w:rPr>
          <w:rFonts w:eastAsia="Times New Roman" w:asciiTheme="majorHAnsi" w:hAnsiTheme="majorHAnsi" w:cstheme="majorHAnsi"/>
          <w:lang w:eastAsia="ru-RU"/>
        </w:rPr>
        <w:t xml:space="preserve"> are envisaged). The Company believes that it fulfills the conditions for application of the reduced </w:t>
      </w:r>
      <w:bookmarkStart w:name="_d3727c9d_8432_4563_8d11_bf06b2b4a166" w:id="2645"/>
      <w:r>
        <w:rPr>
          <w:rFonts w:eastAsia="Times New Roman" w:asciiTheme="majorHAnsi" w:hAnsiTheme="majorHAnsi" w:cstheme="majorHAnsi"/>
          <w:lang w:eastAsia="ru-RU"/>
        </w:rPr>
        <w:t>5%</w:t>
      </w:r>
      <w:bookmarkEnd w:id="2645"/>
      <w:r>
        <w:rPr>
          <w:rFonts w:eastAsia="Times New Roman" w:asciiTheme="majorHAnsi" w:hAnsiTheme="majorHAnsi" w:cstheme="majorHAnsi"/>
          <w:lang w:eastAsia="ru-RU"/>
        </w:rPr>
        <w:t xml:space="preserve"> tax rate under the amended Russia-Cyprus Double Tax Treaty in respect of dividend income.</w:t>
      </w:r>
    </w:p>
    <w:p w:rsidR="009534E2" w:rsidRDefault="003369EB">
      <w:pPr>
        <w:pStyle w:val="BodyText"/>
        <w:keepNext/>
        <w:keepLines/>
        <w:rPr>
          <w:rFonts w:asciiTheme="majorHAnsi" w:hAnsiTheme="majorHAnsi" w:eastAsiaTheme="majorEastAsia" w:cstheme="majorHAnsi"/>
          <w:i/>
          <w:szCs w:val="26"/>
          <w:lang w:eastAsia="ru-RU"/>
        </w:rPr>
      </w:pPr>
      <w:r>
        <w:rPr>
          <w:rFonts w:asciiTheme="majorHAnsi" w:hAnsiTheme="majorHAnsi" w:eastAsiaTheme="majorEastAsia" w:cstheme="majorHAnsi"/>
          <w:i/>
          <w:szCs w:val="26"/>
          <w:lang w:eastAsia="ru-RU"/>
        </w:rPr>
        <w:t xml:space="preserve">Republic of Kazakhstan </w:t>
      </w:r>
    </w:p>
    <w:p w:rsidRPr="000D34E3" w:rsidR="009534E2" w:rsidP="000D34E3"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 Company’s subsidiary incorporated in Kazakhstan is subject to corporate income tax at the standard rate of </w:t>
      </w:r>
      <w:bookmarkStart w:name="_f16a6659_9fa4_49ef_9272_0ffac51e1ee7" w:id="2646"/>
      <w:r>
        <w:rPr>
          <w:rFonts w:eastAsia="Times New Roman" w:asciiTheme="majorHAnsi" w:hAnsiTheme="majorHAnsi" w:cstheme="majorHAnsi"/>
          <w:lang w:eastAsia="ru-RU"/>
        </w:rPr>
        <w:t>20%</w:t>
      </w:r>
      <w:bookmarkEnd w:id="2646"/>
      <w:r>
        <w:rPr>
          <w:rFonts w:eastAsia="Times New Roman" w:asciiTheme="majorHAnsi" w:hAnsiTheme="majorHAnsi" w:cstheme="majorHAnsi"/>
          <w:lang w:eastAsia="ru-RU"/>
        </w:rPr>
        <w:t xml:space="preserve"> applied to their taxable income.</w:t>
      </w:r>
      <w:bookmarkStart w:name="_59a8abaf_da12_4bfe_b003_53f711614744" w:id="2647"/>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Deferred income tax assets and liabilities as of December 31, 2022 and 2021, relate to the following:</w:t>
      </w:r>
    </w:p>
    <w:p w:rsidR="009534E2" w:rsidRDefault="009534E2">
      <w:pPr>
        <w:pStyle w:val="BodyText"/>
        <w:keepNext/>
        <w:spacing w:after="0"/>
        <w:rPr>
          <w:rFonts w:eastAsia="Times New Roman" w:asciiTheme="majorHAnsi" w:hAnsiTheme="majorHAnsi" w:cstheme="majorHAnsi"/>
          <w:lang w:eastAsia="ru-RU"/>
        </w:rPr>
      </w:pPr>
      <w:bookmarkStart w:name="_0e914177_0b75_4fb6_89ea_3d363626730a" w:id="2648"/>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544"/>
        <w:gridCol w:w="160"/>
        <w:gridCol w:w="789"/>
        <w:gridCol w:w="201"/>
        <w:gridCol w:w="788"/>
        <w:gridCol w:w="160"/>
        <w:gridCol w:w="667"/>
        <w:gridCol w:w="160"/>
        <w:gridCol w:w="672"/>
        <w:gridCol w:w="160"/>
        <w:gridCol w:w="672"/>
        <w:gridCol w:w="160"/>
        <w:gridCol w:w="667"/>
      </w:tblGrid>
      <w:tr w:rsidR="009534E2">
        <w:trPr>
          <w:trHeight w:val="20" w:hRule="exact"/>
          <w:jc w:val="center"/>
        </w:trPr>
        <w:tc>
          <w:tcPr>
            <w:tcW w:w="2567"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df61e131_76b7_48de_94a7_389aa19933e9" w:id="2649"/>
            <w:bookmarkStart w:name="_2a0d1d43_528d_4789_801f_164031097b01" w:colFirst="0" w:colLast="0" w:id="2650"/>
            <w:bookmarkStart w:name="_ee179e85_f435_433f_aaa2_9446eaf8cb19" w:colFirst="1" w:colLast="1" w:id="2651"/>
            <w:bookmarkStart w:name="_18fb0ad4_e130_4326_916c_3c21158fa71c" w:colFirst="2" w:colLast="2" w:id="2652"/>
            <w:bookmarkStart w:name="_5e0bd484_b150_4f6c_850d_b4c953aa679a" w:colFirst="3" w:colLast="3" w:id="2653"/>
            <w:bookmarkStart w:name="_86aa235d_d873_475d_81a0_c46e2e613947" w:colFirst="4" w:colLast="4" w:id="2654"/>
            <w:bookmarkStart w:name="_e9c0209e_6ccd_4f59_b356_0194bf88f99d" w:colFirst="5" w:colLast="5" w:id="2655"/>
            <w:bookmarkStart w:name="_f329e552_f9ee_47b8_8e3d_203a6dd94c25" w:colFirst="6" w:colLast="6" w:id="2656"/>
            <w:bookmarkStart w:name="_ceda02e8_7a68_4aa0_9e69_235b10cd2138" w:colFirst="11" w:colLast="11" w:id="2657"/>
            <w:bookmarkStart w:name="_58dab795_572c_4501_9df2_8d5d959537ae" w:colFirst="12" w:colLast="12" w:id="2658"/>
            <w:bookmarkStart w:name="_b31440c9_48c3_4963_99e4_77e183dffe97" w:colFirst="9" w:colLast="9" w:id="2659"/>
            <w:bookmarkStart w:name="_30a0c864_9cbc_43ce_ae1b_c05fc73eb436" w:colFirst="10" w:colLast="10" w:id="2660"/>
            <w:bookmarkStart w:name="_5bfc1ba4_8ec4_4197_8d7a_6e0ebc1b6fe6" w:colFirst="7" w:colLast="7" w:id="2661"/>
            <w:bookmarkStart w:name="_1d504e77_8597_4130_9003_4f6cd40218d7" w:colFirst="8" w:colLast="8" w:id="2662"/>
            <w:bookmarkStart w:name="_b7db70c4_c972_480b_b626_ec8af97d9dfe" w:id="2663"/>
            <w:bookmarkEnd w:id="2649"/>
          </w:p>
        </w:tc>
        <w:tc>
          <w:tcPr>
            <w:tcW w:w="7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65"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65"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7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09"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7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11"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7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11"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7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09"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9534E2">
        <w:trPr>
          <w:jc w:val="center"/>
        </w:trPr>
        <w:tc>
          <w:tcPr>
            <w:tcW w:w="2567"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i/>
                <w:color w:val="000000"/>
                <w:sz w:val="16"/>
              </w:rPr>
            </w:pPr>
            <w:bookmarkStart w:name="_ee4c2c1b_867d_4022_a07a_7b6348ef81b4" w:id="2664"/>
            <w:bookmarkEnd w:id="2650"/>
            <w:bookmarkEnd w:id="2651"/>
            <w:bookmarkEnd w:id="2652"/>
            <w:bookmarkEnd w:id="2653"/>
            <w:bookmarkEnd w:id="2654"/>
            <w:bookmarkEnd w:id="2655"/>
            <w:bookmarkEnd w:id="2656"/>
            <w:bookmarkEnd w:id="2657"/>
            <w:bookmarkEnd w:id="2658"/>
            <w:bookmarkEnd w:id="2659"/>
            <w:bookmarkEnd w:id="2660"/>
            <w:bookmarkEnd w:id="2661"/>
            <w:bookmarkEnd w:id="2662"/>
          </w:p>
        </w:tc>
        <w:tc>
          <w:tcPr>
            <w:tcW w:w="7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823" w:type="pct"/>
            <w:gridSpan w:val="3"/>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Consolidated statement of</w:t>
            </w:r>
          </w:p>
        </w:tc>
        <w:tc>
          <w:tcPr>
            <w:tcW w:w="7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1462" w:type="pct"/>
            <w:gridSpan w:val="7"/>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Consolidated statement of</w:t>
            </w:r>
          </w:p>
        </w:tc>
      </w:tr>
      <w:tr w:rsidR="009534E2">
        <w:trPr>
          <w:jc w:val="center"/>
        </w:trPr>
        <w:tc>
          <w:tcPr>
            <w:tcW w:w="2567"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i/>
                <w:color w:val="000000"/>
                <w:sz w:val="16"/>
              </w:rPr>
            </w:pPr>
            <w:bookmarkStart w:name="_f06ed938_83e3_4d0a_934e_b5ca6e834208" w:id="2665"/>
            <w:bookmarkEnd w:id="2664"/>
          </w:p>
        </w:tc>
        <w:tc>
          <w:tcPr>
            <w:tcW w:w="7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823" w:type="pct"/>
            <w:gridSpan w:val="3"/>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financial position as of</w:t>
            </w:r>
          </w:p>
        </w:tc>
        <w:tc>
          <w:tcPr>
            <w:tcW w:w="7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1462" w:type="pct"/>
            <w:gridSpan w:val="7"/>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comprehensive income for the</w:t>
            </w:r>
          </w:p>
        </w:tc>
      </w:tr>
      <w:tr w:rsidR="009534E2">
        <w:trPr>
          <w:jc w:val="center"/>
        </w:trPr>
        <w:tc>
          <w:tcPr>
            <w:tcW w:w="2567"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i/>
                <w:color w:val="000000"/>
                <w:sz w:val="16"/>
              </w:rPr>
            </w:pPr>
            <w:bookmarkStart w:name="_20132010_486f_4095_a8d9_fd27544266ed" w:id="2666"/>
            <w:bookmarkEnd w:id="2665"/>
          </w:p>
        </w:tc>
        <w:tc>
          <w:tcPr>
            <w:tcW w:w="7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823" w:type="pct"/>
            <w:gridSpan w:val="3"/>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w:t>
            </w:r>
          </w:p>
        </w:tc>
        <w:tc>
          <w:tcPr>
            <w:tcW w:w="7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1462" w:type="pct"/>
            <w:gridSpan w:val="7"/>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year ended</w:t>
            </w:r>
          </w:p>
        </w:tc>
      </w:tr>
      <w:tr w:rsidR="009534E2">
        <w:trPr>
          <w:jc w:val="center"/>
        </w:trPr>
        <w:tc>
          <w:tcPr>
            <w:tcW w:w="2567"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i/>
                <w:color w:val="000000"/>
                <w:sz w:val="16"/>
              </w:rPr>
            </w:pPr>
            <w:bookmarkStart w:name="_3567b9d2_7d14_41d7_9fc2_aab06a94b4d0" w:id="2667"/>
            <w:bookmarkEnd w:id="2666"/>
          </w:p>
        </w:tc>
        <w:tc>
          <w:tcPr>
            <w:tcW w:w="7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36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93"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36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c>
          <w:tcPr>
            <w:tcW w:w="74"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694"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74"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694"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2567"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i/>
                <w:color w:val="000000"/>
                <w:sz w:val="16"/>
              </w:rPr>
            </w:pPr>
            <w:bookmarkStart w:name="_0fae61fb_c2bf_42f7_9cf5_bea8d1043e45" w:id="2668"/>
            <w:bookmarkEnd w:id="2667"/>
          </w:p>
        </w:tc>
        <w:tc>
          <w:tcPr>
            <w:tcW w:w="74"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65" w:type="pct"/>
            <w:tcBorders>
              <w:top w:val="nil"/>
              <w:left w:val="nil"/>
              <w:bottom w:val="single" w:color="000000" w:sz="4" w:space="0"/>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color w:val="000000"/>
                <w:sz w:val="16"/>
              </w:rPr>
            </w:pPr>
          </w:p>
        </w:tc>
        <w:tc>
          <w:tcPr>
            <w:tcW w:w="93"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65" w:type="pct"/>
            <w:tcBorders>
              <w:top w:val="nil"/>
              <w:left w:val="nil"/>
              <w:bottom w:val="single" w:color="000000" w:sz="4" w:space="0"/>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color w:val="000000"/>
                <w:sz w:val="16"/>
              </w:rPr>
            </w:pPr>
          </w:p>
        </w:tc>
        <w:tc>
          <w:tcPr>
            <w:tcW w:w="74"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09"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color w:val="000000"/>
                <w:sz w:val="16"/>
              </w:rPr>
            </w:pPr>
            <w:r>
              <w:rPr>
                <w:rFonts w:eastAsia="Times New Roman" w:asciiTheme="majorHAnsi" w:hAnsiTheme="majorHAnsi" w:cstheme="majorHAnsi"/>
                <w:color w:val="000000"/>
                <w:sz w:val="16"/>
              </w:rPr>
              <w:t>PL</w:t>
            </w:r>
          </w:p>
        </w:tc>
        <w:tc>
          <w:tcPr>
            <w:tcW w:w="74"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11"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color w:val="000000"/>
                <w:sz w:val="16"/>
              </w:rPr>
            </w:pPr>
            <w:r>
              <w:rPr>
                <w:rFonts w:eastAsia="Times New Roman" w:asciiTheme="majorHAnsi" w:hAnsiTheme="majorHAnsi" w:cstheme="majorHAnsi"/>
                <w:color w:val="000000"/>
                <w:sz w:val="16"/>
              </w:rPr>
              <w:t>OCI</w:t>
            </w:r>
          </w:p>
        </w:tc>
        <w:tc>
          <w:tcPr>
            <w:tcW w:w="74"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11"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color w:val="000000"/>
                <w:sz w:val="16"/>
              </w:rPr>
            </w:pPr>
            <w:r>
              <w:rPr>
                <w:rFonts w:eastAsia="Times New Roman" w:asciiTheme="majorHAnsi" w:hAnsiTheme="majorHAnsi" w:cstheme="majorHAnsi"/>
                <w:color w:val="000000"/>
                <w:sz w:val="16"/>
              </w:rPr>
              <w:t>PL</w:t>
            </w:r>
          </w:p>
        </w:tc>
        <w:tc>
          <w:tcPr>
            <w:tcW w:w="74"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09"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color w:val="000000"/>
                <w:sz w:val="16"/>
              </w:rPr>
            </w:pPr>
            <w:r>
              <w:rPr>
                <w:rFonts w:eastAsia="Times New Roman" w:asciiTheme="majorHAnsi" w:hAnsiTheme="majorHAnsi" w:cstheme="majorHAnsi"/>
                <w:color w:val="000000"/>
                <w:sz w:val="16"/>
              </w:rPr>
              <w:t>OCI</w:t>
            </w:r>
          </w:p>
        </w:tc>
      </w:tr>
      <w:tr w:rsidR="009534E2">
        <w:trPr>
          <w:jc w:val="center"/>
        </w:trPr>
        <w:tc>
          <w:tcPr>
            <w:tcW w:w="2567"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4b00b7f4_62b9_45e6_8194_9400f3641adc" w:id="2669"/>
            <w:bookmarkStart w:name="_521b82fe_a81d_4b4f_ae1f_7f09b911cfbf" w:colFirst="6" w:colLast="6" w:id="2670"/>
            <w:bookmarkStart w:name="_28b38b04_719c_4d71_a8db_63c46154e94c" w:colFirst="12" w:colLast="12" w:id="2671"/>
            <w:bookmarkEnd w:id="2668"/>
            <w:r>
              <w:rPr>
                <w:rFonts w:eastAsia="Times New Roman" w:asciiTheme="majorHAnsi" w:hAnsiTheme="majorHAnsi" w:cstheme="majorHAnsi"/>
                <w:color w:val="000000"/>
              </w:rPr>
              <w:t>Intangible assets</w:t>
            </w:r>
          </w:p>
        </w:tc>
        <w:tc>
          <w:tcPr>
            <w:tcW w:w="7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(558)</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(716)</w:t>
            </w:r>
          </w:p>
        </w:tc>
        <w:tc>
          <w:tcPr>
            <w:tcW w:w="7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48</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61</w:t>
            </w:r>
          </w:p>
        </w:tc>
        <w:tc>
          <w:tcPr>
            <w:tcW w:w="7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567"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51fed71b_5131_4e4e_834c_fffccdece55f" w:id="2672"/>
            <w:bookmarkStart w:name="_5eaf011e_8dec_4531_b61c_8b801de88ed3" w:colFirst="6" w:colLast="6" w:id="2673"/>
            <w:bookmarkStart w:name="_abed9e0c_51a8_40be_a69c_43b0eebdf568" w:colFirst="12" w:colLast="12" w:id="2674"/>
            <w:bookmarkEnd w:id="2669"/>
            <w:bookmarkEnd w:id="2670"/>
            <w:bookmarkEnd w:id="2671"/>
            <w:r>
              <w:rPr>
                <w:rFonts w:eastAsia="Times New Roman" w:asciiTheme="majorHAnsi" w:hAnsiTheme="majorHAnsi" w:cstheme="majorHAnsi"/>
                <w:color w:val="000000"/>
              </w:rPr>
              <w:t>Trade and other payables</w:t>
            </w:r>
          </w:p>
        </w:tc>
        <w:tc>
          <w:tcPr>
            <w:tcW w:w="7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259</w:t>
            </w:r>
          </w:p>
        </w:tc>
        <w:tc>
          <w:tcPr>
            <w:tcW w:w="93"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493</w:t>
            </w:r>
          </w:p>
        </w:tc>
        <w:tc>
          <w:tcPr>
            <w:tcW w:w="7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21</w:t>
            </w:r>
          </w:p>
        </w:tc>
        <w:tc>
          <w:tcPr>
            <w:tcW w:w="74" w:type="pct"/>
            <w:tcBorders>
              <w:top w:val="nil"/>
              <w:left w:val="nil"/>
              <w:bottom w:val="nil"/>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230</w:t>
            </w:r>
          </w:p>
        </w:tc>
        <w:tc>
          <w:tcPr>
            <w:tcW w:w="7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567"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d2dd14c1_a0e5_452c_9b6f_790eaf9f7ba0" w:id="2675"/>
            <w:bookmarkStart w:name="_b501bc09_26ff_44cf_bbf1_61f7818e7ec8" w:colFirst="6" w:colLast="6" w:id="2676"/>
            <w:bookmarkStart w:name="_ba1ffdfc_8504_4cb6_8809_a14044ca7834" w:colFirst="12" w:colLast="12" w:id="2677"/>
            <w:bookmarkEnd w:id="2672"/>
            <w:bookmarkEnd w:id="2673"/>
            <w:bookmarkEnd w:id="2674"/>
            <w:r>
              <w:rPr>
                <w:rFonts w:eastAsia="Times New Roman" w:asciiTheme="majorHAnsi" w:hAnsiTheme="majorHAnsi" w:cstheme="majorHAnsi"/>
                <w:color w:val="000000"/>
              </w:rPr>
              <w:t>Trade and other receivables</w:t>
            </w:r>
          </w:p>
        </w:tc>
        <w:tc>
          <w:tcPr>
            <w:tcW w:w="7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32</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w:t>
            </w:r>
          </w:p>
        </w:tc>
        <w:tc>
          <w:tcPr>
            <w:tcW w:w="7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7</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(64)</w:t>
            </w:r>
          </w:p>
        </w:tc>
        <w:tc>
          <w:tcPr>
            <w:tcW w:w="7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567"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338b4d88_3217_42f3_834a_36529d395a4c" w:id="2678"/>
            <w:bookmarkEnd w:id="2675"/>
            <w:bookmarkEnd w:id="2676"/>
            <w:bookmarkEnd w:id="2677"/>
            <w:r>
              <w:rPr>
                <w:rFonts w:eastAsia="Times New Roman" w:asciiTheme="majorHAnsi" w:hAnsiTheme="majorHAnsi" w:cstheme="majorHAnsi"/>
                <w:color w:val="000000"/>
              </w:rPr>
              <w:t>Debt instruments</w:t>
            </w:r>
          </w:p>
        </w:tc>
        <w:tc>
          <w:tcPr>
            <w:tcW w:w="74"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65"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61</w:t>
            </w:r>
          </w:p>
        </w:tc>
        <w:tc>
          <w:tcPr>
            <w:tcW w:w="93"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65"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09"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10</w:t>
            </w:r>
          </w:p>
        </w:tc>
        <w:tc>
          <w:tcPr>
            <w:tcW w:w="74" w:type="pct"/>
            <w:tcBorders>
              <w:top w:val="nil"/>
              <w:left w:val="nil"/>
              <w:bottom w:val="nil"/>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56</w:t>
            </w:r>
          </w:p>
        </w:tc>
        <w:tc>
          <w:tcPr>
            <w:tcW w:w="74" w:type="pct"/>
            <w:tcBorders>
              <w:top w:val="nil"/>
              <w:left w:val="nil"/>
              <w:bottom w:val="nil"/>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(9)</w:t>
            </w:r>
          </w:p>
        </w:tc>
        <w:tc>
          <w:tcPr>
            <w:tcW w:w="74"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09"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(52)</w:t>
            </w:r>
          </w:p>
        </w:tc>
      </w:tr>
      <w:tr w:rsidR="009534E2">
        <w:trPr>
          <w:jc w:val="center"/>
        </w:trPr>
        <w:tc>
          <w:tcPr>
            <w:tcW w:w="2567"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a401d6e8_a6ac_4cdb_be90_5a4f783b9ce6" w:id="2679"/>
            <w:bookmarkEnd w:id="2678"/>
            <w:r>
              <w:rPr>
                <w:rFonts w:eastAsia="Times New Roman" w:asciiTheme="majorHAnsi" w:hAnsiTheme="majorHAnsi" w:cstheme="majorHAnsi"/>
                <w:color w:val="000000"/>
              </w:rPr>
              <w:t>Tax loss carry forwards</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6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27</w:t>
            </w:r>
          </w:p>
        </w:tc>
        <w:tc>
          <w:tcPr>
            <w:tcW w:w="93"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6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09"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27</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(24)</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09"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567"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7a2a1807_1068_4513_9880_e3aa50e2a20e" w:id="2680"/>
            <w:bookmarkStart w:name="_72e95a71_0bf0_4f7a_a470_a2c6f2f3cf4b" w:colFirst="6" w:colLast="6" w:id="2681"/>
            <w:bookmarkStart w:name="_4c1c2522_5320_42b6_8230_3296859c2a29" w:colFirst="12" w:colLast="12" w:id="2682"/>
            <w:bookmarkEnd w:id="2679"/>
            <w:r>
              <w:rPr>
                <w:rFonts w:eastAsia="Times New Roman" w:asciiTheme="majorHAnsi" w:hAnsiTheme="majorHAnsi" w:cstheme="majorHAnsi"/>
                <w:color w:val="000000"/>
              </w:rPr>
              <w:t>Loans issued</w:t>
            </w:r>
          </w:p>
        </w:tc>
        <w:tc>
          <w:tcPr>
            <w:tcW w:w="7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(8)</w:t>
            </w:r>
          </w:p>
        </w:tc>
        <w:tc>
          <w:tcPr>
            <w:tcW w:w="93"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(33)</w:t>
            </w:r>
          </w:p>
        </w:tc>
        <w:tc>
          <w:tcPr>
            <w:tcW w:w="7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(18)</w:t>
            </w:r>
          </w:p>
        </w:tc>
        <w:tc>
          <w:tcPr>
            <w:tcW w:w="74" w:type="pct"/>
            <w:tcBorders>
              <w:top w:val="nil"/>
              <w:left w:val="nil"/>
              <w:bottom w:val="nil"/>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(25)</w:t>
            </w:r>
          </w:p>
        </w:tc>
        <w:tc>
          <w:tcPr>
            <w:tcW w:w="7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567"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f391f5d4_0fe6_4afe_8038_756a376aa335" w:id="2683"/>
            <w:bookmarkStart w:name="_47bba5b3_bb31_469a_a75c_b6e69975d960" w:colFirst="6" w:colLast="6" w:id="2684"/>
            <w:bookmarkStart w:name="_41ca1785_f53e_4d70_b5b1_a677930fda29" w:colFirst="12" w:colLast="12" w:id="2685"/>
            <w:bookmarkEnd w:id="2680"/>
            <w:bookmarkEnd w:id="2681"/>
            <w:bookmarkEnd w:id="2682"/>
            <w:r>
              <w:rPr>
                <w:rFonts w:eastAsia="Times New Roman" w:asciiTheme="majorHAnsi" w:hAnsiTheme="majorHAnsi" w:cstheme="majorHAnsi"/>
                <w:color w:val="000000"/>
              </w:rPr>
              <w:t>Lease obligations</w:t>
            </w:r>
          </w:p>
        </w:tc>
        <w:tc>
          <w:tcPr>
            <w:tcW w:w="7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134</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43</w:t>
            </w:r>
          </w:p>
        </w:tc>
        <w:tc>
          <w:tcPr>
            <w:tcW w:w="7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(88)</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(91)</w:t>
            </w:r>
          </w:p>
        </w:tc>
        <w:tc>
          <w:tcPr>
            <w:tcW w:w="7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567"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4f098ebe_dfb6_4583_a982_c77f4ecce51d" w:id="2686"/>
            <w:bookmarkStart w:name="_e4a05489_62c2_4c55_a37b_da5f21cbbc30" w:colFirst="6" w:colLast="6" w:id="2687"/>
            <w:bookmarkStart w:name="_dca4d5c4_c66e_46a9_a82a_1b8d245c2b5a" w:colFirst="12" w:colLast="12" w:id="2688"/>
            <w:bookmarkEnd w:id="2683"/>
            <w:bookmarkEnd w:id="2684"/>
            <w:bookmarkEnd w:id="2685"/>
            <w:r>
              <w:rPr>
                <w:rFonts w:eastAsia="Times New Roman" w:asciiTheme="majorHAnsi" w:hAnsiTheme="majorHAnsi" w:cstheme="majorHAnsi"/>
                <w:color w:val="000000"/>
              </w:rPr>
              <w:t>Property and equipment</w:t>
            </w:r>
          </w:p>
        </w:tc>
        <w:tc>
          <w:tcPr>
            <w:tcW w:w="7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(140)</w:t>
            </w:r>
          </w:p>
        </w:tc>
        <w:tc>
          <w:tcPr>
            <w:tcW w:w="93"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(103)</w:t>
            </w:r>
          </w:p>
        </w:tc>
        <w:tc>
          <w:tcPr>
            <w:tcW w:w="7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49</w:t>
            </w:r>
          </w:p>
        </w:tc>
        <w:tc>
          <w:tcPr>
            <w:tcW w:w="74" w:type="pct"/>
            <w:tcBorders>
              <w:top w:val="nil"/>
              <w:left w:val="nil"/>
              <w:bottom w:val="nil"/>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37</w:t>
            </w:r>
          </w:p>
        </w:tc>
        <w:tc>
          <w:tcPr>
            <w:tcW w:w="7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nil"/>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567"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80751e57_aa5e_4f2a_b0bb_54ac03b809ca" w:id="2689"/>
            <w:bookmarkStart w:name="_bd28887a_fdc3_4727_b16c_8f249b8c8a7d" w:colFirst="6" w:colLast="6" w:id="2690"/>
            <w:bookmarkStart w:name="_95066d4e_b8e2_4783_9e8d_053bb5c922f6" w:colFirst="12" w:colLast="12" w:id="2691"/>
            <w:bookmarkEnd w:id="2686"/>
            <w:bookmarkEnd w:id="2687"/>
            <w:bookmarkEnd w:id="2688"/>
            <w:r>
              <w:rPr>
                <w:rFonts w:eastAsia="Times New Roman" w:asciiTheme="majorHAnsi" w:hAnsiTheme="majorHAnsi" w:cstheme="majorHAnsi"/>
                <w:color w:val="000000"/>
              </w:rPr>
              <w:t>Taxes on unremitted earnings</w:t>
            </w:r>
          </w:p>
        </w:tc>
        <w:tc>
          <w:tcPr>
            <w:tcW w:w="7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(865)</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(1,122)</w:t>
            </w:r>
          </w:p>
        </w:tc>
        <w:tc>
          <w:tcPr>
            <w:tcW w:w="7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(185)</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(257)</w:t>
            </w:r>
          </w:p>
        </w:tc>
        <w:tc>
          <w:tcPr>
            <w:tcW w:w="7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567"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095258a6_b278_4522_af86_c8d57d83341e" w:id="2692"/>
            <w:bookmarkEnd w:id="2689"/>
            <w:bookmarkEnd w:id="2690"/>
            <w:bookmarkEnd w:id="2691"/>
            <w:r>
              <w:rPr>
                <w:rFonts w:eastAsia="Times New Roman" w:asciiTheme="majorHAnsi" w:hAnsiTheme="majorHAnsi" w:cstheme="majorHAnsi"/>
                <w:color w:val="000000"/>
              </w:rPr>
              <w:t>Other</w:t>
            </w:r>
          </w:p>
        </w:tc>
        <w:tc>
          <w:tcPr>
            <w:tcW w:w="7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single" w:color="000000" w:sz="4" w:space="0"/>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(81)</w:t>
            </w:r>
          </w:p>
        </w:tc>
        <w:tc>
          <w:tcPr>
            <w:tcW w:w="93"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single" w:color="000000" w:sz="4" w:space="0"/>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(210)</w:t>
            </w:r>
          </w:p>
        </w:tc>
        <w:tc>
          <w:tcPr>
            <w:tcW w:w="7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single" w:color="000000" w:sz="4" w:space="0"/>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(114)</w:t>
            </w:r>
          </w:p>
        </w:tc>
        <w:tc>
          <w:tcPr>
            <w:tcW w:w="74" w:type="pct"/>
            <w:tcBorders>
              <w:top w:val="nil"/>
              <w:left w:val="nil"/>
              <w:bottom w:val="nil"/>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74" w:type="pct"/>
            <w:tcBorders>
              <w:top w:val="nil"/>
              <w:left w:val="nil"/>
              <w:bottom w:val="nil"/>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single" w:color="000000" w:sz="4" w:space="0"/>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(127)</w:t>
            </w:r>
          </w:p>
        </w:tc>
        <w:tc>
          <w:tcPr>
            <w:tcW w:w="7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single" w:color="000000" w:sz="4" w:space="0"/>
              <w:right w:val="nil"/>
              <w:tl2br w:val="nil"/>
              <w:tr2bl w:val="nil"/>
            </w:tcBorders>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r>
      <w:tr w:rsidR="009534E2">
        <w:trPr>
          <w:jc w:val="center"/>
        </w:trPr>
        <w:tc>
          <w:tcPr>
            <w:tcW w:w="2567"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b/>
                <w:color w:val="000000"/>
              </w:rPr>
            </w:pPr>
            <w:bookmarkStart w:name="_b996fdf4_4169_4530_97fd_d61536a8255e" w:id="2693"/>
            <w:bookmarkStart w:name="_d4e584f9_05b5_49b0_9448_708a64c11f14" w:colFirst="6" w:colLast="6" w:id="2694"/>
            <w:bookmarkStart w:name="_65f9ddd8_418e_4507_b11f_f3bac1fddd42" w:colFirst="12" w:colLast="12" w:id="2695"/>
            <w:bookmarkEnd w:id="2692"/>
            <w:r>
              <w:rPr>
                <w:rFonts w:eastAsia="Times New Roman" w:asciiTheme="majorHAnsi" w:hAnsiTheme="majorHAnsi" w:cstheme="majorHAnsi"/>
                <w:b/>
                <w:color w:val="000000"/>
              </w:rPr>
              <w:t>Net deferred income tax assets/ (liabilities)</w:t>
            </w:r>
          </w:p>
        </w:tc>
        <w:tc>
          <w:tcPr>
            <w:tcW w:w="7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(1,139)</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(1,639)</w:t>
            </w:r>
          </w:p>
        </w:tc>
        <w:tc>
          <w:tcPr>
            <w:tcW w:w="7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(243)</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b/>
                <w:color w:val="000000"/>
              </w:rPr>
            </w:pPr>
          </w:p>
        </w:tc>
        <w:tc>
          <w:tcPr>
            <w:tcW w:w="311"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b/>
                <w:color w:val="000000"/>
              </w:rPr>
            </w:pPr>
            <w:r>
              <w:rPr>
                <w:rFonts w:eastAsia="Times New Roman" w:asciiTheme="majorHAnsi" w:hAnsiTheme="majorHAnsi" w:cstheme="majorHAnsi"/>
                <w:b/>
                <w:color w:val="000000"/>
              </w:rPr>
              <w:t xml:space="preserve"> 56</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b/>
                <w:color w:val="000000"/>
              </w:rPr>
            </w:pPr>
          </w:p>
        </w:tc>
        <w:tc>
          <w:tcPr>
            <w:tcW w:w="311"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(269)</w:t>
            </w:r>
          </w:p>
        </w:tc>
        <w:tc>
          <w:tcPr>
            <w:tcW w:w="74"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double" w:color="000000" w:sz="4" w:space="0"/>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b/>
                <w:color w:val="000000"/>
              </w:rPr>
            </w:pPr>
            <w:r>
              <w:rPr>
                <w:rFonts w:eastAsia="Times New Roman" w:asciiTheme="majorHAnsi" w:hAnsiTheme="majorHAnsi" w:cstheme="majorHAnsi"/>
                <w:b/>
                <w:color w:val="000000"/>
              </w:rPr>
              <w:t xml:space="preserve"> (52)</w:t>
            </w:r>
          </w:p>
        </w:tc>
      </w:tr>
      <w:tr w:rsidR="009534E2">
        <w:trPr>
          <w:jc w:val="center"/>
        </w:trPr>
        <w:tc>
          <w:tcPr>
            <w:tcW w:w="2567"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93d07d94_1634_4af2_a5a8_4d8d3e882e58" w:id="2696"/>
            <w:bookmarkEnd w:id="2693"/>
            <w:bookmarkEnd w:id="2694"/>
            <w:bookmarkEnd w:id="2695"/>
            <w:r>
              <w:rPr>
                <w:rFonts w:eastAsia="Times New Roman" w:asciiTheme="majorHAnsi" w:hAnsiTheme="majorHAnsi" w:cstheme="majorHAnsi"/>
                <w:color w:val="000000"/>
              </w:rPr>
              <w:t>including:</w:t>
            </w:r>
          </w:p>
        </w:tc>
        <w:tc>
          <w:tcPr>
            <w:tcW w:w="7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nil"/>
              <w:right w:val="nil"/>
              <w:tl2br w:val="nil"/>
              <w:tr2bl w:val="nil"/>
            </w:tcBorders>
            <w:noWrap/>
            <w:vAlign w:val="bottom"/>
          </w:tcPr>
          <w:p w:rsidR="009534E2" w:rsidRDefault="009534E2">
            <w:pPr>
              <w:keepNext/>
              <w:spacing w:after="1"/>
              <w:rPr>
                <w:rFonts w:eastAsia="Calibri" w:asciiTheme="majorHAnsi" w:hAnsiTheme="majorHAnsi" w:cstheme="majorHAnsi"/>
                <w:color w:val="000000"/>
              </w:rPr>
            </w:pPr>
          </w:p>
        </w:tc>
        <w:tc>
          <w:tcPr>
            <w:tcW w:w="93" w:type="pct"/>
            <w:tcBorders>
              <w:top w:val="nil"/>
              <w:left w:val="nil"/>
              <w:bottom w:val="nil"/>
              <w:right w:val="nil"/>
              <w:tl2br w:val="nil"/>
              <w:tr2bl w:val="nil"/>
            </w:tcBorders>
            <w:noWrap/>
            <w:vAlign w:val="bottom"/>
          </w:tcPr>
          <w:p w:rsidR="009534E2" w:rsidRDefault="009534E2">
            <w:pPr>
              <w:keepNext/>
              <w:spacing w:after="1"/>
              <w:rPr>
                <w:rFonts w:eastAsia="Calibri" w:asciiTheme="majorHAnsi" w:hAnsiTheme="majorHAnsi" w:cstheme="majorHAnsi"/>
                <w:color w:val="000000"/>
              </w:rPr>
            </w:pPr>
          </w:p>
        </w:tc>
        <w:tc>
          <w:tcPr>
            <w:tcW w:w="365" w:type="pct"/>
            <w:tcBorders>
              <w:top w:val="nil"/>
              <w:left w:val="nil"/>
              <w:bottom w:val="nil"/>
              <w:right w:val="nil"/>
              <w:tl2br w:val="nil"/>
              <w:tr2bl w:val="nil"/>
            </w:tcBorders>
            <w:noWrap/>
            <w:vAlign w:val="bottom"/>
          </w:tcPr>
          <w:p w:rsidR="009534E2" w:rsidRDefault="009534E2">
            <w:pPr>
              <w:keepNext/>
              <w:spacing w:after="1"/>
              <w:rPr>
                <w:rFonts w:eastAsia="Calibri" w:asciiTheme="majorHAnsi" w:hAnsiTheme="majorHAnsi" w:cstheme="majorHAnsi"/>
                <w:color w:val="000000"/>
              </w:rPr>
            </w:pPr>
          </w:p>
        </w:tc>
        <w:tc>
          <w:tcPr>
            <w:tcW w:w="7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74" w:type="pct"/>
            <w:tcBorders>
              <w:top w:val="nil"/>
              <w:left w:val="nil"/>
              <w:bottom w:val="nil"/>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74" w:type="pct"/>
            <w:tcBorders>
              <w:top w:val="nil"/>
              <w:left w:val="nil"/>
              <w:bottom w:val="nil"/>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311" w:type="pct"/>
            <w:tcBorders>
              <w:top w:val="nil"/>
              <w:left w:val="nil"/>
              <w:bottom w:val="nil"/>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74"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09"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r>
      <w:tr w:rsidR="009534E2">
        <w:trPr>
          <w:jc w:val="center"/>
        </w:trPr>
        <w:tc>
          <w:tcPr>
            <w:tcW w:w="2567"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5ce85e3a_78ec_4aee_b1c8_e268a6ccb0df" w:id="2697"/>
            <w:bookmarkEnd w:id="2696"/>
            <w:r>
              <w:rPr>
                <w:rFonts w:eastAsia="Times New Roman" w:asciiTheme="majorHAnsi" w:hAnsiTheme="majorHAnsi" w:cstheme="majorHAnsi"/>
                <w:color w:val="000000"/>
              </w:rPr>
              <w:t>Deferred tax assets</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rPr>
                <w:rFonts w:eastAsia="Calibri" w:asciiTheme="majorHAnsi" w:hAnsiTheme="majorHAnsi" w:cstheme="majorHAnsi"/>
                <w:color w:val="000000"/>
                <w:sz w:val="22"/>
              </w:rPr>
            </w:pPr>
          </w:p>
        </w:tc>
        <w:tc>
          <w:tcPr>
            <w:tcW w:w="36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237</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365" w:type="pct"/>
            <w:tcBorders>
              <w:top w:val="nil"/>
              <w:left w:val="nil"/>
              <w:bottom w:val="nil"/>
              <w:right w:val="nil"/>
              <w:tl2br w:val="nil"/>
              <w:tr2bl w:val="nil"/>
            </w:tcBorders>
            <w:shd w:val="clear" w:color="auto" w:fill="CCEEFF"/>
            <w:noWrap/>
            <w:vAlign w:val="bottom"/>
          </w:tcPr>
          <w:p w:rsidR="009534E2" w:rsidRDefault="003369EB">
            <w:pPr>
              <w:keepNext/>
              <w:spacing w:after="1"/>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208</w:t>
            </w: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rPr>
                <w:rFonts w:eastAsia="Calibri" w:asciiTheme="majorHAnsi" w:hAnsiTheme="majorHAnsi" w:cstheme="majorHAnsi"/>
                <w:color w:val="000000"/>
                <w:sz w:val="22"/>
              </w:rPr>
            </w:pPr>
          </w:p>
        </w:tc>
        <w:tc>
          <w:tcPr>
            <w:tcW w:w="309" w:type="pct"/>
            <w:tcBorders>
              <w:top w:val="nil"/>
              <w:left w:val="nil"/>
              <w:bottom w:val="nil"/>
              <w:right w:val="nil"/>
              <w:tl2br w:val="nil"/>
              <w:tr2bl w:val="nil"/>
            </w:tcBorders>
            <w:shd w:val="clear" w:color="auto" w:fill="CCEEFF"/>
            <w:noWrap/>
            <w:vAlign w:val="bottom"/>
          </w:tcPr>
          <w:p w:rsidR="009534E2" w:rsidRDefault="009534E2">
            <w:pPr>
              <w:keepNext/>
              <w:spacing w:after="1"/>
              <w:rPr>
                <w:rFonts w:eastAsia="Calibri" w:asciiTheme="majorHAnsi" w:hAnsiTheme="majorHAnsi" w:cstheme="majorHAnsi"/>
                <w:color w:val="000000"/>
                <w:sz w:val="22"/>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rPr>
                <w:rFonts w:eastAsia="Calibri" w:asciiTheme="majorHAnsi" w:hAnsiTheme="majorHAnsi" w:cstheme="majorHAnsi"/>
                <w:color w:val="000000"/>
                <w:sz w:val="22"/>
              </w:rPr>
            </w:pPr>
          </w:p>
        </w:tc>
        <w:tc>
          <w:tcPr>
            <w:tcW w:w="311" w:type="pct"/>
            <w:tcBorders>
              <w:top w:val="nil"/>
              <w:left w:val="nil"/>
              <w:bottom w:val="nil"/>
              <w:right w:val="nil"/>
              <w:tl2br w:val="nil"/>
              <w:tr2bl w:val="nil"/>
            </w:tcBorders>
            <w:shd w:val="clear" w:color="auto" w:fill="CCEEFF"/>
            <w:noWrap/>
            <w:vAlign w:val="bottom"/>
          </w:tcPr>
          <w:p w:rsidR="009534E2" w:rsidRDefault="009534E2">
            <w:pPr>
              <w:keepNext/>
              <w:spacing w:after="1"/>
              <w:rPr>
                <w:rFonts w:eastAsia="Calibri" w:asciiTheme="majorHAnsi" w:hAnsiTheme="majorHAnsi" w:cstheme="majorHAnsi"/>
                <w:color w:val="000000"/>
                <w:sz w:val="22"/>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rPr>
                <w:rFonts w:eastAsia="Calibri" w:asciiTheme="majorHAnsi" w:hAnsiTheme="majorHAnsi" w:cstheme="majorHAnsi"/>
                <w:color w:val="000000"/>
                <w:sz w:val="22"/>
              </w:rPr>
            </w:pPr>
          </w:p>
        </w:tc>
        <w:tc>
          <w:tcPr>
            <w:tcW w:w="311" w:type="pct"/>
            <w:tcBorders>
              <w:top w:val="nil"/>
              <w:left w:val="nil"/>
              <w:bottom w:val="nil"/>
              <w:right w:val="nil"/>
              <w:tl2br w:val="nil"/>
              <w:tr2bl w:val="nil"/>
            </w:tcBorders>
            <w:shd w:val="clear" w:color="auto" w:fill="CCEEFF"/>
            <w:noWrap/>
            <w:vAlign w:val="bottom"/>
          </w:tcPr>
          <w:p w:rsidR="009534E2" w:rsidRDefault="009534E2">
            <w:pPr>
              <w:keepNext/>
              <w:spacing w:after="1"/>
              <w:rPr>
                <w:rFonts w:eastAsia="Calibri" w:asciiTheme="majorHAnsi" w:hAnsiTheme="majorHAnsi" w:cstheme="majorHAnsi"/>
                <w:color w:val="000000"/>
                <w:sz w:val="22"/>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spacing w:after="1"/>
              <w:rPr>
                <w:rFonts w:eastAsia="Calibri" w:asciiTheme="majorHAnsi" w:hAnsiTheme="majorHAnsi" w:cstheme="majorHAnsi"/>
                <w:color w:val="000000"/>
                <w:sz w:val="22"/>
              </w:rPr>
            </w:pPr>
          </w:p>
        </w:tc>
        <w:tc>
          <w:tcPr>
            <w:tcW w:w="309" w:type="pct"/>
            <w:tcBorders>
              <w:top w:val="nil"/>
              <w:left w:val="nil"/>
              <w:bottom w:val="nil"/>
              <w:right w:val="nil"/>
              <w:tl2br w:val="nil"/>
              <w:tr2bl w:val="nil"/>
            </w:tcBorders>
            <w:shd w:val="clear" w:color="auto" w:fill="CCEEFF"/>
            <w:noWrap/>
            <w:vAlign w:val="bottom"/>
          </w:tcPr>
          <w:p w:rsidR="009534E2" w:rsidRDefault="009534E2">
            <w:pPr>
              <w:keepNext/>
              <w:spacing w:after="1"/>
              <w:rPr>
                <w:rFonts w:eastAsia="Calibri" w:asciiTheme="majorHAnsi" w:hAnsiTheme="majorHAnsi" w:cstheme="majorHAnsi"/>
                <w:color w:val="000000"/>
                <w:sz w:val="22"/>
              </w:rPr>
            </w:pPr>
          </w:p>
        </w:tc>
      </w:tr>
      <w:tr w:rsidR="009534E2">
        <w:trPr>
          <w:jc w:val="center"/>
        </w:trPr>
        <w:tc>
          <w:tcPr>
            <w:tcW w:w="2567"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108c510a_ea87_4240_8abd_be990ef06a5b" w:id="2698"/>
            <w:bookmarkEnd w:id="2697"/>
            <w:r>
              <w:rPr>
                <w:rFonts w:eastAsia="Times New Roman" w:asciiTheme="majorHAnsi" w:hAnsiTheme="majorHAnsi" w:cstheme="majorHAnsi"/>
                <w:color w:val="000000"/>
              </w:rPr>
              <w:t>Deferred tax liabilities</w:t>
            </w:r>
          </w:p>
        </w:tc>
        <w:tc>
          <w:tcPr>
            <w:tcW w:w="74" w:type="pct"/>
            <w:tcBorders>
              <w:top w:val="nil"/>
              <w:left w:val="nil"/>
              <w:bottom w:val="nil"/>
              <w:right w:val="nil"/>
              <w:tl2br w:val="nil"/>
              <w:tr2bl w:val="nil"/>
            </w:tcBorders>
            <w:noWrap/>
            <w:vAlign w:val="bottom"/>
          </w:tcPr>
          <w:p w:rsidR="009534E2" w:rsidRDefault="009534E2">
            <w:pPr>
              <w:keepNext/>
              <w:spacing w:after="1"/>
              <w:rPr>
                <w:rFonts w:eastAsia="Calibri" w:asciiTheme="majorHAnsi" w:hAnsiTheme="majorHAnsi" w:cstheme="majorHAnsi"/>
                <w:color w:val="000000"/>
                <w:sz w:val="22"/>
              </w:rPr>
            </w:pPr>
          </w:p>
        </w:tc>
        <w:tc>
          <w:tcPr>
            <w:tcW w:w="365"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(1,376)</w:t>
            </w:r>
          </w:p>
        </w:tc>
        <w:tc>
          <w:tcPr>
            <w:tcW w:w="93"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sz w:val="22"/>
              </w:rPr>
            </w:pPr>
          </w:p>
        </w:tc>
        <w:tc>
          <w:tcPr>
            <w:tcW w:w="365"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xml:space="preserve"> (1,847)</w:t>
            </w:r>
          </w:p>
        </w:tc>
        <w:tc>
          <w:tcPr>
            <w:tcW w:w="74" w:type="pct"/>
            <w:tcBorders>
              <w:top w:val="nil"/>
              <w:left w:val="nil"/>
              <w:bottom w:val="nil"/>
              <w:right w:val="nil"/>
              <w:tl2br w:val="nil"/>
              <w:tr2bl w:val="nil"/>
            </w:tcBorders>
            <w:noWrap/>
            <w:vAlign w:val="bottom"/>
          </w:tcPr>
          <w:p w:rsidR="009534E2" w:rsidRDefault="009534E2">
            <w:pPr>
              <w:keepNext/>
              <w:spacing w:after="1"/>
              <w:rPr>
                <w:rFonts w:eastAsia="Calibri" w:asciiTheme="majorHAnsi" w:hAnsiTheme="majorHAnsi" w:cstheme="majorHAnsi"/>
                <w:color w:val="000000"/>
                <w:sz w:val="22"/>
              </w:rPr>
            </w:pPr>
          </w:p>
        </w:tc>
        <w:tc>
          <w:tcPr>
            <w:tcW w:w="309" w:type="pct"/>
            <w:tcBorders>
              <w:top w:val="nil"/>
              <w:left w:val="nil"/>
              <w:bottom w:val="nil"/>
              <w:right w:val="nil"/>
              <w:tl2br w:val="nil"/>
              <w:tr2bl w:val="nil"/>
            </w:tcBorders>
            <w:noWrap/>
            <w:vAlign w:val="bottom"/>
          </w:tcPr>
          <w:p w:rsidR="009534E2" w:rsidRDefault="009534E2">
            <w:pPr>
              <w:keepNext/>
              <w:spacing w:after="1"/>
              <w:rPr>
                <w:rFonts w:eastAsia="Calibri" w:asciiTheme="majorHAnsi" w:hAnsiTheme="majorHAnsi" w:cstheme="majorHAnsi"/>
                <w:color w:val="000000"/>
                <w:sz w:val="22"/>
              </w:rPr>
            </w:pPr>
          </w:p>
        </w:tc>
        <w:tc>
          <w:tcPr>
            <w:tcW w:w="74" w:type="pct"/>
            <w:tcBorders>
              <w:top w:val="nil"/>
              <w:left w:val="nil"/>
              <w:bottom w:val="nil"/>
              <w:right w:val="nil"/>
              <w:tl2br w:val="nil"/>
              <w:tr2bl w:val="nil"/>
            </w:tcBorders>
            <w:noWrap/>
            <w:vAlign w:val="bottom"/>
          </w:tcPr>
          <w:p w:rsidR="009534E2" w:rsidRDefault="009534E2">
            <w:pPr>
              <w:keepNext/>
              <w:spacing w:after="1"/>
              <w:rPr>
                <w:rFonts w:eastAsia="Calibri" w:asciiTheme="majorHAnsi" w:hAnsiTheme="majorHAnsi" w:cstheme="majorHAnsi"/>
                <w:color w:val="000000"/>
                <w:sz w:val="22"/>
              </w:rPr>
            </w:pPr>
          </w:p>
        </w:tc>
        <w:tc>
          <w:tcPr>
            <w:tcW w:w="311" w:type="pct"/>
            <w:tcBorders>
              <w:top w:val="nil"/>
              <w:left w:val="nil"/>
              <w:bottom w:val="nil"/>
              <w:right w:val="nil"/>
              <w:tl2br w:val="nil"/>
              <w:tr2bl w:val="nil"/>
            </w:tcBorders>
            <w:noWrap/>
            <w:vAlign w:val="bottom"/>
          </w:tcPr>
          <w:p w:rsidR="009534E2" w:rsidRDefault="009534E2">
            <w:pPr>
              <w:keepNext/>
              <w:spacing w:after="1"/>
              <w:rPr>
                <w:rFonts w:eastAsia="Calibri" w:asciiTheme="majorHAnsi" w:hAnsiTheme="majorHAnsi" w:cstheme="majorHAnsi"/>
                <w:color w:val="000000"/>
                <w:sz w:val="22"/>
              </w:rPr>
            </w:pPr>
          </w:p>
        </w:tc>
        <w:tc>
          <w:tcPr>
            <w:tcW w:w="74" w:type="pct"/>
            <w:tcBorders>
              <w:top w:val="nil"/>
              <w:left w:val="nil"/>
              <w:bottom w:val="nil"/>
              <w:right w:val="nil"/>
              <w:tl2br w:val="nil"/>
              <w:tr2bl w:val="nil"/>
            </w:tcBorders>
            <w:noWrap/>
            <w:vAlign w:val="bottom"/>
          </w:tcPr>
          <w:p w:rsidR="009534E2" w:rsidRDefault="009534E2">
            <w:pPr>
              <w:keepNext/>
              <w:spacing w:after="1"/>
              <w:rPr>
                <w:rFonts w:eastAsia="Calibri" w:asciiTheme="majorHAnsi" w:hAnsiTheme="majorHAnsi" w:cstheme="majorHAnsi"/>
                <w:color w:val="000000"/>
                <w:sz w:val="22"/>
              </w:rPr>
            </w:pPr>
          </w:p>
        </w:tc>
        <w:tc>
          <w:tcPr>
            <w:tcW w:w="311" w:type="pct"/>
            <w:tcBorders>
              <w:top w:val="nil"/>
              <w:left w:val="nil"/>
              <w:bottom w:val="nil"/>
              <w:right w:val="nil"/>
              <w:tl2br w:val="nil"/>
              <w:tr2bl w:val="nil"/>
            </w:tcBorders>
            <w:noWrap/>
            <w:vAlign w:val="bottom"/>
          </w:tcPr>
          <w:p w:rsidR="009534E2" w:rsidRDefault="009534E2">
            <w:pPr>
              <w:keepNext/>
              <w:spacing w:after="1"/>
              <w:rPr>
                <w:rFonts w:eastAsia="Calibri" w:asciiTheme="majorHAnsi" w:hAnsiTheme="majorHAnsi" w:cstheme="majorHAnsi"/>
                <w:color w:val="000000"/>
                <w:sz w:val="22"/>
              </w:rPr>
            </w:pPr>
          </w:p>
        </w:tc>
        <w:tc>
          <w:tcPr>
            <w:tcW w:w="74" w:type="pct"/>
            <w:tcBorders>
              <w:top w:val="nil"/>
              <w:left w:val="nil"/>
              <w:bottom w:val="nil"/>
              <w:right w:val="nil"/>
              <w:tl2br w:val="nil"/>
              <w:tr2bl w:val="nil"/>
            </w:tcBorders>
            <w:noWrap/>
            <w:vAlign w:val="bottom"/>
          </w:tcPr>
          <w:p w:rsidR="009534E2" w:rsidRDefault="009534E2">
            <w:pPr>
              <w:keepNext/>
              <w:spacing w:after="1"/>
              <w:rPr>
                <w:rFonts w:eastAsia="Calibri" w:asciiTheme="majorHAnsi" w:hAnsiTheme="majorHAnsi" w:cstheme="majorHAnsi"/>
                <w:color w:val="000000"/>
                <w:sz w:val="22"/>
              </w:rPr>
            </w:pPr>
          </w:p>
        </w:tc>
        <w:tc>
          <w:tcPr>
            <w:tcW w:w="309" w:type="pct"/>
            <w:tcBorders>
              <w:top w:val="nil"/>
              <w:left w:val="nil"/>
              <w:bottom w:val="nil"/>
              <w:right w:val="nil"/>
              <w:tl2br w:val="nil"/>
              <w:tr2bl w:val="nil"/>
            </w:tcBorders>
            <w:noWrap/>
            <w:vAlign w:val="bottom"/>
          </w:tcPr>
          <w:p w:rsidR="009534E2" w:rsidRDefault="009534E2">
            <w:pPr>
              <w:keepNext/>
              <w:spacing w:after="1"/>
              <w:rPr>
                <w:rFonts w:eastAsia="Calibri" w:asciiTheme="majorHAnsi" w:hAnsiTheme="majorHAnsi" w:cstheme="majorHAnsi"/>
                <w:color w:val="000000"/>
                <w:sz w:val="22"/>
              </w:rPr>
            </w:pPr>
          </w:p>
        </w:tc>
      </w:tr>
      <w:bookmarkEnd w:id="2648"/>
      <w:bookmarkEnd w:id="2663"/>
      <w:bookmarkEnd w:id="2698"/>
    </w:tbl>
    <w:p w:rsidR="009534E2" w:rsidRDefault="009534E2">
      <w:pPr>
        <w:pStyle w:val="BodyText"/>
        <w:spacing w:after="0"/>
        <w:rPr>
          <w:rFonts w:eastAsia="Times New Roman" w:asciiTheme="majorHAnsi" w:hAnsiTheme="majorHAnsi" w:cstheme="majorHAnsi"/>
          <w:lang w:eastAsia="ru-RU"/>
        </w:rPr>
      </w:pP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Deferred tax assets and liabilities are not offset because they do not relate to income taxes levied by the same tax authority on the same taxable entity.</w:t>
      </w:r>
    </w:p>
    <w:p w:rsidR="001F5A48" w:rsidP="001F5A48" w:rsidRDefault="001F5A48">
      <w:pPr>
        <w:pStyle w:val="BodyText"/>
        <w:keepNext/>
        <w:keepLines/>
        <w:ind w:left="360" w:hanging="360"/>
        <w:outlineLvl w:val="1"/>
        <w:rPr>
          <w:rFonts w:eastAsia="Times New Roman" w:asciiTheme="majorHAnsi" w:hAnsiTheme="majorHAnsi" w:cstheme="majorHAnsi"/>
          <w:b/>
          <w:bCs/>
          <w:lang w:eastAsia="ru-RU"/>
        </w:rPr>
      </w:pPr>
      <w:r>
        <w:rPr>
          <w:rFonts w:eastAsia="Times New Roman" w:asciiTheme="majorHAnsi" w:hAnsiTheme="majorHAnsi" w:cstheme="majorHAnsi"/>
          <w:b/>
          <w:bCs/>
          <w:lang w:eastAsia="ru-RU"/>
        </w:rPr>
        <w:t>27.</w:t>
      </w:r>
      <w:r>
        <w:rPr>
          <w:rFonts w:eastAsia="Times New Roman" w:asciiTheme="majorHAnsi" w:hAnsiTheme="majorHAnsi" w:cstheme="majorHAnsi"/>
          <w:b/>
          <w:bCs/>
          <w:lang w:eastAsia="ru-RU"/>
        </w:rPr>
        <w:tab/>
        <w:t>Income tax (continued)</w:t>
      </w:r>
    </w:p>
    <w:p w:rsidR="009534E2" w:rsidRDefault="003369EB">
      <w:pPr>
        <w:pStyle w:val="BodyText"/>
        <w:keepNext/>
        <w:spacing w:after="0"/>
        <w:rPr>
          <w:rFonts w:eastAsia="Times New Roman" w:asciiTheme="majorHAnsi" w:hAnsiTheme="majorHAnsi" w:cstheme="majorHAnsi"/>
        </w:rPr>
      </w:pPr>
      <w:r>
        <w:rPr>
          <w:rFonts w:eastAsia="Times New Roman" w:asciiTheme="majorHAnsi" w:hAnsiTheme="majorHAnsi" w:cstheme="majorHAnsi"/>
        </w:rPr>
        <w:t>Reconciliation of deferred income tax asset/(</w:t>
      </w:r>
      <w:r>
        <w:rPr>
          <w:rFonts w:eastAsia="Times New Roman" w:asciiTheme="majorHAnsi" w:hAnsiTheme="majorHAnsi" w:cstheme="majorHAnsi"/>
          <w:lang w:eastAsia="ru-RU"/>
        </w:rPr>
        <w:t>liability)</w:t>
      </w:r>
      <w:r>
        <w:rPr>
          <w:rFonts w:eastAsia="Times New Roman" w:asciiTheme="majorHAnsi" w:hAnsiTheme="majorHAnsi" w:cstheme="majorHAnsi"/>
        </w:rPr>
        <w:t>, net:</w:t>
      </w:r>
    </w:p>
    <w:p w:rsidR="009534E2" w:rsidRDefault="009534E2">
      <w:pPr>
        <w:pStyle w:val="BodyText"/>
        <w:keepNext/>
        <w:spacing w:after="0"/>
        <w:rPr>
          <w:rFonts w:eastAsia="Times New Roman" w:asciiTheme="majorHAnsi" w:hAnsiTheme="majorHAnsi" w:cstheme="majorHAnsi"/>
        </w:rPr>
      </w:pPr>
      <w:bookmarkStart w:name="_e8c88e22_3f9f_40c5_ad5a_dda438ab7182" w:id="2699"/>
      <w:bookmarkStart w:name="_af627f97_47c2_450d_a5c4_c7d60cfabdb3" w:id="2700"/>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009534E2">
        <w:trPr>
          <w:trHeight w:val="20" w:hRule="exact"/>
          <w:jc w:val="center"/>
        </w:trPr>
        <w:tc>
          <w:tcPr>
            <w:tcW w:w="3401"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13aa7aa0_352b_4c70_b232_e1062a9b149b" w:id="2701"/>
            <w:bookmarkStart w:name="_cd711f26_bc7b_420a_a3c2_f12633cca91a" w:colFirst="0" w:colLast="0" w:id="2702"/>
            <w:bookmarkStart w:name="_85f9c876_886b_48bd_9534_cb0974ae9677" w:colFirst="1" w:colLast="1" w:id="2703"/>
            <w:bookmarkStart w:name="_99168430_aa37_4037_a017_9a6a87e3b077" w:colFirst="2" w:colLast="2" w:id="2704"/>
            <w:bookmarkStart w:name="_bdea5651_d59f_4f0f_a9bf_8692c6339def" w:colFirst="3" w:colLast="3" w:id="2705"/>
            <w:bookmarkStart w:name="_87a2c21c_bae7_4052_85cc_a809b9b6ecbc" w:colFirst="4" w:colLast="4" w:id="2706"/>
            <w:bookmarkStart w:name="_a5c5b899_2abb_4130_b54b_26b7bd31c9b1" w:colFirst="5" w:colLast="5" w:id="2707"/>
            <w:bookmarkStart w:name="_9d35bffd_fb9b_4e78_a0a3_d96290c3b731" w:colFirst="6" w:colLast="6" w:id="2708"/>
            <w:bookmarkStart w:name="_4c84e45f_62de_434c_90f7_9b4c3bd4f72b" w:id="2709"/>
            <w:bookmarkEnd w:id="2701"/>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3401"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1ae50a1b_5577_4125_9b7f_0c06f0b16052" w:id="2710"/>
            <w:bookmarkEnd w:id="2702"/>
            <w:bookmarkEnd w:id="2703"/>
            <w:bookmarkEnd w:id="2704"/>
            <w:bookmarkEnd w:id="2705"/>
            <w:bookmarkEnd w:id="2706"/>
            <w:bookmarkEnd w:id="2707"/>
            <w:bookmarkEnd w:id="2708"/>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1cbaec0d_daa9_4843_8a12_65323adc6a75" w:id="2711"/>
            <w:bookmarkStart w:name="_228ae87f_8356_4050_8acf_566271918e29" w:colFirst="2" w:colLast="2" w:id="2712"/>
            <w:bookmarkStart w:name="_b8cd957c_079f_4a69_8c05_b449211a8ff4" w:colFirst="4" w:colLast="4" w:id="2713"/>
            <w:bookmarkStart w:name="_bf3132e4_48bb_4e58_ad0e_f3a5ffad873f" w:colFirst="6" w:colLast="6" w:id="2714"/>
            <w:bookmarkEnd w:id="2710"/>
            <w:r>
              <w:rPr>
                <w:rFonts w:eastAsia="Times New Roman" w:asciiTheme="majorHAnsi" w:hAnsiTheme="majorHAnsi" w:cstheme="majorHAnsi"/>
                <w:b/>
                <w:color w:val="000000"/>
              </w:rPr>
              <w:t>Deferred income tax asset/(liability), net as of January 1</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(532)</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(952)</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(1,139)</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fd5f259c_bbd3_4fce_b21c_e33f8b4726f7" w:id="2715"/>
            <w:bookmarkEnd w:id="2711"/>
            <w:bookmarkEnd w:id="2712"/>
            <w:bookmarkEnd w:id="2713"/>
            <w:bookmarkEnd w:id="2714"/>
            <w:r>
              <w:rPr>
                <w:rFonts w:eastAsia="Times New Roman" w:asciiTheme="majorHAnsi" w:hAnsiTheme="majorHAnsi" w:cstheme="majorHAnsi"/>
                <w:color w:val="000000"/>
              </w:rPr>
              <w:t>Effect of business combinations</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rFonts w:asciiTheme="majorHAnsi" w:hAnsiTheme="majorHAnsi" w:cstheme="majorHAnsi"/>
                <w:color w:val="000000"/>
              </w:rPr>
            </w:pPr>
            <w:r>
              <w:rPr>
                <w:rFonts w:eastAsia="Times New Roman" w:asciiTheme="majorHAnsi" w:hAnsiTheme="majorHAnsi" w:cstheme="majorHAnsi"/>
                <w:color w:val="000000"/>
              </w:rPr>
              <w:t xml:space="preserve"> —</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(179)</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3a4addfd_5071_40c9_ad6f_fdc2c66d0717" w:id="2716"/>
            <w:bookmarkEnd w:id="2715"/>
            <w:r>
              <w:rPr>
                <w:rFonts w:eastAsia="Times New Roman" w:asciiTheme="majorHAnsi" w:hAnsiTheme="majorHAnsi" w:cstheme="majorHAnsi"/>
                <w:color w:val="000000"/>
              </w:rPr>
              <w:t>Deferred tax benefit/(expense)</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(420)</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(187)</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(321)</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rPr>
                <w:rFonts w:asciiTheme="majorHAnsi" w:hAnsiTheme="majorHAnsi" w:cstheme="majorHAnsi"/>
                <w:b/>
                <w:color w:val="000000"/>
              </w:rPr>
            </w:pPr>
            <w:bookmarkStart w:name="_2b6b5370_bb4c_4521_86ae_b8228ee8908b" w:id="2717"/>
            <w:bookmarkEnd w:id="2716"/>
            <w:r>
              <w:rPr>
                <w:rFonts w:eastAsia="Times New Roman" w:asciiTheme="majorHAnsi" w:hAnsiTheme="majorHAnsi" w:cstheme="majorHAnsi"/>
                <w:b/>
                <w:color w:val="000000"/>
              </w:rPr>
              <w:t>Deferred income tax asset/(liability), net as of December 31</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(952)</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(1,139)</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double" w:color="000000" w:sz="4" w:space="0"/>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(1,639)</w:t>
            </w:r>
          </w:p>
        </w:tc>
      </w:tr>
      <w:bookmarkEnd w:id="2647"/>
      <w:bookmarkEnd w:id="2699"/>
      <w:bookmarkEnd w:id="2700"/>
      <w:bookmarkEnd w:id="2709"/>
      <w:bookmarkEnd w:id="2717"/>
    </w:tbl>
    <w:p w:rsidR="009534E2" w:rsidRDefault="009534E2">
      <w:pPr>
        <w:rPr>
          <w:rFonts w:asciiTheme="majorHAnsi" w:hAnsiTheme="majorHAnsi" w:cstheme="majorHAnsi"/>
        </w:rPr>
      </w:pP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As of December 31, 2022 the Group does not intend to distribute a portion of its accumulated unremitted earnings in the amount of </w:t>
      </w:r>
      <w:bookmarkStart w:name="_681e985f_fe3c_48dd_b8e3_2bc97fd25786" w:id="2718"/>
      <w:r>
        <w:rPr>
          <w:rFonts w:eastAsia="Times New Roman" w:asciiTheme="majorHAnsi" w:hAnsiTheme="majorHAnsi" w:cstheme="majorHAnsi"/>
          <w:lang w:eastAsia="ru-RU"/>
        </w:rPr>
        <w:t>18,303</w:t>
      </w:r>
      <w:bookmarkEnd w:id="2718"/>
      <w:r>
        <w:rPr>
          <w:rFonts w:eastAsia="Times New Roman" w:asciiTheme="majorHAnsi" w:hAnsiTheme="majorHAnsi" w:cstheme="majorHAnsi"/>
          <w:lang w:eastAsia="ru-RU"/>
        </w:rPr>
        <w:t xml:space="preserve"> (2021 – </w:t>
      </w:r>
      <w:bookmarkStart w:name="_3cd6b751_a451_4262_9523_646beceb20c3" w:id="2719"/>
      <w:r>
        <w:rPr>
          <w:rFonts w:eastAsia="Times New Roman" w:asciiTheme="majorHAnsi" w:hAnsiTheme="majorHAnsi" w:cstheme="majorHAnsi"/>
          <w:lang w:eastAsia="ru-RU"/>
        </w:rPr>
        <w:t>11,024</w:t>
      </w:r>
      <w:bookmarkEnd w:id="2719"/>
      <w:r>
        <w:rPr>
          <w:rFonts w:eastAsia="Times New Roman" w:asciiTheme="majorHAnsi" w:hAnsiTheme="majorHAnsi" w:cstheme="majorHAnsi"/>
          <w:lang w:eastAsia="ru-RU"/>
        </w:rPr>
        <w:t xml:space="preserve">). The amount of tax that the Group would pay to distribute them would be </w:t>
      </w:r>
      <w:bookmarkStart w:name="_20e1a32e_a8d6_46c3_833b_65fde118f83f" w:id="2720"/>
      <w:r>
        <w:rPr>
          <w:rFonts w:eastAsia="Times New Roman" w:asciiTheme="majorHAnsi" w:hAnsiTheme="majorHAnsi" w:cstheme="majorHAnsi"/>
          <w:lang w:eastAsia="ru-RU"/>
        </w:rPr>
        <w:t>915</w:t>
      </w:r>
      <w:bookmarkEnd w:id="2720"/>
      <w:r>
        <w:rPr>
          <w:rFonts w:eastAsia="Times New Roman" w:asciiTheme="majorHAnsi" w:hAnsiTheme="majorHAnsi" w:cstheme="majorHAnsi"/>
          <w:lang w:eastAsia="ru-RU"/>
        </w:rPr>
        <w:t xml:space="preserve"> (2021 - </w:t>
      </w:r>
      <w:bookmarkStart w:name="_36643e2b_3f87_4af5_b1cf_71bae8b3315c" w:id="2721"/>
      <w:r>
        <w:rPr>
          <w:rFonts w:eastAsia="Times New Roman" w:asciiTheme="majorHAnsi" w:hAnsiTheme="majorHAnsi" w:cstheme="majorHAnsi"/>
          <w:lang w:eastAsia="ru-RU"/>
        </w:rPr>
        <w:t>551</w:t>
      </w:r>
      <w:bookmarkEnd w:id="2721"/>
      <w:r>
        <w:rPr>
          <w:rFonts w:eastAsia="Times New Roman" w:asciiTheme="majorHAnsi" w:hAnsiTheme="majorHAnsi" w:cstheme="majorHAnsi"/>
          <w:lang w:eastAsia="ru-RU"/>
        </w:rPr>
        <w:t>). Unremitted earnings include all earnings that were recognized by the Group’s subsidiaries and that are expected to be distributed to the holding company.</w:t>
      </w: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BodyText"/>
        <w:keepNext/>
        <w:keepLines/>
        <w:ind w:left="360" w:hanging="360"/>
        <w:outlineLvl w:val="1"/>
        <w:rPr>
          <w:rFonts w:eastAsia="Times New Roman" w:asciiTheme="majorHAnsi" w:hAnsiTheme="majorHAnsi" w:cstheme="majorHAnsi"/>
          <w:b/>
          <w:bCs/>
          <w:lang w:eastAsia="ru-RU"/>
        </w:rPr>
      </w:pPr>
      <w:r>
        <w:rPr>
          <w:rFonts w:eastAsia="Times New Roman" w:asciiTheme="majorHAnsi" w:hAnsiTheme="majorHAnsi" w:cstheme="majorHAnsi"/>
          <w:b/>
          <w:bCs/>
          <w:lang w:eastAsia="ru-RU"/>
        </w:rPr>
        <w:t>27.</w:t>
      </w:r>
      <w:r>
        <w:rPr>
          <w:rFonts w:eastAsia="Times New Roman" w:asciiTheme="majorHAnsi" w:hAnsiTheme="majorHAnsi" w:cstheme="majorHAnsi"/>
          <w:b/>
          <w:bCs/>
          <w:lang w:eastAsia="ru-RU"/>
        </w:rPr>
        <w:tab/>
        <w:t>Income tax (continued)</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The major components of income tax expense, including tax expense from discontinued operations, for the years ended 31 December 2022, 2021 and 2020 are:</w:t>
      </w:r>
    </w:p>
    <w:p w:rsidR="009534E2" w:rsidRDefault="009534E2">
      <w:pPr>
        <w:pStyle w:val="BodyText"/>
        <w:keepNext/>
        <w:spacing w:after="0"/>
        <w:rPr>
          <w:rFonts w:eastAsia="Times New Roman" w:asciiTheme="majorHAnsi" w:hAnsiTheme="majorHAnsi" w:cstheme="majorHAnsi"/>
          <w:lang w:eastAsia="ru-RU"/>
        </w:rPr>
      </w:pPr>
      <w:bookmarkStart w:name="_f0886af8_dafa_487a_945c_c4ba8502e174" w:id="2722"/>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009534E2">
        <w:trPr>
          <w:trHeight w:val="20" w:hRule="exact"/>
          <w:jc w:val="center"/>
        </w:trPr>
        <w:tc>
          <w:tcPr>
            <w:tcW w:w="3401"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cc989731_46d8_4674_b61e_e147dfd61e0a" w:id="2723"/>
            <w:bookmarkStart w:name="_fa3c4ffb_4cbc_45e1_a0fe_0bc630162325" w:colFirst="0" w:colLast="0" w:id="2724"/>
            <w:bookmarkStart w:name="_5db0dc90_fa52_49c8_993f_c5b2fdb770bc" w:colFirst="1" w:colLast="1" w:id="2725"/>
            <w:bookmarkStart w:name="_a6c09d51_d987_4c41_b905_4c3d4a62cf85" w:colFirst="2" w:colLast="2" w:id="2726"/>
            <w:bookmarkStart w:name="_5c255424_a162_4b0f_9bad_e7aa7b24cde8" w:colFirst="3" w:colLast="3" w:id="2727"/>
            <w:bookmarkStart w:name="_a9513da9_8661_4426_88df_eb6f2165c049" w:colFirst="4" w:colLast="4" w:id="2728"/>
            <w:bookmarkStart w:name="_4a900626_2380_4d41_b771_8a929dcbba64" w:colFirst="5" w:colLast="5" w:id="2729"/>
            <w:bookmarkStart w:name="_cfb48182_6a75_494f_b9e7_6c3c537779dc" w:colFirst="6" w:colLast="6" w:id="2730"/>
            <w:bookmarkStart w:name="_406469c4_cea0_4d81_a48c_3cac95c06157" w:id="2731"/>
            <w:bookmarkEnd w:id="2723"/>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08"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425"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trPr>
          <w:jc w:val="center"/>
        </w:trPr>
        <w:tc>
          <w:tcPr>
            <w:tcW w:w="3401"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1c4f9aac_c2f7_41f1_b91b_0523ba846f00" w:id="2732"/>
            <w:bookmarkEnd w:id="2724"/>
            <w:bookmarkEnd w:id="2725"/>
            <w:bookmarkEnd w:id="2726"/>
            <w:bookmarkEnd w:id="2727"/>
            <w:bookmarkEnd w:id="2728"/>
            <w:bookmarkEnd w:id="2729"/>
            <w:bookmarkEnd w:id="2730"/>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2020</w:t>
            </w:r>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08"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9c34f9f3_c4d1_48f6_8771_eea47d470f11" w:id="2733"/>
            <w:bookmarkEnd w:id="2732"/>
            <w:r>
              <w:rPr>
                <w:rFonts w:eastAsia="Times New Roman" w:asciiTheme="majorHAnsi" w:hAnsiTheme="majorHAnsi" w:cstheme="majorHAnsi"/>
                <w:b/>
                <w:color w:val="000000"/>
              </w:rPr>
              <w:t xml:space="preserve">Total tax expense </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b/>
                <w:color w:val="000000"/>
              </w:rPr>
            </w:pPr>
            <w:r>
              <w:rPr>
                <w:rFonts w:eastAsia="Times New Roman" w:asciiTheme="majorHAnsi" w:hAnsiTheme="majorHAnsi" w:cstheme="majorHAnsi"/>
                <w:b/>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ind w:left="120"/>
              <w:rPr>
                <w:rFonts w:asciiTheme="majorHAnsi" w:hAnsiTheme="majorHAnsi" w:cstheme="majorHAnsi"/>
                <w:color w:val="000000"/>
              </w:rPr>
            </w:pPr>
            <w:bookmarkStart w:name="_63959060_8b40_4017_8135_4fcc13509371" w:id="2734"/>
            <w:bookmarkStart w:name="_1819745e_cbb4_454b_bab2_8cb591138fa8" w:colFirst="2" w:colLast="2" w:id="2735"/>
            <w:bookmarkEnd w:id="2733"/>
            <w:r>
              <w:rPr>
                <w:rFonts w:eastAsia="Times New Roman" w:asciiTheme="majorHAnsi" w:hAnsiTheme="majorHAnsi" w:cstheme="majorHAnsi"/>
                <w:color w:val="000000"/>
              </w:rPr>
              <w:t>Current income tax expense</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(2,498)</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(2,837)</w:t>
            </w:r>
          </w:p>
        </w:tc>
        <w:tc>
          <w:tcPr>
            <w:tcW w:w="108"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(4,160)</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ind w:left="120"/>
              <w:rPr>
                <w:rFonts w:asciiTheme="majorHAnsi" w:hAnsiTheme="majorHAnsi" w:cstheme="majorHAnsi"/>
                <w:color w:val="000000"/>
              </w:rPr>
            </w:pPr>
            <w:bookmarkStart w:name="_d6863f3c_5262_4262_9247_c7c7437aca52" w:id="2736"/>
            <w:bookmarkStart w:name="_801e5899_a573_4777_b00e_b363015a24c3" w:colFirst="2" w:colLast="2" w:id="2737"/>
            <w:bookmarkEnd w:id="2734"/>
            <w:bookmarkEnd w:id="2735"/>
            <w:r>
              <w:rPr>
                <w:rFonts w:eastAsia="Times New Roman" w:asciiTheme="majorHAnsi" w:hAnsiTheme="majorHAnsi" w:cstheme="majorHAnsi"/>
                <w:color w:val="000000"/>
              </w:rPr>
              <w:t>Deferred tax expense</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(420)</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(243)</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rPr>
            </w:pPr>
            <w:r>
              <w:rPr>
                <w:rFonts w:eastAsia="Times New Roman" w:asciiTheme="majorHAnsi" w:hAnsiTheme="majorHAnsi" w:cstheme="majorHAnsi"/>
                <w:color w:val="000000"/>
              </w:rPr>
              <w:t xml:space="preserve"> (269)</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rPr>
                <w:rFonts w:asciiTheme="majorHAnsi" w:hAnsiTheme="majorHAnsi" w:cstheme="majorHAnsi"/>
                <w:b/>
                <w:color w:val="000000"/>
              </w:rPr>
            </w:pPr>
            <w:bookmarkStart w:name="_939ef09b_0501_4d90_a2c1_c780db763de8" w:id="2738"/>
            <w:bookmarkEnd w:id="2736"/>
            <w:bookmarkEnd w:id="2737"/>
            <w:r>
              <w:rPr>
                <w:rFonts w:eastAsia="Times New Roman" w:asciiTheme="majorHAnsi" w:hAnsiTheme="majorHAnsi" w:cstheme="majorHAnsi"/>
                <w:b/>
                <w:color w:val="000000"/>
              </w:rPr>
              <w:t xml:space="preserve">Income tax expense for the year </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double" w:color="000000" w:sz="4" w:space="0"/>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(2,918)</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double" w:color="000000" w:sz="4" w:space="0"/>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(3,080)</w:t>
            </w:r>
          </w:p>
        </w:tc>
        <w:tc>
          <w:tcPr>
            <w:tcW w:w="108"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b/>
                <w:color w:val="000000"/>
              </w:rPr>
            </w:pPr>
          </w:p>
        </w:tc>
        <w:tc>
          <w:tcPr>
            <w:tcW w:w="425" w:type="pct"/>
            <w:tcBorders>
              <w:top w:val="nil"/>
              <w:left w:val="nil"/>
              <w:bottom w:val="double" w:color="000000" w:sz="4" w:space="0"/>
              <w:right w:val="nil"/>
              <w:tl2br w:val="nil"/>
              <w:tr2bl w:val="nil"/>
            </w:tcBorders>
            <w:noWrap/>
            <w:vAlign w:val="bottom"/>
          </w:tcPr>
          <w:p w:rsidR="009534E2" w:rsidRDefault="003369EB">
            <w:pPr>
              <w:keepNext/>
              <w:jc w:val="right"/>
              <w:rPr>
                <w:rFonts w:asciiTheme="majorHAnsi" w:hAnsiTheme="majorHAnsi" w:cstheme="majorHAnsi"/>
                <w:b/>
                <w:color w:val="000000"/>
              </w:rPr>
            </w:pPr>
            <w:r>
              <w:rPr>
                <w:rFonts w:eastAsia="Times New Roman" w:asciiTheme="majorHAnsi" w:hAnsiTheme="majorHAnsi" w:cstheme="majorHAnsi"/>
                <w:b/>
                <w:color w:val="000000"/>
              </w:rPr>
              <w:t xml:space="preserve"> (4,429)</w:t>
            </w:r>
          </w:p>
        </w:tc>
      </w:tr>
      <w:bookmarkEnd w:id="2722"/>
      <w:bookmarkEnd w:id="2731"/>
      <w:bookmarkEnd w:id="2738"/>
    </w:tbl>
    <w:p w:rsidR="009534E2" w:rsidRDefault="009534E2">
      <w:pPr>
        <w:rPr>
          <w:rFonts w:asciiTheme="majorHAnsi" w:hAnsiTheme="majorHAnsi" w:cstheme="majorHAnsi"/>
        </w:rPr>
      </w:pPr>
    </w:p>
    <w:p w:rsidR="009534E2" w:rsidRDefault="003369EB">
      <w:pPr>
        <w:pStyle w:val="BodyText"/>
        <w:keepNext/>
        <w:keepLines/>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Theoretical and actual income tax expense is reconciled as follows:</w:t>
      </w:r>
    </w:p>
    <w:p w:rsidR="009534E2" w:rsidRDefault="009534E2">
      <w:pPr>
        <w:pStyle w:val="BodyText"/>
        <w:keepNext/>
        <w:spacing w:after="0"/>
        <w:rPr>
          <w:rFonts w:eastAsia="Times New Roman" w:asciiTheme="majorHAnsi" w:hAnsiTheme="majorHAnsi" w:cstheme="majorHAnsi"/>
          <w:lang w:eastAsia="ru-RU"/>
        </w:rPr>
      </w:pPr>
      <w:bookmarkStart w:name="_4050a987_39b7_4c23_ba9d_b6cfa6f65c25" w:id="2739"/>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47"/>
        <w:gridCol w:w="233"/>
        <w:gridCol w:w="918"/>
        <w:gridCol w:w="233"/>
        <w:gridCol w:w="918"/>
        <w:gridCol w:w="233"/>
        <w:gridCol w:w="918"/>
      </w:tblGrid>
      <w:tr w:rsidR="009534E2">
        <w:trPr>
          <w:trHeight w:val="20" w:hRule="exact"/>
          <w:jc w:val="center"/>
        </w:trPr>
        <w:tc>
          <w:tcPr>
            <w:tcW w:w="3401" w:type="pct"/>
            <w:tcBorders>
              <w:top w:val="nil"/>
              <w:left w:val="nil"/>
              <w:bottom w:val="nil"/>
              <w:right w:val="nil"/>
            </w:tcBorders>
            <w:vAlign w:val="bottom"/>
          </w:tcPr>
          <w:p w:rsidR="009534E2" w:rsidRDefault="009534E2">
            <w:pPr>
              <w:keepNext/>
              <w:rPr>
                <w:sz w:val="2"/>
              </w:rPr>
            </w:pPr>
            <w:bookmarkStart w:name="_efb1b3ae_58f4_433d_b2d3_8cadc2f5d794" w:id="2740"/>
            <w:bookmarkStart w:name="_41afe48f_6df1_4f40_8eb0_dd612fe491a2" w:colFirst="0" w:colLast="0" w:id="2741"/>
            <w:bookmarkStart w:name="_405aaf58_61b5_49ee_9777_bbff1196a31f" w:colFirst="1" w:colLast="1" w:id="2742"/>
            <w:bookmarkStart w:name="_99567260_577d_45c1_88af_b6d9fc94620c" w:colFirst="2" w:colLast="2" w:id="2743"/>
            <w:bookmarkStart w:name="_75c67551_3ebe_46e0_bd90_a8c7139b60ae" w:colFirst="3" w:colLast="3" w:id="2744"/>
            <w:bookmarkStart w:name="_618819b1_5a9e_4d60_8be1_1455b3eac44f" w:colFirst="4" w:colLast="4" w:id="2745"/>
            <w:bookmarkStart w:name="_5dca678d_8199_467b_a5c5_09edd632e668" w:colFirst="5" w:colLast="5" w:id="2746"/>
            <w:bookmarkStart w:name="_7aaaa502_ee10_492e_b15d_a5fabf7439fa" w:colFirst="6" w:colLast="6" w:id="2747"/>
            <w:bookmarkStart w:name="_10aa5088_fd90_4acb_ab32_d1be73d8ffa1" w:id="2748"/>
            <w:bookmarkEnd w:id="2740"/>
          </w:p>
        </w:tc>
        <w:tc>
          <w:tcPr>
            <w:tcW w:w="108" w:type="pct"/>
            <w:tcBorders>
              <w:top w:val="nil"/>
              <w:left w:val="nil"/>
              <w:bottom w:val="nil"/>
              <w:right w:val="nil"/>
            </w:tcBorders>
            <w:noWrap/>
            <w:vAlign w:val="bottom"/>
          </w:tcPr>
          <w:p w:rsidR="009534E2" w:rsidRDefault="009534E2">
            <w:pPr>
              <w:keepNext/>
              <w:rPr>
                <w:sz w:val="2"/>
              </w:rPr>
            </w:pPr>
          </w:p>
        </w:tc>
        <w:tc>
          <w:tcPr>
            <w:tcW w:w="425" w:type="pct"/>
            <w:tcBorders>
              <w:top w:val="nil"/>
              <w:left w:val="nil"/>
              <w:bottom w:val="nil"/>
              <w:right w:val="nil"/>
            </w:tcBorders>
            <w:noWrap/>
            <w:vAlign w:val="bottom"/>
          </w:tcPr>
          <w:p w:rsidR="009534E2" w:rsidRDefault="009534E2">
            <w:pPr>
              <w:keepNext/>
              <w:rPr>
                <w:sz w:val="2"/>
              </w:rPr>
            </w:pPr>
          </w:p>
        </w:tc>
        <w:tc>
          <w:tcPr>
            <w:tcW w:w="108" w:type="pct"/>
            <w:tcBorders>
              <w:top w:val="nil"/>
              <w:left w:val="nil"/>
              <w:bottom w:val="nil"/>
              <w:right w:val="nil"/>
            </w:tcBorders>
            <w:noWrap/>
            <w:vAlign w:val="bottom"/>
          </w:tcPr>
          <w:p w:rsidR="009534E2" w:rsidRDefault="009534E2">
            <w:pPr>
              <w:keepNext/>
              <w:rPr>
                <w:sz w:val="2"/>
              </w:rPr>
            </w:pPr>
          </w:p>
        </w:tc>
        <w:tc>
          <w:tcPr>
            <w:tcW w:w="425" w:type="pct"/>
            <w:tcBorders>
              <w:top w:val="nil"/>
              <w:left w:val="nil"/>
              <w:bottom w:val="nil"/>
              <w:right w:val="nil"/>
            </w:tcBorders>
            <w:noWrap/>
            <w:vAlign w:val="bottom"/>
          </w:tcPr>
          <w:p w:rsidR="009534E2" w:rsidRDefault="009534E2">
            <w:pPr>
              <w:keepNext/>
              <w:rPr>
                <w:sz w:val="2"/>
              </w:rPr>
            </w:pPr>
          </w:p>
        </w:tc>
        <w:tc>
          <w:tcPr>
            <w:tcW w:w="108" w:type="pct"/>
            <w:tcBorders>
              <w:top w:val="nil"/>
              <w:left w:val="nil"/>
              <w:bottom w:val="nil"/>
              <w:right w:val="nil"/>
            </w:tcBorders>
            <w:noWrap/>
            <w:vAlign w:val="bottom"/>
          </w:tcPr>
          <w:p w:rsidR="009534E2" w:rsidRDefault="009534E2">
            <w:pPr>
              <w:keepNext/>
              <w:rPr>
                <w:sz w:val="2"/>
              </w:rPr>
            </w:pPr>
          </w:p>
        </w:tc>
        <w:tc>
          <w:tcPr>
            <w:tcW w:w="425" w:type="pct"/>
            <w:tcBorders>
              <w:top w:val="nil"/>
              <w:left w:val="nil"/>
              <w:bottom w:val="nil"/>
              <w:right w:val="nil"/>
            </w:tcBorders>
            <w:noWrap/>
            <w:vAlign w:val="bottom"/>
          </w:tcPr>
          <w:p w:rsidR="009534E2" w:rsidRDefault="009534E2">
            <w:pPr>
              <w:keepNext/>
              <w:rPr>
                <w:sz w:val="2"/>
              </w:rPr>
            </w:pPr>
          </w:p>
        </w:tc>
      </w:tr>
      <w:tr w:rsidR="009534E2">
        <w:trPr>
          <w:jc w:val="center"/>
        </w:trPr>
        <w:tc>
          <w:tcPr>
            <w:tcW w:w="3401" w:type="pct"/>
            <w:tcBorders>
              <w:top w:val="nil"/>
              <w:left w:val="nil"/>
              <w:bottom w:val="nil"/>
              <w:right w:val="nil"/>
              <w:tl2br w:val="nil"/>
              <w:tr2bl w:val="nil"/>
            </w:tcBorders>
            <w:shd w:val="clear" w:color="auto" w:fill="auto"/>
            <w:vAlign w:val="bottom"/>
          </w:tcPr>
          <w:p w:rsidR="009534E2" w:rsidRDefault="009534E2">
            <w:pPr>
              <w:keepNext/>
              <w:rPr>
                <w:color w:val="000000"/>
                <w:sz w:val="16"/>
              </w:rPr>
            </w:pPr>
            <w:bookmarkStart w:name="_05eabbcf_b57c_4055_a388_8c35509706b6" w:id="2749"/>
            <w:bookmarkEnd w:id="2741"/>
            <w:bookmarkEnd w:id="2742"/>
            <w:bookmarkEnd w:id="2743"/>
            <w:bookmarkEnd w:id="2744"/>
            <w:bookmarkEnd w:id="2745"/>
            <w:bookmarkEnd w:id="2746"/>
            <w:bookmarkEnd w:id="2747"/>
          </w:p>
        </w:tc>
        <w:tc>
          <w:tcPr>
            <w:tcW w:w="108"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2020</w:t>
            </w:r>
          </w:p>
        </w:tc>
        <w:tc>
          <w:tcPr>
            <w:tcW w:w="108"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2021</w:t>
            </w:r>
          </w:p>
        </w:tc>
        <w:tc>
          <w:tcPr>
            <w:tcW w:w="108" w:type="pct"/>
            <w:tcBorders>
              <w:top w:val="nil"/>
              <w:left w:val="nil"/>
              <w:bottom w:val="nil"/>
              <w:right w:val="nil"/>
              <w:tl2br w:val="nil"/>
              <w:tr2bl w:val="nil"/>
            </w:tcBorders>
            <w:shd w:val="clear" w:color="auto" w:fill="auto"/>
            <w:noWrap/>
            <w:vAlign w:val="bottom"/>
          </w:tcPr>
          <w:p w:rsidR="009534E2" w:rsidRDefault="003369EB">
            <w:pPr>
              <w:keepNext/>
              <w:rPr>
                <w:b/>
                <w:color w:val="000000"/>
                <w:sz w:val="16"/>
              </w:rPr>
            </w:pPr>
            <w:r>
              <w:rPr>
                <w:rFonts w:ascii="Times New Roman" w:hAnsi="Times New Roman" w:eastAsia="Times New Roman" w:cs="Times New Roman"/>
                <w:b/>
                <w:color w:val="000000"/>
                <w:sz w:val="16"/>
              </w:rPr>
              <w:t>    </w:t>
            </w:r>
          </w:p>
        </w:tc>
        <w:tc>
          <w:tcPr>
            <w:tcW w:w="425"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b/>
                <w:color w:val="000000"/>
                <w:sz w:val="16"/>
              </w:rPr>
            </w:pPr>
            <w:r>
              <w:rPr>
                <w:rFonts w:ascii="Times New Roman" w:hAnsi="Times New Roman" w:eastAsia="Times New Roman" w:cs="Times New Roman"/>
                <w:b/>
                <w:color w:val="000000"/>
                <w:sz w:val="16"/>
              </w:rPr>
              <w:t>2022</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ind w:left="120"/>
              <w:rPr>
                <w:color w:val="000000"/>
              </w:rPr>
            </w:pPr>
            <w:bookmarkStart w:name="_05ebafd5_297d_4537_aabb_a7a778fdd3c6" w:id="2750"/>
            <w:bookmarkEnd w:id="2749"/>
            <w:r>
              <w:rPr>
                <w:rFonts w:ascii="Times New Roman" w:hAnsi="Times New Roman" w:eastAsia="Times New Roman" w:cs="Times New Roman"/>
                <w:color w:val="000000"/>
              </w:rPr>
              <w:t>Profit before tax from continuing operations</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b/>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14,365</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b/>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20,616</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b/>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18,184</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ind w:left="120"/>
              <w:rPr>
                <w:color w:val="000000"/>
              </w:rPr>
            </w:pPr>
            <w:bookmarkStart w:name="_39c9f233_6f8e_462e_8f3e_63708fa2266e" w:id="2751"/>
            <w:bookmarkEnd w:id="2750"/>
            <w:r>
              <w:rPr>
                <w:rFonts w:ascii="Times New Roman" w:hAnsi="Times New Roman" w:eastAsia="Times New Roman" w:cs="Times New Roman"/>
                <w:color w:val="000000"/>
              </w:rPr>
              <w:t>Loss before tax from a discontinued operations</w:t>
            </w:r>
          </w:p>
        </w:tc>
        <w:tc>
          <w:tcPr>
            <w:tcW w:w="108" w:type="pct"/>
            <w:tcBorders>
              <w:top w:val="nil"/>
              <w:left w:val="nil"/>
              <w:bottom w:val="nil"/>
              <w:right w:val="nil"/>
              <w:tl2br w:val="nil"/>
              <w:tr2bl w:val="nil"/>
            </w:tcBorders>
            <w:noWrap/>
            <w:vAlign w:val="bottom"/>
          </w:tcPr>
          <w:p w:rsidR="009534E2" w:rsidRDefault="009534E2">
            <w:pPr>
              <w:keepNext/>
              <w:rPr>
                <w:b/>
                <w:color w:val="000000"/>
              </w:rPr>
            </w:pPr>
          </w:p>
        </w:tc>
        <w:tc>
          <w:tcPr>
            <w:tcW w:w="425" w:type="pct"/>
            <w:tcBorders>
              <w:top w:val="nil"/>
              <w:left w:val="nil"/>
              <w:bottom w:val="single" w:color="000000" w:sz="4" w:space="0"/>
              <w:right w:val="nil"/>
              <w:tl2br w:val="nil"/>
              <w:tr2bl w:val="nil"/>
            </w:tcBorders>
            <w:noWrap/>
            <w:vAlign w:val="bottom"/>
          </w:tcPr>
          <w:p w:rsidR="009534E2" w:rsidRDefault="003369EB">
            <w:pPr>
              <w:keepNext/>
              <w:jc w:val="right"/>
              <w:rPr>
                <w:b/>
                <w:color w:val="000000"/>
              </w:rPr>
            </w:pPr>
            <w:r>
              <w:rPr>
                <w:rFonts w:ascii="Times New Roman" w:hAnsi="Times New Roman" w:eastAsia="Times New Roman" w:cs="Times New Roman"/>
                <w:b/>
                <w:color w:val="000000"/>
              </w:rPr>
              <w:t xml:space="preserve"> (2,509)</w:t>
            </w:r>
          </w:p>
        </w:tc>
        <w:tc>
          <w:tcPr>
            <w:tcW w:w="108" w:type="pct"/>
            <w:tcBorders>
              <w:top w:val="nil"/>
              <w:left w:val="nil"/>
              <w:bottom w:val="nil"/>
              <w:right w:val="nil"/>
              <w:tl2br w:val="nil"/>
              <w:tr2bl w:val="nil"/>
            </w:tcBorders>
            <w:noWrap/>
            <w:vAlign w:val="bottom"/>
          </w:tcPr>
          <w:p w:rsidR="009534E2" w:rsidRDefault="009534E2">
            <w:pPr>
              <w:keepNext/>
              <w:rPr>
                <w:color w:val="000000"/>
              </w:rPr>
            </w:pPr>
          </w:p>
        </w:tc>
        <w:tc>
          <w:tcPr>
            <w:tcW w:w="425"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w:t>
            </w:r>
          </w:p>
        </w:tc>
        <w:tc>
          <w:tcPr>
            <w:tcW w:w="108" w:type="pct"/>
            <w:tcBorders>
              <w:top w:val="nil"/>
              <w:left w:val="nil"/>
              <w:bottom w:val="nil"/>
              <w:right w:val="nil"/>
              <w:tl2br w:val="nil"/>
              <w:tr2bl w:val="nil"/>
            </w:tcBorders>
            <w:noWrap/>
            <w:vAlign w:val="bottom"/>
          </w:tcPr>
          <w:p w:rsidR="009534E2" w:rsidRDefault="009534E2">
            <w:pPr>
              <w:keepNext/>
              <w:rPr>
                <w:color w:val="000000"/>
              </w:rPr>
            </w:pPr>
          </w:p>
        </w:tc>
        <w:tc>
          <w:tcPr>
            <w:tcW w:w="425" w:type="pct"/>
            <w:tcBorders>
              <w:top w:val="nil"/>
              <w:left w:val="nil"/>
              <w:bottom w:val="single" w:color="000000" w:sz="4" w:space="0"/>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rPr>
                <w:b/>
                <w:color w:val="000000"/>
              </w:rPr>
            </w:pPr>
            <w:bookmarkStart w:name="_5801b915_2090_427a_b77c_f14691ca9fe9" w:id="2752"/>
            <w:bookmarkStart w:name="_60191acb_d7b0_4edf_9824_df325301c2b9" w:colFirst="2" w:colLast="2" w:id="2753"/>
            <w:bookmarkStart w:name="_30b33e29_58f9_46fc_a4b5_3e72930cff68" w:colFirst="4" w:colLast="4" w:id="2754"/>
            <w:bookmarkEnd w:id="2751"/>
            <w:r>
              <w:rPr>
                <w:rFonts w:ascii="Times New Roman" w:hAnsi="Times New Roman" w:eastAsia="Times New Roman" w:cs="Times New Roman"/>
                <w:b/>
                <w:color w:val="000000"/>
              </w:rPr>
              <w:t xml:space="preserve">Accounting profit before tax </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b/>
                <w:color w:val="000000"/>
              </w:rPr>
            </w:pP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11,856</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20,616</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b/>
                <w:color w:val="000000"/>
              </w:rPr>
            </w:pPr>
            <w:r>
              <w:rPr>
                <w:rFonts w:ascii="Times New Roman" w:hAnsi="Times New Roman" w:eastAsia="Times New Roman" w:cs="Times New Roman"/>
                <w:b/>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18,184</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ind w:left="120"/>
              <w:rPr>
                <w:color w:val="000000"/>
              </w:rPr>
            </w:pPr>
            <w:bookmarkStart w:name="_e68bfc28_6a31_48c2_aeff_edc3a4ecf736" w:id="2755"/>
            <w:bookmarkStart w:name="_89c3289c_941f_48a3_a3dd_1b6971bae5c8" w:colFirst="2" w:colLast="2" w:id="2756"/>
            <w:bookmarkStart w:name="_c033c42f_afa3_48c8_8326_416f0ad8c4c9" w:colFirst="4" w:colLast="4" w:id="2757"/>
            <w:bookmarkEnd w:id="2752"/>
            <w:bookmarkEnd w:id="2753"/>
            <w:bookmarkEnd w:id="2754"/>
            <w:r>
              <w:rPr>
                <w:rFonts w:ascii="Times New Roman" w:hAnsi="Times New Roman" w:eastAsia="Times New Roman" w:cs="Times New Roman"/>
                <w:color w:val="000000"/>
              </w:rPr>
              <w:t>Theoretical income tax expense at the domestic rate in each individual jurisdiction</w:t>
            </w:r>
          </w:p>
        </w:tc>
        <w:tc>
          <w:tcPr>
            <w:tcW w:w="108" w:type="pct"/>
            <w:tcBorders>
              <w:top w:val="nil"/>
              <w:left w:val="nil"/>
              <w:bottom w:val="nil"/>
              <w:right w:val="nil"/>
              <w:tl2br w:val="nil"/>
              <w:tr2bl w:val="nil"/>
            </w:tcBorders>
            <w:noWrap/>
            <w:vAlign w:val="bottom"/>
          </w:tcPr>
          <w:p w:rsidR="009534E2" w:rsidRDefault="009534E2">
            <w:pPr>
              <w:keepNext/>
              <w:rPr>
                <w:color w:val="000000"/>
              </w:rPr>
            </w:pPr>
          </w:p>
        </w:tc>
        <w:tc>
          <w:tcPr>
            <w:tcW w:w="425"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(2,043)</w:t>
            </w:r>
          </w:p>
        </w:tc>
        <w:tc>
          <w:tcPr>
            <w:tcW w:w="108"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(3,464)</w:t>
            </w:r>
          </w:p>
        </w:tc>
        <w:tc>
          <w:tcPr>
            <w:tcW w:w="108"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(3,799)</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rPr>
                <w:b/>
                <w:color w:val="000000"/>
              </w:rPr>
            </w:pPr>
            <w:bookmarkStart w:name="_6f47dd66_3676_49c6_bfad_7f463c2dd79a" w:id="2758"/>
            <w:bookmarkEnd w:id="2755"/>
            <w:bookmarkEnd w:id="2756"/>
            <w:bookmarkEnd w:id="2757"/>
            <w:r>
              <w:rPr>
                <w:rFonts w:ascii="Times New Roman" w:hAnsi="Times New Roman" w:eastAsia="Times New Roman" w:cs="Times New Roman"/>
                <w:b/>
                <w:color w:val="000000"/>
              </w:rPr>
              <w:t>(Increase)/decrease resulting from the tax effect of:</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9534E2">
            <w:pPr>
              <w:keepNext/>
              <w:jc w:val="right"/>
              <w:rPr>
                <w:color w:val="000000"/>
              </w:rPr>
            </w:pP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9534E2">
            <w:pPr>
              <w:keepNext/>
              <w:jc w:val="right"/>
              <w:rPr>
                <w:color w:val="000000"/>
              </w:rPr>
            </w:pP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ind w:left="120"/>
              <w:rPr>
                <w:color w:val="000000"/>
              </w:rPr>
            </w:pPr>
            <w:bookmarkStart w:name="_c215b5f9_357e_456a_96a5_1cff92504da2" w:id="2759"/>
            <w:bookmarkStart w:name="_cedc6242_c7c1_4032_bc2b_eaa0dd33a5d1" w:colFirst="2" w:colLast="2" w:id="2760"/>
            <w:bookmarkStart w:name="_51b6a01a_8aa0_4a8f_9ee9_fc2419ec8c50" w:colFirst="4" w:colLast="4" w:id="2761"/>
            <w:bookmarkEnd w:id="2758"/>
            <w:r>
              <w:rPr>
                <w:rFonts w:ascii="Times New Roman" w:hAnsi="Times New Roman" w:eastAsia="Times New Roman" w:cs="Times New Roman"/>
                <w:color w:val="000000"/>
              </w:rPr>
              <w:t xml:space="preserve">Non-taxable income </w:t>
            </w:r>
          </w:p>
        </w:tc>
        <w:tc>
          <w:tcPr>
            <w:tcW w:w="108"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216</w:t>
            </w:r>
          </w:p>
        </w:tc>
        <w:tc>
          <w:tcPr>
            <w:tcW w:w="108"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1,098</w:t>
            </w:r>
          </w:p>
        </w:tc>
        <w:tc>
          <w:tcPr>
            <w:tcW w:w="108"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nil"/>
              <w:right w:val="nil"/>
              <w:tl2br w:val="nil"/>
              <w:tr2bl w:val="nil"/>
            </w:tcBorders>
            <w:noWrap/>
            <w:vAlign w:val="bottom"/>
          </w:tcPr>
          <w:p w:rsidR="009534E2" w:rsidRDefault="003369EB">
            <w:pPr>
              <w:keepNext/>
              <w:ind w:right="60"/>
              <w:jc w:val="right"/>
              <w:rPr>
                <w:color w:val="000000"/>
              </w:rPr>
            </w:pPr>
            <w:r>
              <w:rPr>
                <w:rFonts w:ascii="Times New Roman" w:hAnsi="Times New Roman" w:eastAsia="Times New Roman" w:cs="Times New Roman"/>
                <w:color w:val="000000"/>
              </w:rPr>
              <w:t xml:space="preserve"> 82</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ind w:left="120"/>
              <w:rPr>
                <w:color w:val="000000"/>
              </w:rPr>
            </w:pPr>
            <w:bookmarkStart w:name="_65d2a182_253b_46bc_9515_82dafa58110a" w:id="2762"/>
            <w:bookmarkStart w:name="_4b24c2d4_5d81_41ec_bbfb_6ae112adb7e8" w:colFirst="2" w:colLast="2" w:id="2763"/>
            <w:bookmarkStart w:name="_ea91b282_7f36_409e_b325_b10778db625e" w:colFirst="4" w:colLast="4" w:id="2764"/>
            <w:bookmarkEnd w:id="2759"/>
            <w:bookmarkEnd w:id="2760"/>
            <w:bookmarkEnd w:id="2761"/>
            <w:r>
              <w:rPr>
                <w:rFonts w:ascii="Times New Roman" w:hAnsi="Times New Roman" w:eastAsia="Times New Roman" w:cs="Times New Roman"/>
                <w:color w:val="000000"/>
              </w:rPr>
              <w:t>Non-deductible expenses</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(675)</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(319)</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(335)</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ind w:left="120"/>
              <w:rPr>
                <w:color w:val="000000"/>
              </w:rPr>
            </w:pPr>
            <w:bookmarkStart w:name="_ff14157a_6e53_4097_beb3_9e48eecebae8" w:id="2765"/>
            <w:bookmarkStart w:name="_510fa55c_4329_426b_9370_faeb6e94c40a" w:colFirst="2" w:colLast="2" w:id="2766"/>
            <w:bookmarkStart w:name="_52d0c4db_a195_46e1_acc3_519c4926e776" w:colFirst="4" w:colLast="4" w:id="2767"/>
            <w:bookmarkEnd w:id="2762"/>
            <w:bookmarkEnd w:id="2763"/>
            <w:bookmarkEnd w:id="2764"/>
            <w:r>
              <w:rPr>
                <w:rFonts w:ascii="Times New Roman" w:hAnsi="Times New Roman" w:eastAsia="Times New Roman" w:cs="Times New Roman"/>
                <w:color w:val="000000"/>
              </w:rPr>
              <w:t>Withholding tax</w:t>
            </w:r>
          </w:p>
        </w:tc>
        <w:tc>
          <w:tcPr>
            <w:tcW w:w="108"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(333)</w:t>
            </w:r>
          </w:p>
        </w:tc>
        <w:tc>
          <w:tcPr>
            <w:tcW w:w="108"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(338)</w:t>
            </w:r>
          </w:p>
        </w:tc>
        <w:tc>
          <w:tcPr>
            <w:tcW w:w="108" w:type="pct"/>
            <w:tcBorders>
              <w:top w:val="nil"/>
              <w:left w:val="nil"/>
              <w:bottom w:val="nil"/>
              <w:right w:val="nil"/>
              <w:tl2br w:val="nil"/>
              <w:tr2bl w:val="nil"/>
            </w:tcBorders>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nil"/>
              <w:right w:val="nil"/>
              <w:tl2br w:val="nil"/>
              <w:tr2bl w:val="nil"/>
            </w:tcBorders>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(373)</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ind w:left="120"/>
              <w:rPr>
                <w:color w:val="000000"/>
              </w:rPr>
            </w:pPr>
            <w:bookmarkStart w:name="_c33a9224_2629_41aa_a0e9_1befa1da0cd3" w:id="2768"/>
            <w:bookmarkStart w:name="_ca44a433_012d_4c9b_b3fb_aa16a3f59e71" w:colFirst="2" w:colLast="2" w:id="2769"/>
            <w:bookmarkStart w:name="_7e5dbc17_9509_4f84_8891_14d06ac18189" w:colFirst="4" w:colLast="4" w:id="2770"/>
            <w:bookmarkEnd w:id="2765"/>
            <w:bookmarkEnd w:id="2766"/>
            <w:bookmarkEnd w:id="2767"/>
            <w:r>
              <w:rPr>
                <w:rFonts w:ascii="Times New Roman" w:hAnsi="Times New Roman" w:eastAsia="Times New Roman" w:cs="Times New Roman"/>
                <w:color w:val="000000"/>
              </w:rPr>
              <w:t>Unrecognized deferred tax assets</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(83)</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(57)</w:t>
            </w:r>
          </w:p>
        </w:tc>
        <w:tc>
          <w:tcPr>
            <w:tcW w:w="108" w:type="pct"/>
            <w:tcBorders>
              <w:top w:val="nil"/>
              <w:left w:val="nil"/>
              <w:bottom w:val="nil"/>
              <w:right w:val="nil"/>
              <w:tl2br w:val="nil"/>
              <w:tr2bl w:val="nil"/>
            </w:tcBorders>
            <w:shd w:val="clear" w:color="auto" w:fill="CCEEFF"/>
            <w:noWrap/>
            <w:vAlign w:val="bottom"/>
          </w:tcPr>
          <w:p w:rsidR="009534E2" w:rsidRDefault="003369EB">
            <w:pPr>
              <w:keepNext/>
              <w:rPr>
                <w:color w:val="000000"/>
              </w:rPr>
            </w:pPr>
            <w:r>
              <w:rPr>
                <w:rFonts w:ascii="Times New Roman" w:hAnsi="Times New Roman" w:eastAsia="Times New Roman" w:cs="Times New Roman"/>
                <w:color w:val="000000"/>
              </w:rPr>
              <w:t> </w:t>
            </w:r>
          </w:p>
        </w:tc>
        <w:tc>
          <w:tcPr>
            <w:tcW w:w="425" w:type="pct"/>
            <w:tcBorders>
              <w:top w:val="nil"/>
              <w:left w:val="nil"/>
              <w:bottom w:val="single" w:color="000000" w:sz="4" w:space="0"/>
              <w:right w:val="nil"/>
              <w:tl2br w:val="nil"/>
              <w:tr2bl w:val="nil"/>
            </w:tcBorders>
            <w:shd w:val="clear" w:color="auto" w:fill="CCEEFF"/>
            <w:noWrap/>
            <w:vAlign w:val="bottom"/>
          </w:tcPr>
          <w:p w:rsidR="009534E2" w:rsidRDefault="003369EB">
            <w:pPr>
              <w:keepNext/>
              <w:jc w:val="right"/>
              <w:rPr>
                <w:color w:val="000000"/>
              </w:rPr>
            </w:pPr>
            <w:r>
              <w:rPr>
                <w:rFonts w:ascii="Times New Roman" w:hAnsi="Times New Roman" w:eastAsia="Times New Roman" w:cs="Times New Roman"/>
                <w:color w:val="000000"/>
              </w:rPr>
              <w:t xml:space="preserve"> (4)</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rPr>
                <w:b/>
                <w:color w:val="000000"/>
              </w:rPr>
            </w:pPr>
            <w:bookmarkStart w:name="_ff393fc1_4060_4251_87a0_664b0cf794c4" w:id="2771"/>
            <w:bookmarkStart w:name="_d043caaa_2f23_48f3_b4fc_69e0f0c7dc05" w:colFirst="2" w:colLast="2" w:id="2772"/>
            <w:bookmarkStart w:name="_bba06ef4_5d20_4fc5_8890_db73a44745a2" w:colFirst="4" w:colLast="4" w:id="2773"/>
            <w:bookmarkEnd w:id="2768"/>
            <w:bookmarkEnd w:id="2769"/>
            <w:bookmarkEnd w:id="2770"/>
            <w:r>
              <w:rPr>
                <w:rFonts w:ascii="Times New Roman" w:hAnsi="Times New Roman" w:eastAsia="Times New Roman" w:cs="Times New Roman"/>
                <w:b/>
                <w:color w:val="000000"/>
              </w:rPr>
              <w:t xml:space="preserve">Total income tax expense </w:t>
            </w:r>
          </w:p>
        </w:tc>
        <w:tc>
          <w:tcPr>
            <w:tcW w:w="108" w:type="pct"/>
            <w:tcBorders>
              <w:top w:val="nil"/>
              <w:left w:val="nil"/>
              <w:bottom w:val="nil"/>
              <w:right w:val="nil"/>
              <w:tl2br w:val="nil"/>
              <w:tr2bl w:val="nil"/>
            </w:tcBorders>
            <w:noWrap/>
            <w:vAlign w:val="bottom"/>
          </w:tcPr>
          <w:p w:rsidR="009534E2" w:rsidRDefault="009534E2">
            <w:pPr>
              <w:keepNext/>
              <w:rPr>
                <w:b/>
                <w:color w:val="000000"/>
              </w:rPr>
            </w:pPr>
          </w:p>
        </w:tc>
        <w:tc>
          <w:tcPr>
            <w:tcW w:w="425" w:type="pct"/>
            <w:tcBorders>
              <w:top w:val="nil"/>
              <w:left w:val="nil"/>
              <w:bottom w:val="single" w:color="000000" w:sz="4" w:space="0"/>
              <w:right w:val="nil"/>
              <w:tl2br w:val="nil"/>
              <w:tr2bl w:val="nil"/>
            </w:tcBorders>
            <w:noWrap/>
            <w:vAlign w:val="bottom"/>
          </w:tcPr>
          <w:p w:rsidR="009534E2" w:rsidRDefault="003369EB">
            <w:pPr>
              <w:keepNext/>
              <w:jc w:val="right"/>
              <w:rPr>
                <w:b/>
                <w:color w:val="000000"/>
              </w:rPr>
            </w:pPr>
            <w:r>
              <w:rPr>
                <w:rFonts w:ascii="Times New Roman" w:hAnsi="Times New Roman" w:eastAsia="Times New Roman" w:cs="Times New Roman"/>
                <w:b/>
                <w:color w:val="000000"/>
              </w:rPr>
              <w:t xml:space="preserve"> (2,918)</w:t>
            </w:r>
          </w:p>
        </w:tc>
        <w:tc>
          <w:tcPr>
            <w:tcW w:w="108" w:type="pct"/>
            <w:tcBorders>
              <w:top w:val="nil"/>
              <w:left w:val="nil"/>
              <w:bottom w:val="nil"/>
              <w:right w:val="nil"/>
              <w:tl2br w:val="nil"/>
              <w:tr2bl w:val="nil"/>
            </w:tcBorders>
            <w:noWrap/>
            <w:vAlign w:val="bottom"/>
          </w:tcPr>
          <w:p w:rsidR="009534E2" w:rsidRDefault="009534E2">
            <w:pPr>
              <w:keepNext/>
              <w:rPr>
                <w:b/>
                <w:color w:val="000000"/>
              </w:rPr>
            </w:pPr>
          </w:p>
        </w:tc>
        <w:tc>
          <w:tcPr>
            <w:tcW w:w="425" w:type="pct"/>
            <w:tcBorders>
              <w:top w:val="nil"/>
              <w:left w:val="nil"/>
              <w:bottom w:val="single" w:color="000000" w:sz="4" w:space="0"/>
              <w:right w:val="nil"/>
              <w:tl2br w:val="nil"/>
              <w:tr2bl w:val="nil"/>
            </w:tcBorders>
            <w:noWrap/>
            <w:vAlign w:val="bottom"/>
          </w:tcPr>
          <w:p w:rsidR="009534E2" w:rsidRDefault="003369EB">
            <w:pPr>
              <w:keepNext/>
              <w:jc w:val="right"/>
              <w:rPr>
                <w:b/>
                <w:color w:val="000000"/>
              </w:rPr>
            </w:pPr>
            <w:r>
              <w:rPr>
                <w:rFonts w:ascii="Times New Roman" w:hAnsi="Times New Roman" w:eastAsia="Times New Roman" w:cs="Times New Roman"/>
                <w:b/>
                <w:color w:val="000000"/>
              </w:rPr>
              <w:t xml:space="preserve"> (3,080)</w:t>
            </w:r>
          </w:p>
        </w:tc>
        <w:tc>
          <w:tcPr>
            <w:tcW w:w="108" w:type="pct"/>
            <w:tcBorders>
              <w:top w:val="nil"/>
              <w:left w:val="nil"/>
              <w:bottom w:val="nil"/>
              <w:right w:val="nil"/>
              <w:tl2br w:val="nil"/>
              <w:tr2bl w:val="nil"/>
            </w:tcBorders>
            <w:noWrap/>
            <w:vAlign w:val="bottom"/>
          </w:tcPr>
          <w:p w:rsidR="009534E2" w:rsidRDefault="009534E2">
            <w:pPr>
              <w:keepNext/>
              <w:rPr>
                <w:b/>
                <w:color w:val="000000"/>
              </w:rPr>
            </w:pPr>
          </w:p>
        </w:tc>
        <w:tc>
          <w:tcPr>
            <w:tcW w:w="425" w:type="pct"/>
            <w:tcBorders>
              <w:top w:val="nil"/>
              <w:left w:val="nil"/>
              <w:bottom w:val="single" w:color="000000" w:sz="4" w:space="0"/>
              <w:right w:val="nil"/>
              <w:tl2br w:val="nil"/>
              <w:tr2bl w:val="nil"/>
            </w:tcBorders>
            <w:noWrap/>
            <w:vAlign w:val="bottom"/>
          </w:tcPr>
          <w:p w:rsidR="009534E2" w:rsidRDefault="003369EB">
            <w:pPr>
              <w:keepNext/>
              <w:jc w:val="right"/>
              <w:rPr>
                <w:b/>
                <w:color w:val="000000"/>
              </w:rPr>
            </w:pPr>
            <w:r>
              <w:rPr>
                <w:rFonts w:ascii="Times New Roman" w:hAnsi="Times New Roman" w:eastAsia="Times New Roman" w:cs="Times New Roman"/>
                <w:b/>
                <w:color w:val="000000"/>
              </w:rPr>
              <w:t xml:space="preserve"> (4,429)</w:t>
            </w:r>
          </w:p>
        </w:tc>
      </w:tr>
      <w:tr w:rsidR="009534E2">
        <w:trPr>
          <w:jc w:val="center"/>
        </w:trPr>
        <w:tc>
          <w:tcPr>
            <w:tcW w:w="3401" w:type="pct"/>
            <w:tcBorders>
              <w:top w:val="nil"/>
              <w:left w:val="nil"/>
              <w:bottom w:val="nil"/>
              <w:right w:val="nil"/>
              <w:tl2br w:val="nil"/>
              <w:tr2bl w:val="nil"/>
            </w:tcBorders>
            <w:shd w:val="clear" w:color="auto" w:fill="CCEEFF"/>
            <w:vAlign w:val="bottom"/>
          </w:tcPr>
          <w:p w:rsidR="009534E2" w:rsidRDefault="003369EB">
            <w:pPr>
              <w:keepNext/>
              <w:ind w:left="120"/>
              <w:rPr>
                <w:color w:val="000000"/>
              </w:rPr>
            </w:pPr>
            <w:bookmarkStart w:name="_a32cdac5_2642_45e1_82d5_4849a1ce6a54" w:id="2774"/>
            <w:bookmarkEnd w:id="2771"/>
            <w:bookmarkEnd w:id="2772"/>
            <w:bookmarkEnd w:id="2773"/>
            <w:r>
              <w:rPr>
                <w:rFonts w:ascii="Times New Roman" w:hAnsi="Times New Roman" w:eastAsia="Times New Roman" w:cs="Times New Roman"/>
                <w:color w:val="000000"/>
              </w:rPr>
              <w:t>Income tax attributable to a continuing operations</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b/>
                <w:color w:val="000000"/>
              </w:rPr>
            </w:pPr>
            <w:r>
              <w:rPr>
                <w:rFonts w:ascii="Times New Roman" w:hAnsi="Times New Roman" w:eastAsia="Times New Roman" w:cs="Times New Roman"/>
                <w:b/>
                <w:color w:val="000000"/>
              </w:rPr>
              <w:t xml:space="preserve"> (3,119)</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b/>
                <w:color w:val="000000"/>
              </w:rPr>
            </w:pPr>
            <w:r>
              <w:rPr>
                <w:rFonts w:ascii="Times New Roman" w:hAnsi="Times New Roman" w:eastAsia="Times New Roman" w:cs="Times New Roman"/>
                <w:b/>
                <w:color w:val="000000"/>
              </w:rPr>
              <w:t xml:space="preserve"> (3,080)</w:t>
            </w:r>
          </w:p>
        </w:tc>
        <w:tc>
          <w:tcPr>
            <w:tcW w:w="108" w:type="pct"/>
            <w:tcBorders>
              <w:top w:val="nil"/>
              <w:left w:val="nil"/>
              <w:bottom w:val="nil"/>
              <w:right w:val="nil"/>
              <w:tl2br w:val="nil"/>
              <w:tr2bl w:val="nil"/>
            </w:tcBorders>
            <w:shd w:val="clear" w:color="auto" w:fill="CCEEFF"/>
            <w:noWrap/>
            <w:vAlign w:val="bottom"/>
          </w:tcPr>
          <w:p w:rsidR="009534E2" w:rsidRDefault="009534E2">
            <w:pPr>
              <w:keepNext/>
              <w:rPr>
                <w:color w:val="000000"/>
              </w:rPr>
            </w:pPr>
          </w:p>
        </w:tc>
        <w:tc>
          <w:tcPr>
            <w:tcW w:w="425" w:type="pct"/>
            <w:tcBorders>
              <w:top w:val="nil"/>
              <w:left w:val="nil"/>
              <w:bottom w:val="nil"/>
              <w:right w:val="nil"/>
              <w:tl2br w:val="nil"/>
              <w:tr2bl w:val="nil"/>
            </w:tcBorders>
            <w:shd w:val="clear" w:color="auto" w:fill="CCEEFF"/>
            <w:noWrap/>
            <w:vAlign w:val="bottom"/>
          </w:tcPr>
          <w:p w:rsidR="009534E2" w:rsidRDefault="003369EB">
            <w:pPr>
              <w:keepNext/>
              <w:jc w:val="right"/>
              <w:rPr>
                <w:b/>
                <w:color w:val="000000"/>
              </w:rPr>
            </w:pPr>
            <w:r>
              <w:rPr>
                <w:rFonts w:ascii="Times New Roman" w:hAnsi="Times New Roman" w:eastAsia="Times New Roman" w:cs="Times New Roman"/>
                <w:b/>
                <w:color w:val="000000"/>
              </w:rPr>
              <w:t xml:space="preserve"> (4,429)</w:t>
            </w:r>
          </w:p>
        </w:tc>
      </w:tr>
      <w:tr w:rsidR="009534E2">
        <w:trPr>
          <w:jc w:val="center"/>
        </w:trPr>
        <w:tc>
          <w:tcPr>
            <w:tcW w:w="3401" w:type="pct"/>
            <w:tcBorders>
              <w:top w:val="nil"/>
              <w:left w:val="nil"/>
              <w:bottom w:val="nil"/>
              <w:right w:val="nil"/>
              <w:tl2br w:val="nil"/>
              <w:tr2bl w:val="nil"/>
            </w:tcBorders>
            <w:vAlign w:val="bottom"/>
          </w:tcPr>
          <w:p w:rsidR="009534E2" w:rsidRDefault="003369EB">
            <w:pPr>
              <w:keepNext/>
              <w:ind w:left="120"/>
              <w:rPr>
                <w:color w:val="000000"/>
              </w:rPr>
            </w:pPr>
            <w:bookmarkStart w:name="_2574ec6a_a432_45b6_86d1_73c6fdcbbde4" w:id="2775"/>
            <w:bookmarkStart w:name="_82f52546_209d_49b1_8bb9_13cf4e13384d" w:colFirst="6" w:colLast="6" w:id="2776"/>
            <w:bookmarkEnd w:id="2774"/>
            <w:r>
              <w:rPr>
                <w:rFonts w:ascii="Times New Roman" w:hAnsi="Times New Roman" w:eastAsia="Times New Roman" w:cs="Times New Roman"/>
                <w:color w:val="000000"/>
              </w:rPr>
              <w:t>Income tax attributable to a discontinued operations</w:t>
            </w:r>
          </w:p>
        </w:tc>
        <w:tc>
          <w:tcPr>
            <w:tcW w:w="108" w:type="pct"/>
            <w:tcBorders>
              <w:top w:val="nil"/>
              <w:left w:val="nil"/>
              <w:bottom w:val="nil"/>
              <w:right w:val="nil"/>
              <w:tl2br w:val="nil"/>
              <w:tr2bl w:val="nil"/>
            </w:tcBorders>
            <w:noWrap/>
            <w:vAlign w:val="bottom"/>
          </w:tcPr>
          <w:p w:rsidR="009534E2" w:rsidRDefault="009534E2">
            <w:pPr>
              <w:keepNext/>
              <w:rPr>
                <w:b/>
                <w:color w:val="000000"/>
              </w:rPr>
            </w:pPr>
          </w:p>
        </w:tc>
        <w:tc>
          <w:tcPr>
            <w:tcW w:w="425" w:type="pct"/>
            <w:tcBorders>
              <w:top w:val="nil"/>
              <w:left w:val="nil"/>
              <w:bottom w:val="double" w:color="000000" w:sz="4" w:space="0"/>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201</w:t>
            </w:r>
          </w:p>
        </w:tc>
        <w:tc>
          <w:tcPr>
            <w:tcW w:w="108" w:type="pct"/>
            <w:tcBorders>
              <w:top w:val="nil"/>
              <w:left w:val="nil"/>
              <w:bottom w:val="nil"/>
              <w:right w:val="nil"/>
              <w:tl2br w:val="nil"/>
              <w:tr2bl w:val="nil"/>
            </w:tcBorders>
            <w:noWrap/>
            <w:vAlign w:val="bottom"/>
          </w:tcPr>
          <w:p w:rsidR="009534E2" w:rsidRDefault="009534E2">
            <w:pPr>
              <w:keepNext/>
              <w:rPr>
                <w:color w:val="000000"/>
              </w:rPr>
            </w:pPr>
          </w:p>
        </w:tc>
        <w:tc>
          <w:tcPr>
            <w:tcW w:w="425" w:type="pct"/>
            <w:tcBorders>
              <w:top w:val="nil"/>
              <w:left w:val="nil"/>
              <w:bottom w:val="double" w:color="000000" w:sz="4" w:space="0"/>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w:t>
            </w:r>
          </w:p>
        </w:tc>
        <w:tc>
          <w:tcPr>
            <w:tcW w:w="108" w:type="pct"/>
            <w:tcBorders>
              <w:top w:val="nil"/>
              <w:left w:val="nil"/>
              <w:bottom w:val="nil"/>
              <w:right w:val="nil"/>
              <w:tl2br w:val="nil"/>
              <w:tr2bl w:val="nil"/>
            </w:tcBorders>
            <w:noWrap/>
            <w:vAlign w:val="bottom"/>
          </w:tcPr>
          <w:p w:rsidR="009534E2" w:rsidRDefault="009534E2">
            <w:pPr>
              <w:keepNext/>
              <w:rPr>
                <w:color w:val="000000"/>
              </w:rPr>
            </w:pPr>
          </w:p>
        </w:tc>
        <w:tc>
          <w:tcPr>
            <w:tcW w:w="425" w:type="pct"/>
            <w:tcBorders>
              <w:top w:val="nil"/>
              <w:left w:val="nil"/>
              <w:bottom w:val="double" w:color="000000" w:sz="4" w:space="0"/>
              <w:right w:val="nil"/>
              <w:tl2br w:val="nil"/>
              <w:tr2bl w:val="nil"/>
            </w:tcBorders>
            <w:noWrap/>
            <w:vAlign w:val="bottom"/>
          </w:tcPr>
          <w:p w:rsidR="009534E2" w:rsidRDefault="003369EB">
            <w:pPr>
              <w:keepNext/>
              <w:ind w:right="60"/>
              <w:jc w:val="right"/>
              <w:rPr>
                <w:b/>
                <w:color w:val="000000"/>
              </w:rPr>
            </w:pPr>
            <w:r>
              <w:rPr>
                <w:rFonts w:ascii="Times New Roman" w:hAnsi="Times New Roman" w:eastAsia="Times New Roman" w:cs="Times New Roman"/>
                <w:b/>
                <w:color w:val="000000"/>
              </w:rPr>
              <w:t xml:space="preserve"> —</w:t>
            </w:r>
          </w:p>
        </w:tc>
      </w:tr>
      <w:bookmarkEnd w:id="2739"/>
      <w:bookmarkEnd w:id="2748"/>
      <w:bookmarkEnd w:id="2775"/>
      <w:bookmarkEnd w:id="2776"/>
    </w:tbl>
    <w:p w:rsidR="009534E2" w:rsidRDefault="009534E2">
      <w:pPr>
        <w:rPr>
          <w:rFonts w:asciiTheme="majorHAnsi" w:hAnsiTheme="majorHAnsi" w:cstheme="majorHAnsi"/>
        </w:rPr>
      </w:pP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 xml:space="preserve">During the year ended December 31, 2022 the Group did not recognize deferred tax assets related to the tax loss carry forward in the amount of </w:t>
      </w:r>
      <w:bookmarkStart w:name="_b9428c4f_74ed_4981_a1d2_3daffb3bb67c" w:id="2777"/>
      <w:r>
        <w:rPr>
          <w:rFonts w:eastAsia="Times New Roman" w:asciiTheme="majorHAnsi" w:hAnsiTheme="majorHAnsi" w:cstheme="majorHAnsi"/>
        </w:rPr>
        <w:t>4</w:t>
      </w:r>
      <w:bookmarkEnd w:id="2777"/>
      <w:r>
        <w:rPr>
          <w:rFonts w:eastAsia="Times New Roman" w:asciiTheme="majorHAnsi" w:hAnsiTheme="majorHAnsi" w:cstheme="majorHAnsi"/>
        </w:rPr>
        <w:t xml:space="preserve"> (2021 - </w:t>
      </w:r>
      <w:bookmarkStart w:name="_fb9a53ab_8ced_47f8_be13_d2d3a5d604b9" w:id="2778"/>
      <w:bookmarkStart w:name="_03b0480c_9364_4d73_9123_eff5d7b28b99" w:id="2779"/>
      <w:r>
        <w:rPr>
          <w:rFonts w:eastAsia="Times New Roman" w:asciiTheme="majorHAnsi" w:hAnsiTheme="majorHAnsi" w:cstheme="majorHAnsi"/>
        </w:rPr>
        <w:t>57</w:t>
      </w:r>
      <w:bookmarkEnd w:id="2778"/>
      <w:bookmarkEnd w:id="2779"/>
      <w:r>
        <w:rPr>
          <w:rFonts w:eastAsia="Times New Roman" w:asciiTheme="majorHAnsi" w:hAnsiTheme="majorHAnsi" w:cstheme="majorHAnsi"/>
        </w:rPr>
        <w:t xml:space="preserve">, 2020 – </w:t>
      </w:r>
      <w:bookmarkStart w:name="_4a491cc7_03a7_41e8_9e96_e20404d7f372" w:id="2780"/>
      <w:r>
        <w:rPr>
          <w:rFonts w:eastAsia="Times New Roman" w:asciiTheme="majorHAnsi" w:hAnsiTheme="majorHAnsi" w:cstheme="majorHAnsi"/>
        </w:rPr>
        <w:t>83</w:t>
      </w:r>
      <w:bookmarkEnd w:id="2780"/>
      <w:r>
        <w:rPr>
          <w:rFonts w:eastAsia="Times New Roman" w:asciiTheme="majorHAnsi" w:hAnsiTheme="majorHAnsi" w:cstheme="majorHAnsi"/>
        </w:rPr>
        <w:t>) because the Group did not believe that the realization of the related deferred tax assets is probable.</w:t>
      </w:r>
    </w:p>
    <w:p w:rsidR="009534E2" w:rsidRDefault="003369EB">
      <w:pPr>
        <w:pStyle w:val="BodyText"/>
        <w:spacing w:after="0"/>
        <w:rPr>
          <w:rFonts w:eastAsia="Times New Roman" w:asciiTheme="majorHAnsi" w:hAnsiTheme="majorHAnsi" w:cstheme="majorHAnsi"/>
        </w:rPr>
      </w:pPr>
      <w:r>
        <w:rPr>
          <w:rFonts w:eastAsia="Times New Roman" w:asciiTheme="majorHAnsi" w:hAnsiTheme="majorHAnsi" w:cstheme="majorHAnsi"/>
        </w:rPr>
        <w:br w:type="page"/>
      </w:r>
    </w:p>
    <w:bookmarkStart w:name="_1735c168_391a_474a_ad5c_7b6b7bffaa40" w:displacedByCustomXml="next" w:id="2781"/>
    <w:bookmarkEnd w:displacedByCustomXml="next" w:id="2781"/>
    <w:bookmarkStart w:name="_aa958497_76b2_4d8f_86e9_86df47ad9bfd" w:displacedByCustomXml="next" w:id="2782"/>
    <w:bookmarkEnd w:displacedByCustomXml="next" w:id="2782"/>
    <w:p w:rsidR="009534E2" w:rsidRDefault="003369EB">
      <w:pPr>
        <w:pStyle w:val="Heading1"/>
        <w:ind w:left="360" w:hanging="360"/>
        <w:rPr>
          <w:lang w:eastAsia="ru-RU"/>
        </w:rPr>
      </w:pPr>
      <w:r>
        <w:rPr>
          <w:lang w:eastAsia="ru-RU"/>
        </w:rPr>
        <w:t>28.</w:t>
      </w:r>
      <w:r>
        <w:rPr>
          <w:lang w:eastAsia="ru-RU"/>
        </w:rPr>
        <w:tab/>
        <w:t>Commitments, contingencies and operating risks</w:t>
      </w:r>
    </w:p>
    <w:p w:rsidR="009534E2" w:rsidRDefault="003369EB">
      <w:pPr>
        <w:pStyle w:val="Heading4"/>
        <w:rPr>
          <w:lang w:eastAsia="ru-RU"/>
        </w:rPr>
      </w:pPr>
      <w:r>
        <w:rPr>
          <w:lang w:eastAsia="ru-RU"/>
        </w:rPr>
        <w:t>Operating environment</w:t>
      </w:r>
    </w:p>
    <w:p w:rsidR="009534E2" w:rsidRDefault="003369EB">
      <w:pPr>
        <w:pStyle w:val="Heading4"/>
        <w:rPr>
          <w:b w:val="0"/>
          <w:lang w:eastAsia="ru-RU"/>
        </w:rPr>
      </w:pPr>
      <w:r>
        <w:rPr>
          <w:b w:val="0"/>
          <w:lang w:eastAsia="ru-RU"/>
        </w:rPr>
        <w:t>The Ukraine crisis, which started in late 2013 and escalated into a major military conflict between Russia and Ukraine in February 2022, has had a devastating effect on Russian relations with the West. In response to the Ukraine crisis, Ukraine, the European Union, the United Kingdom and the United States (as well as numerous other countries such as Switzerland, Japan, Norway, Canada and Australia) have passed a variety of economic sanctions against numerous Russian banks, other companies, private individuals, and whole sectors of the Russian economy, as well as export restrictions and “sectoral” sanctions affecting specified types of transactions with named participants in certain industries, including named Russian financial institutions, and sanctions that prohibit certain significant commercial activities of U.S., UK and EU entities in Russia, as well as in certain specific territories affected by the conflict. While the scope of sanctions has been expanding since 2014, when they were first introduced in response to annexation of Crimea, 2022 saw the imposition of extremely severe measures that have hitherto been unprecedented. Introduction of further economic or trade sanctions remains highly likely as the conflict in Ukraine develops.</w:t>
      </w:r>
    </w:p>
    <w:p w:rsidR="009534E2" w:rsidRDefault="003369EB">
      <w:pPr>
        <w:pStyle w:val="Heading4"/>
        <w:rPr>
          <w:b w:val="0"/>
          <w:lang w:eastAsia="ru-RU"/>
        </w:rPr>
      </w:pPr>
      <w:r>
        <w:rPr>
          <w:b w:val="0"/>
          <w:lang w:eastAsia="ru-RU"/>
        </w:rPr>
        <w:t>Several of Russia’s largest banks, as well as a number of smaller banks are now on the U.S. Department of the Treasury’s Office of Foreign Assets Control’s List of Specially Designated Nationals and Blocked Persons (SDNs), such that their property in the U.S. is blocked and U.S. entities are prohibited from transacting with them, and are also subject to various EU and UK sanctions. Since March 2, 2022, a number of major Russian banks have been banned from the SWIFT system by the EU.</w:t>
      </w:r>
    </w:p>
    <w:p w:rsidR="009534E2" w:rsidRDefault="003369EB">
      <w:pPr>
        <w:pStyle w:val="Heading4"/>
        <w:rPr>
          <w:b w:val="0"/>
          <w:lang w:eastAsia="ru-RU"/>
        </w:rPr>
      </w:pPr>
      <w:r>
        <w:rPr>
          <w:b w:val="0"/>
          <w:lang w:eastAsia="ru-RU"/>
        </w:rPr>
        <w:t>As of the date of these consolidated financial statements, the Group is not subject to any sanctions. However, further expansion of the sanctions list, the shutdown of the SWIFT system for some Russian banks, the possible introduction of restrictions on the CBR and a number of companies, including customers and counterparties of the Group, may have a significant impact on the activities and financial position of the Group in the future.</w:t>
      </w:r>
    </w:p>
    <w:p w:rsidR="009534E2" w:rsidRDefault="003369EB">
      <w:pPr>
        <w:pStyle w:val="Heading4"/>
        <w:rPr>
          <w:b w:val="0"/>
          <w:lang w:eastAsia="ru-RU"/>
        </w:rPr>
      </w:pPr>
      <w:r>
        <w:rPr>
          <w:b w:val="0"/>
          <w:lang w:eastAsia="ru-RU"/>
        </w:rPr>
        <w:t xml:space="preserve">In addition, in response to the Ukraine conflict, numerous companies from the U.S., the EU, the UK and other countries have withdrawn from Russia or suspended, wound down or substantially scaled back their Russian operations, or announced plans to do so, for reputational reasons even where not necessitated by the sanctions regime. It has been observed that businesses from the U.S., the EU, the UK and certain other countries, are exhibiting an overall trend of avoiding any associations with Russia. On March 5, 2022, Visa and Mastercard suspended membership of all their Russian members, rendering Russian banks, including Qiwi Bank, unable to issue Visa and Mastercard cards, and Russian consumers unable to execute purchases from most foreign merchants, which has had a limited negative effect on the Group’s payment volumes in 2022. A vast majority of major Western businesses have withdrawn from, suspended, wound down or substantially scaled back activities in Russia or stopped dealings with Russian counterparts due to what ostensibly is a combination of compliance, political, reputational, and other reasons, in a manner that goes significantly beyond the mere compliance with applicable sanctions. Such businesses include, among others, software and hardware providers the use of whose products and services is material to the Group’s operations. Accordingly, the Group may face the risk of interruptions to its normal operations due to the need to replace such products and services and integrate alternative solutions on an emergency basis, and its business, financial condition and results of operations could be materially adversely affected as a result. </w:t>
      </w:r>
    </w:p>
    <w:p w:rsidR="009534E2" w:rsidRDefault="003369EB">
      <w:pPr>
        <w:rPr>
          <w:rFonts w:asciiTheme="majorHAnsi" w:hAnsiTheme="majorHAnsi" w:eastAsiaTheme="majorEastAsia" w:cstheme="majorHAnsi"/>
          <w:iCs/>
          <w:lang w:eastAsia="ru-RU"/>
        </w:rPr>
      </w:pPr>
      <w:r>
        <w:rPr>
          <w:rFonts w:asciiTheme="majorHAnsi" w:hAnsiTheme="majorHAnsi" w:cstheme="majorHAnsi"/>
          <w:b/>
          <w:lang w:eastAsia="ru-RU"/>
        </w:rPr>
        <w:br w:type="page"/>
      </w:r>
    </w:p>
    <w:p w:rsidR="009534E2" w:rsidRDefault="003369EB">
      <w:pPr>
        <w:pStyle w:val="Heading4"/>
        <w:ind w:left="360" w:hanging="360"/>
        <w:rPr>
          <w:bCs/>
          <w:lang w:eastAsia="ru-RU"/>
        </w:rPr>
      </w:pPr>
      <w:r>
        <w:rPr>
          <w:bCs/>
          <w:lang w:eastAsia="ru-RU"/>
        </w:rPr>
        <w:t>28.</w:t>
      </w:r>
      <w:r>
        <w:rPr>
          <w:bCs/>
          <w:lang w:eastAsia="ru-RU"/>
        </w:rPr>
        <w:tab/>
        <w:t>Commitments, contingencies and operating risks (continued)</w:t>
      </w:r>
    </w:p>
    <w:p w:rsidR="009534E2" w:rsidRDefault="003369EB">
      <w:pPr>
        <w:pStyle w:val="Heading4"/>
        <w:rPr>
          <w:bCs/>
          <w:lang w:eastAsia="ru-RU"/>
        </w:rPr>
      </w:pPr>
      <w:r>
        <w:rPr>
          <w:bCs/>
          <w:lang w:eastAsia="ru-RU"/>
        </w:rPr>
        <w:t>Operating environment (continued)</w:t>
      </w:r>
    </w:p>
    <w:p w:rsidR="009534E2" w:rsidRDefault="003369EB">
      <w:pPr>
        <w:pStyle w:val="Heading4"/>
        <w:keepNext w:val="0"/>
        <w:keepLines w:val="0"/>
        <w:rPr>
          <w:b w:val="0"/>
          <w:lang w:eastAsia="ru-RU"/>
        </w:rPr>
      </w:pPr>
      <w:r>
        <w:rPr>
          <w:b w:val="0"/>
          <w:lang w:eastAsia="ru-RU"/>
        </w:rPr>
        <w:t>A prolonged economic slowdown or recession in Russia could have a significant negative effect on consumer spending in Russia and, accordingly, on the Group’s business. As a result of the challenging operating environment in Russia, the Group has experienced slower payment volume growth in certain payment categories and payment volume decline in certain others, in particular certain types of money remittances and financial services categories. Further adverse changes in economic conditions in Russia could adversely impact the Group’s future revenues and profits and cause a material adverse effect on its business, financial condition and results of operations.</w:t>
      </w:r>
    </w:p>
    <w:p w:rsidR="009534E2" w:rsidRDefault="003369EB">
      <w:pPr>
        <w:pStyle w:val="Heading4"/>
        <w:keepNext w:val="0"/>
        <w:keepLines w:val="0"/>
        <w:rPr>
          <w:b w:val="0"/>
          <w:lang w:eastAsia="ru-RU"/>
        </w:rPr>
      </w:pPr>
      <w:r>
        <w:rPr>
          <w:b w:val="0"/>
          <w:lang w:eastAsia="ru-RU"/>
        </w:rPr>
        <w:t>A substantial part of the Russian population continues to rely on cash payments, rather than credit and debit card payments or electronic banking. The Group’s business has developed as a network of kiosks and terminals that allow consumers to use physical currency for online payments. While the Group has since largely outgrown that model, the network of kiosks and terminals remains a significant part of the Group’s infrastructure and serves as a reload and client acquisition channel for Qiwi Wallet. Over time, the prevalence of cash payments is declining as a greater percentage of the population in emerging markets adopts credit and debit card payments and electronic banking, and the number of kiosks and terminals in the QIWI network is decreasing as the market shifts towards a higher share of digital payments. In 2020-2022, the Group’s physical distribution network was and, to a certain extent, may continue to be negatively affected by the spread of the COVID-19 pandemic, corresponding lockdown measures, and other restrictions that limited users’ access to certain retail locations, as well as reducing the overall activity of the population. Other factors could also contribute to a decline in the use of kiosks and terminals, including regulatory changes, increases in consumer fees imposed by the agents and the development of alternative payment channels. All of these factors could have a material adverse effect on the Group’s business, financial condition and results of operations.</w:t>
      </w:r>
    </w:p>
    <w:p w:rsidR="009534E2" w:rsidRDefault="003369EB">
      <w:pPr>
        <w:pStyle w:val="Heading4"/>
        <w:rPr>
          <w:rFonts w:eastAsiaTheme="minorHAnsi"/>
          <w:iCs w:val="0"/>
          <w:lang w:eastAsia="ru-RU"/>
        </w:rPr>
      </w:pPr>
      <w:r>
        <w:rPr>
          <w:rFonts w:eastAsiaTheme="minorHAnsi"/>
          <w:iCs w:val="0"/>
          <w:lang w:eastAsia="ru-RU"/>
        </w:rPr>
        <w:t xml:space="preserve">Regulatory environment </w:t>
      </w:r>
    </w:p>
    <w:p w:rsidR="009534E2" w:rsidRDefault="003369EB">
      <w:pPr>
        <w:pStyle w:val="BodyText"/>
        <w:rPr>
          <w:rFonts w:asciiTheme="majorHAnsi" w:hAnsiTheme="majorHAnsi" w:eastAsiaTheme="majorEastAsia" w:cstheme="majorHAnsi"/>
          <w:iCs/>
          <w:lang w:eastAsia="ru-RU"/>
        </w:rPr>
      </w:pPr>
      <w:r>
        <w:rPr>
          <w:rFonts w:asciiTheme="majorHAnsi" w:hAnsiTheme="majorHAnsi" w:eastAsiaTheme="majorEastAsia" w:cstheme="majorHAnsi"/>
          <w:iCs/>
          <w:lang w:eastAsia="ru-RU"/>
        </w:rPr>
        <w:t>The Group’s business is impacted by laws and regulations that affect its industry, the number of which has increased significantly in recent years. The Group is subject to a variety of regulations, including those aimed at preventing money laundering and the financing of criminal activity and terrorism, financial services regulations, payment services regulations, consumer protection laws, currency control regulations, advertising laws, betting laws and privacy and data protection laws. As a result, the Group experiences periodic investigations by various regulatory authorities in connection with such laws and regulations, which may sometimes result in the imposition of monetary or other sanctions. Further, these laws and regulations vary significantly from country to country. Many of these laws and regulations are constantly evolving, and are often unclear and inconsistent with other applicable laws and regulations, including across various jurisdictions, making compliance challenging and increasing the Group’s related operating costs and legal risks. If local authorities in Russia or other countries choose to enforce specific interpretations of the applicable legislation that differ from the Group’s, it may be found to be in violation and subject to penalties or other liabilities. This could also limit the Group’s ability to provide some of its services going forward and may increase its cost of doing business.</w:t>
      </w:r>
    </w:p>
    <w:p w:rsidR="009534E2" w:rsidRDefault="003369EB">
      <w:pPr>
        <w:pStyle w:val="BodyText"/>
        <w:rPr>
          <w:rFonts w:asciiTheme="majorHAnsi" w:hAnsiTheme="majorHAnsi" w:eastAsiaTheme="majorEastAsia" w:cstheme="majorHAnsi"/>
          <w:iCs/>
          <w:lang w:eastAsia="ru-RU"/>
        </w:rPr>
      </w:pPr>
      <w:r>
        <w:rPr>
          <w:rFonts w:asciiTheme="majorHAnsi" w:hAnsiTheme="majorHAnsi" w:eastAsiaTheme="majorEastAsia" w:cstheme="majorHAnsi"/>
          <w:iCs/>
          <w:lang w:eastAsia="ru-RU"/>
        </w:rPr>
        <w:t>Qiwi Bank is central to the operation of all of the Group’s key business segments as it provides issuing, acquiring and deposit settlement functions within the Group, and is the banking institution behind those products of ROWI offering that require a banking license.</w:t>
      </w:r>
    </w:p>
    <w:p w:rsidR="009534E2" w:rsidRDefault="003369EB">
      <w:pPr>
        <w:rPr>
          <w:rFonts w:asciiTheme="majorHAnsi" w:hAnsiTheme="majorHAnsi" w:eastAsiaTheme="majorEastAsia" w:cstheme="majorHAnsi"/>
          <w:iCs/>
          <w:lang w:eastAsia="ru-RU"/>
        </w:rPr>
      </w:pPr>
      <w:r>
        <w:rPr>
          <w:rFonts w:asciiTheme="majorHAnsi" w:hAnsiTheme="majorHAnsi" w:eastAsiaTheme="majorEastAsia" w:cstheme="majorHAnsi"/>
          <w:iCs/>
          <w:lang w:eastAsia="ru-RU"/>
        </w:rPr>
        <w:br w:type="page"/>
      </w:r>
    </w:p>
    <w:p w:rsidR="009534E2" w:rsidRDefault="003369EB">
      <w:pPr>
        <w:pStyle w:val="BodyText"/>
        <w:keepNext/>
        <w:keepLines/>
        <w:ind w:left="360" w:hanging="360"/>
        <w:rPr>
          <w:rFonts w:asciiTheme="majorHAnsi" w:hAnsiTheme="majorHAnsi" w:cstheme="majorHAnsi"/>
          <w:b/>
          <w:bCs/>
          <w:lang w:eastAsia="ru-RU"/>
        </w:rPr>
      </w:pPr>
      <w:r>
        <w:rPr>
          <w:rFonts w:asciiTheme="majorHAnsi" w:hAnsiTheme="majorHAnsi" w:cstheme="majorHAnsi"/>
          <w:b/>
          <w:bCs/>
          <w:lang w:eastAsia="ru-RU"/>
        </w:rPr>
        <w:t>28.</w:t>
      </w:r>
      <w:r>
        <w:rPr>
          <w:rFonts w:asciiTheme="majorHAnsi" w:hAnsiTheme="majorHAnsi" w:cstheme="majorHAnsi"/>
          <w:b/>
          <w:bCs/>
          <w:lang w:eastAsia="ru-RU"/>
        </w:rPr>
        <w:tab/>
        <w:t>Commitments, contingencies and operating risks (continued)</w:t>
      </w:r>
    </w:p>
    <w:p w:rsidR="009534E2" w:rsidRDefault="003369EB">
      <w:pPr>
        <w:pStyle w:val="BodyText"/>
        <w:keepNext/>
        <w:keepLines/>
        <w:rPr>
          <w:rFonts w:asciiTheme="majorHAnsi" w:hAnsiTheme="majorHAnsi" w:eastAsiaTheme="majorEastAsia" w:cstheme="majorHAnsi"/>
          <w:iCs/>
          <w:lang w:eastAsia="ru-RU"/>
        </w:rPr>
      </w:pPr>
      <w:r>
        <w:rPr>
          <w:rFonts w:asciiTheme="majorHAnsi" w:hAnsiTheme="majorHAnsi" w:eastAsiaTheme="majorEastAsia" w:cstheme="majorHAnsi"/>
          <w:b/>
          <w:bCs/>
          <w:iCs/>
          <w:lang w:eastAsia="ru-RU"/>
        </w:rPr>
        <w:t>Regulatory environment (continued)</w:t>
      </w:r>
    </w:p>
    <w:p w:rsidR="009534E2" w:rsidRDefault="003369EB">
      <w:pPr>
        <w:pStyle w:val="BodyText"/>
        <w:keepNext/>
        <w:keepLines/>
        <w:rPr>
          <w:rFonts w:asciiTheme="majorHAnsi" w:hAnsiTheme="majorHAnsi" w:eastAsiaTheme="majorEastAsia" w:cstheme="majorHAnsi"/>
          <w:iCs/>
          <w:lang w:eastAsia="ru-RU"/>
        </w:rPr>
      </w:pPr>
      <w:r>
        <w:rPr>
          <w:rFonts w:asciiTheme="majorHAnsi" w:hAnsiTheme="majorHAnsi" w:eastAsiaTheme="majorEastAsia" w:cstheme="majorHAnsi"/>
          <w:iCs/>
          <w:lang w:eastAsia="ru-RU"/>
        </w:rPr>
        <w:t>All banks and non-banking credit organizations operating in Russia are subject to extensive regulation and supervision. Requirements imposed by regulators, including capital adequacy, liquidity reserves, prudential ratios, loss provisions and other regulatory requirements are designed to ensure the integrity of the financial markets and to protect consumers and other third parties with whom a bank deals. These regulations may limit the Group’s activities, and may increase its costs of doing business, or require it to seek additional capital in order to comply with applicable capital adequacy or liquidity requirements. Existing laws and regulations could be amended, the manner in which laws and regulations are enforced or interpreted could change</w:t>
      </w:r>
      <w:r w:rsidR="00641503">
        <w:rPr>
          <w:rFonts w:asciiTheme="majorHAnsi" w:hAnsiTheme="majorHAnsi" w:eastAsiaTheme="majorEastAsia" w:cstheme="majorHAnsi"/>
          <w:iCs/>
          <w:lang w:eastAsia="ru-RU"/>
        </w:rPr>
        <w:t>,</w:t>
      </w:r>
      <w:r>
        <w:rPr>
          <w:rFonts w:asciiTheme="majorHAnsi" w:hAnsiTheme="majorHAnsi" w:eastAsiaTheme="majorEastAsia" w:cstheme="majorHAnsi"/>
          <w:iCs/>
          <w:lang w:eastAsia="ru-RU"/>
        </w:rPr>
        <w:t xml:space="preserve"> and new laws or regulations could be adopted. Russian banks also have extensive reporting obligations, including, without limitation, disclosure of financial statements, various operational indicators, and affiliates and persons who exercise (direct or indirect) influence over the decisions taken by the management bodies of the bank. The CBR may at any time conduct full or selective audits of any bank’s activities and filings and may inspect all of its books and records.</w:t>
      </w:r>
    </w:p>
    <w:p w:rsidR="009534E2" w:rsidRDefault="003369EB">
      <w:pPr>
        <w:pStyle w:val="BodyText"/>
        <w:rPr>
          <w:rFonts w:asciiTheme="majorHAnsi" w:hAnsiTheme="majorHAnsi" w:eastAsiaTheme="majorEastAsia" w:cstheme="majorHAnsi"/>
          <w:iCs/>
          <w:lang w:eastAsia="ru-RU"/>
        </w:rPr>
      </w:pPr>
      <w:r>
        <w:rPr>
          <w:rFonts w:asciiTheme="majorHAnsi" w:hAnsiTheme="majorHAnsi" w:eastAsiaTheme="majorEastAsia" w:cstheme="majorHAnsi"/>
          <w:iCs/>
          <w:lang w:eastAsia="ru-RU"/>
        </w:rPr>
        <w:t>The past and future operations may also be subject to greater scrutiny from the CBR. There can be no assurance that new sanctions will not be imposed on the Group as a result of any past or future findings and that we will not come under greater CBR scrutiny in connection with any perceived deficiencies in the Group’s conduct, or that any currently planned or future inspections will not result in discovery of any significant or minor additional violations of various banking regulations, and of what sanctions the CBR may impose on the Group in connection with such deficiencies or violations. Any such sanctions could have a material adverse effect on the Group’s business, financial condition and results of operations.</w:t>
      </w:r>
    </w:p>
    <w:p w:rsidR="009534E2" w:rsidRDefault="003369EB">
      <w:pPr>
        <w:pStyle w:val="BodyText"/>
        <w:rPr>
          <w:rFonts w:asciiTheme="majorHAnsi" w:hAnsiTheme="majorHAnsi" w:cstheme="majorHAnsi"/>
          <w:lang w:eastAsia="ru-RU"/>
        </w:rPr>
      </w:pPr>
      <w:r>
        <w:rPr>
          <w:rFonts w:asciiTheme="majorHAnsi" w:hAnsiTheme="majorHAnsi" w:eastAsiaTheme="majorEastAsia" w:cstheme="majorHAnsi"/>
          <w:iCs/>
          <w:lang w:eastAsia="ru-RU"/>
        </w:rPr>
        <w:t xml:space="preserve">The Group contracts with some of </w:t>
      </w:r>
      <w:r w:rsidR="00641503">
        <w:rPr>
          <w:rFonts w:asciiTheme="majorHAnsi" w:hAnsiTheme="majorHAnsi" w:eastAsiaTheme="majorEastAsia" w:cstheme="majorHAnsi"/>
          <w:iCs/>
          <w:lang w:eastAsia="ru-RU"/>
        </w:rPr>
        <w:t xml:space="preserve">its </w:t>
      </w:r>
      <w:r>
        <w:rPr>
          <w:rFonts w:asciiTheme="majorHAnsi" w:hAnsiTheme="majorHAnsi" w:eastAsiaTheme="majorEastAsia" w:cstheme="majorHAnsi"/>
          <w:iCs/>
          <w:lang w:eastAsia="ru-RU"/>
        </w:rPr>
        <w:t>international merchants in U.S. dollars, Euro and other currencies and may experience challenges in relationships with U.S. and EU banks that are required for any non-U.S. or non-EU company to transact in U.S. dollars or Euro due to changes in internal know-your-customer procedures, limits on certain types of merchants and certain jurisdictions, and other internal policies, which we believe might be a result of the increasing negative sentiment towards Russia even with respect to transactions and relationships that do not present any potential violation of any applicable sanctions. Even though the Group maintains a number of U.S. dollar, Euro and other currencies accounts with various financial institutions, at the same time the Group is also conducting a portion of U.S. dollar transactions with international merchants in other currencies, bearing additional currency conversion costs. No assurance can be given that such institutions or their respective correspondent banks in the U.S. will not refuse to process the Group’s transactions for such reasons or otherwise, thereby further increasing the currency conversion costs that the Group has to bear</w:t>
      </w:r>
      <w:r w:rsidR="00641503">
        <w:rPr>
          <w:rFonts w:asciiTheme="majorHAnsi" w:hAnsiTheme="majorHAnsi" w:eastAsiaTheme="majorEastAsia" w:cstheme="majorHAnsi"/>
          <w:iCs/>
          <w:lang w:eastAsia="ru-RU"/>
        </w:rPr>
        <w:t>,</w:t>
      </w:r>
      <w:r>
        <w:rPr>
          <w:rFonts w:asciiTheme="majorHAnsi" w:hAnsiTheme="majorHAnsi" w:eastAsiaTheme="majorEastAsia" w:cstheme="majorHAnsi"/>
          <w:iCs/>
          <w:lang w:eastAsia="ru-RU"/>
        </w:rPr>
        <w:t xml:space="preserve"> or that international merchants will agree to accept payments in any currency but the U.S. dollar in the future. If the Group is not able to conduct transactions in U.S. dollars</w:t>
      </w:r>
      <w:r w:rsidR="00641503">
        <w:rPr>
          <w:rFonts w:asciiTheme="majorHAnsi" w:hAnsiTheme="majorHAnsi" w:eastAsiaTheme="majorEastAsia" w:cstheme="majorHAnsi"/>
          <w:iCs/>
          <w:lang w:eastAsia="ru-RU"/>
        </w:rPr>
        <w:t>,</w:t>
      </w:r>
      <w:r>
        <w:rPr>
          <w:rFonts w:asciiTheme="majorHAnsi" w:hAnsiTheme="majorHAnsi" w:eastAsiaTheme="majorEastAsia" w:cstheme="majorHAnsi"/>
          <w:iCs/>
          <w:lang w:eastAsia="ru-RU"/>
        </w:rPr>
        <w:t xml:space="preserve"> Euro or other currencies envisaged under agreements with</w:t>
      </w:r>
      <w:r w:rsidR="00641503">
        <w:rPr>
          <w:rFonts w:asciiTheme="majorHAnsi" w:hAnsiTheme="majorHAnsi" w:eastAsiaTheme="majorEastAsia" w:cstheme="majorHAnsi"/>
          <w:iCs/>
          <w:lang w:eastAsia="ru-RU"/>
        </w:rPr>
        <w:t xml:space="preserve"> the</w:t>
      </w:r>
      <w:r>
        <w:rPr>
          <w:rFonts w:asciiTheme="majorHAnsi" w:hAnsiTheme="majorHAnsi" w:eastAsiaTheme="majorEastAsia" w:cstheme="majorHAnsi"/>
          <w:iCs/>
          <w:lang w:eastAsia="ru-RU"/>
        </w:rPr>
        <w:t xml:space="preserve"> Group’s merchants, it may bear significant currency conversion costs or lose some merchants who will not be willing to conduct transactions in currencies other than the currency provided under the agreement, and the Group’s business, financial condition and results of operations may be materially adversely affected.</w:t>
      </w:r>
    </w:p>
    <w:p w:rsidR="009534E2" w:rsidRDefault="003369EB">
      <w:pPr>
        <w:rPr>
          <w:rFonts w:asciiTheme="majorHAnsi" w:hAnsiTheme="majorHAnsi" w:cstheme="majorHAnsi"/>
          <w:lang w:eastAsia="ru-RU"/>
        </w:rPr>
      </w:pPr>
      <w:r>
        <w:rPr>
          <w:rFonts w:asciiTheme="majorHAnsi" w:hAnsiTheme="majorHAnsi" w:cstheme="majorHAnsi"/>
          <w:lang w:eastAsia="ru-RU"/>
        </w:rPr>
        <w:br w:type="page"/>
      </w:r>
    </w:p>
    <w:p w:rsidR="009534E2" w:rsidRDefault="003369EB">
      <w:pPr>
        <w:pStyle w:val="BodyText"/>
        <w:keepNext/>
        <w:keepLines/>
        <w:ind w:left="360" w:hanging="360"/>
        <w:rPr>
          <w:rFonts w:asciiTheme="majorHAnsi" w:hAnsiTheme="majorHAnsi" w:eastAsiaTheme="majorEastAsia" w:cstheme="majorHAnsi"/>
          <w:b/>
          <w:iCs/>
          <w:lang w:eastAsia="ru-RU"/>
        </w:rPr>
      </w:pPr>
      <w:r>
        <w:rPr>
          <w:rFonts w:asciiTheme="majorHAnsi" w:hAnsiTheme="majorHAnsi" w:eastAsiaTheme="majorEastAsia" w:cstheme="majorHAnsi"/>
          <w:b/>
          <w:iCs/>
          <w:lang w:eastAsia="ru-RU"/>
        </w:rPr>
        <w:t>28.</w:t>
      </w:r>
      <w:r>
        <w:rPr>
          <w:rFonts w:asciiTheme="majorHAnsi" w:hAnsiTheme="majorHAnsi" w:eastAsiaTheme="majorEastAsia" w:cstheme="majorHAnsi"/>
          <w:b/>
          <w:iCs/>
          <w:lang w:eastAsia="ru-RU"/>
        </w:rPr>
        <w:tab/>
        <w:t>Commitments, contingencies and operating risks (continued)</w:t>
      </w:r>
    </w:p>
    <w:p w:rsidR="009534E2" w:rsidRDefault="003369EB">
      <w:pPr>
        <w:pStyle w:val="BodyText"/>
        <w:rPr>
          <w:rFonts w:asciiTheme="majorHAnsi" w:hAnsiTheme="majorHAnsi" w:cstheme="majorHAnsi"/>
          <w:b/>
          <w:lang w:eastAsia="ru-RU"/>
        </w:rPr>
      </w:pPr>
      <w:r>
        <w:rPr>
          <w:rFonts w:asciiTheme="majorHAnsi" w:hAnsiTheme="majorHAnsi" w:cstheme="majorHAnsi"/>
          <w:b/>
          <w:lang w:eastAsia="ru-RU"/>
        </w:rPr>
        <w:t xml:space="preserve">Taxation </w:t>
      </w:r>
    </w:p>
    <w:p w:rsidR="009534E2" w:rsidRDefault="003369EB">
      <w:pPr>
        <w:pStyle w:val="BodyText"/>
        <w:rPr>
          <w:rFonts w:asciiTheme="majorHAnsi" w:hAnsiTheme="majorHAnsi" w:cstheme="majorHAnsi"/>
          <w:bCs/>
          <w:lang w:eastAsia="ru-RU"/>
        </w:rPr>
      </w:pPr>
      <w:r>
        <w:rPr>
          <w:rFonts w:asciiTheme="majorHAnsi" w:hAnsiTheme="majorHAnsi" w:cstheme="majorHAnsi"/>
          <w:bCs/>
          <w:lang w:eastAsia="ru-RU"/>
        </w:rPr>
        <w:t>Russian and the CIS</w:t>
      </w:r>
      <w:r w:rsidR="00641503">
        <w:rPr>
          <w:rFonts w:asciiTheme="majorHAnsi" w:hAnsiTheme="majorHAnsi" w:cstheme="majorHAnsi"/>
          <w:bCs/>
          <w:lang w:eastAsia="ru-RU"/>
        </w:rPr>
        <w:t xml:space="preserve"> countries</w:t>
      </w:r>
      <w:r>
        <w:rPr>
          <w:rFonts w:asciiTheme="majorHAnsi" w:hAnsiTheme="majorHAnsi" w:cstheme="majorHAnsi"/>
          <w:bCs/>
          <w:lang w:eastAsia="ru-RU"/>
        </w:rPr>
        <w:t>’ tax, currency and customs legislation is subject to varying interpretations, and changes, which can occur frequently. There can be no assurance that the Russian Tax Code and CIS</w:t>
      </w:r>
      <w:r w:rsidRPr="00641503" w:rsidR="00641503">
        <w:rPr>
          <w:rFonts w:asciiTheme="majorHAnsi" w:hAnsiTheme="majorHAnsi" w:cstheme="majorHAnsi"/>
          <w:bCs/>
          <w:lang w:eastAsia="ru-RU"/>
        </w:rPr>
        <w:t xml:space="preserve"> countries’ (specifically, Kazakhstan)</w:t>
      </w:r>
      <w:r>
        <w:rPr>
          <w:rFonts w:asciiTheme="majorHAnsi" w:hAnsiTheme="majorHAnsi" w:cstheme="majorHAnsi"/>
          <w:bCs/>
          <w:lang w:eastAsia="ru-RU"/>
        </w:rPr>
        <w:t xml:space="preserve"> tax legislation</w:t>
      </w:r>
      <w:r w:rsidR="00641503">
        <w:rPr>
          <w:rFonts w:asciiTheme="majorHAnsi" w:hAnsiTheme="majorHAnsi" w:cstheme="majorHAnsi"/>
          <w:bCs/>
          <w:lang w:eastAsia="ru-RU"/>
        </w:rPr>
        <w:t xml:space="preserve"> </w:t>
      </w:r>
      <w:r>
        <w:rPr>
          <w:rFonts w:asciiTheme="majorHAnsi" w:hAnsiTheme="majorHAnsi" w:cstheme="majorHAnsi"/>
          <w:bCs/>
          <w:lang w:eastAsia="ru-RU"/>
        </w:rPr>
        <w:t xml:space="preserve">will not be changed in the future in a manner adverse to the stability and predictability of the Russian and CIS </w:t>
      </w:r>
      <w:r w:rsidRPr="00641503" w:rsidR="00641503">
        <w:rPr>
          <w:rFonts w:asciiTheme="majorHAnsi" w:hAnsiTheme="majorHAnsi" w:cstheme="majorHAnsi"/>
          <w:bCs/>
          <w:lang w:eastAsia="ru-RU"/>
        </w:rPr>
        <w:t>countries’</w:t>
      </w:r>
      <w:r w:rsidR="00641503">
        <w:rPr>
          <w:rFonts w:asciiTheme="majorHAnsi" w:hAnsiTheme="majorHAnsi" w:cstheme="majorHAnsi"/>
          <w:bCs/>
          <w:lang w:eastAsia="ru-RU"/>
        </w:rPr>
        <w:t xml:space="preserve"> </w:t>
      </w:r>
      <w:r>
        <w:rPr>
          <w:rFonts w:asciiTheme="majorHAnsi" w:hAnsiTheme="majorHAnsi" w:cstheme="majorHAnsi"/>
          <w:bCs/>
          <w:lang w:eastAsia="ru-RU"/>
        </w:rPr>
        <w:t>tax system. These factors, together with the potential for state budget deficits, raise the risk of the imposition of additional taxes on the Group. The introduction of new taxes or amendments to current taxation rules may have a substantial impact on the overall amount of the Group’s tax liabilities. Recent events within the Russian Federation and Kazakhstan suggest that the tax authorities are taking a more assertive position in their interpretation of the legislation and assessments and as a result, it is possible that transactions and activities that have not been challenged in the past may be challenged. As such, significant additional taxes, penalties and interest may be assessed. Fiscal periods remain open to review by the authorities in respect of taxes for three calendar years preceding the year of review. Under certain circumstances reviews may cover longer periods. There is no assurance that it would not be required to make substantially larger tax payments in the future, which may adversely affect the Group’s business, financial condition and results of operations.</w:t>
      </w:r>
    </w:p>
    <w:p w:rsidR="009534E2" w:rsidRDefault="003369EB">
      <w:pPr>
        <w:pStyle w:val="BodyText"/>
        <w:keepNext/>
        <w:keepLines/>
        <w:rPr>
          <w:rFonts w:eastAsia="Times New Roman" w:asciiTheme="majorHAnsi" w:hAnsiTheme="majorHAnsi" w:cstheme="majorHAnsi"/>
          <w:b/>
          <w:bCs/>
          <w:lang w:eastAsia="ru-RU"/>
        </w:rPr>
      </w:pPr>
      <w:r>
        <w:rPr>
          <w:rFonts w:eastAsia="Times New Roman" w:asciiTheme="majorHAnsi" w:hAnsiTheme="majorHAnsi" w:cstheme="majorHAnsi"/>
          <w:b/>
          <w:bCs/>
          <w:lang w:eastAsia="ru-RU"/>
        </w:rPr>
        <w:t>Risk assessment</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 Group’s management believes that its interpretation of the relevant legislation is appropriate and is in accordance with the current industry practice and that the Group’s currency, customs, tax and other regulatory positions will be sustained. However, the interpretations of the relevant authorities could differ and the maximum effect of additional losses, if the authorities were successful in enforcing their different interpretations, could be significant, and amount up to RUB </w:t>
      </w:r>
      <w:bookmarkStart w:name="_55f02004_1756_4c02_998d_57221b22c968" w:id="2783"/>
      <w:r>
        <w:rPr>
          <w:rFonts w:eastAsia="Times New Roman" w:asciiTheme="majorHAnsi" w:hAnsiTheme="majorHAnsi" w:cstheme="majorHAnsi"/>
          <w:lang w:eastAsia="ru-RU"/>
        </w:rPr>
        <w:t>2.2</w:t>
      </w:r>
      <w:bookmarkEnd w:id="2783"/>
      <w:r>
        <w:rPr>
          <w:rFonts w:eastAsia="Times New Roman" w:asciiTheme="majorHAnsi" w:hAnsiTheme="majorHAnsi" w:cstheme="majorHAnsi"/>
          <w:lang w:eastAsia="ru-RU"/>
        </w:rPr>
        <w:t xml:space="preserve"> billion</w:t>
      </w:r>
      <w:r w:rsidR="00641503">
        <w:rPr>
          <w:rFonts w:eastAsia="Times New Roman" w:asciiTheme="majorHAnsi" w:hAnsiTheme="majorHAnsi" w:cstheme="majorHAnsi"/>
          <w:lang w:eastAsia="ru-RU"/>
        </w:rPr>
        <w:t>,</w:t>
      </w:r>
      <w:r>
        <w:rPr>
          <w:rFonts w:eastAsia="Times New Roman" w:asciiTheme="majorHAnsi" w:hAnsiTheme="majorHAnsi" w:cstheme="majorHAnsi"/>
          <w:lang w:eastAsia="ru-RU"/>
        </w:rPr>
        <w:t xml:space="preserve"> as assessed by the Group as of December 31, 2022 (RUB </w:t>
      </w:r>
      <w:bookmarkStart w:name="_8b34889d_bc00_4f62_b1fa_5f4f012920cf" w:id="2784"/>
      <w:r>
        <w:rPr>
          <w:rFonts w:eastAsia="Times New Roman" w:asciiTheme="majorHAnsi" w:hAnsiTheme="majorHAnsi" w:cstheme="majorHAnsi"/>
          <w:lang w:eastAsia="ru-RU"/>
        </w:rPr>
        <w:t>1.9</w:t>
      </w:r>
      <w:bookmarkEnd w:id="2784"/>
      <w:r>
        <w:rPr>
          <w:rFonts w:eastAsia="Times New Roman" w:asciiTheme="majorHAnsi" w:hAnsiTheme="majorHAnsi" w:cstheme="majorHAnsi"/>
          <w:lang w:eastAsia="ru-RU"/>
        </w:rPr>
        <w:t xml:space="preserve"> billion as of December 31, 2021).</w:t>
      </w:r>
    </w:p>
    <w:p w:rsidR="009534E2" w:rsidRDefault="003369EB">
      <w:pPr>
        <w:pStyle w:val="Heading4"/>
      </w:pPr>
      <w:r>
        <w:t>Insurance policies</w:t>
      </w:r>
    </w:p>
    <w:p w:rsidR="009534E2" w:rsidRDefault="003369EB">
      <w:pPr>
        <w:pStyle w:val="BodyText"/>
        <w:rPr>
          <w:rFonts w:asciiTheme="majorHAnsi" w:hAnsiTheme="majorHAnsi" w:cstheme="majorHAnsi"/>
        </w:rPr>
      </w:pPr>
      <w:r>
        <w:rPr>
          <w:rFonts w:asciiTheme="majorHAnsi" w:hAnsiTheme="majorHAnsi" w:cstheme="majorHAnsi"/>
        </w:rPr>
        <w:t xml:space="preserve">The Group holds </w:t>
      </w:r>
      <w:bookmarkStart w:name="_19ed33c2_104a_401a_b339_16bd242f9bc3" w:id="2785"/>
      <w:r>
        <w:rPr>
          <w:rFonts w:asciiTheme="majorHAnsi" w:hAnsiTheme="majorHAnsi" w:cstheme="majorHAnsi"/>
        </w:rPr>
        <w:t>no</w:t>
      </w:r>
      <w:bookmarkEnd w:id="2785"/>
      <w:r>
        <w:rPr>
          <w:rFonts w:asciiTheme="majorHAnsi" w:hAnsiTheme="majorHAnsi" w:cstheme="majorHAnsi"/>
        </w:rPr>
        <w:t xml:space="preserve"> insurance policies in relation to its assets, operations, or in respect of public liability or other insurable risks. There are no significant physical assets to insure. Management has considered the possibility of insurance of business interruption in Russia</w:t>
      </w:r>
      <w:r w:rsidRPr="00641503" w:rsidR="00641503">
        <w:rPr>
          <w:rFonts w:asciiTheme="majorHAnsi" w:hAnsiTheme="majorHAnsi" w:cstheme="majorHAnsi"/>
        </w:rPr>
        <w:t xml:space="preserve"> and concluded that its</w:t>
      </w:r>
      <w:r>
        <w:rPr>
          <w:rFonts w:asciiTheme="majorHAnsi" w:hAnsiTheme="majorHAnsi" w:cstheme="majorHAnsi"/>
        </w:rPr>
        <w:t xml:space="preserve"> cost outweighs </w:t>
      </w:r>
      <w:r w:rsidR="00641503">
        <w:rPr>
          <w:rFonts w:asciiTheme="majorHAnsi" w:hAnsiTheme="majorHAnsi" w:cstheme="majorHAnsi"/>
        </w:rPr>
        <w:t>its</w:t>
      </w:r>
      <w:r>
        <w:rPr>
          <w:rFonts w:asciiTheme="majorHAnsi" w:hAnsiTheme="majorHAnsi" w:cstheme="majorHAnsi"/>
        </w:rPr>
        <w:t xml:space="preserve"> benefits.</w:t>
      </w:r>
    </w:p>
    <w:p w:rsidR="009534E2" w:rsidRDefault="003369EB">
      <w:pPr>
        <w:rPr>
          <w:rFonts w:asciiTheme="majorHAnsi" w:hAnsiTheme="majorHAnsi" w:cstheme="majorHAnsi"/>
        </w:rPr>
      </w:pPr>
      <w:r>
        <w:rPr>
          <w:rFonts w:asciiTheme="majorHAnsi" w:hAnsiTheme="majorHAnsi" w:cstheme="majorHAnsi"/>
        </w:rPr>
        <w:br w:type="page"/>
      </w:r>
    </w:p>
    <w:p w:rsidR="009534E2" w:rsidRDefault="003369EB">
      <w:pPr>
        <w:pStyle w:val="Heading4"/>
        <w:ind w:left="360" w:hanging="360"/>
      </w:pPr>
      <w:r>
        <w:rPr>
          <w:rFonts w:eastAsia="Times New Roman"/>
          <w:lang w:eastAsia="ru-RU"/>
        </w:rPr>
        <w:t>28.</w:t>
      </w:r>
      <w:r>
        <w:rPr>
          <w:rFonts w:eastAsia="Times New Roman"/>
          <w:lang w:eastAsia="ru-RU"/>
        </w:rPr>
        <w:tab/>
        <w:t>Commitments, contingencies and operating risks (continued)</w:t>
      </w:r>
    </w:p>
    <w:p w:rsidR="009534E2" w:rsidRDefault="003369EB">
      <w:pPr>
        <w:pStyle w:val="Heading4"/>
      </w:pPr>
      <w:r>
        <w:t>Legal proceedings</w:t>
      </w:r>
    </w:p>
    <w:p w:rsidR="009534E2" w:rsidRDefault="003369EB">
      <w:pPr>
        <w:pStyle w:val="BodyText"/>
        <w:keepLines/>
        <w:rPr>
          <w:rFonts w:eastAsia="Times New Roman" w:asciiTheme="majorHAnsi" w:hAnsiTheme="majorHAnsi" w:cstheme="majorHAnsi"/>
        </w:rPr>
      </w:pPr>
      <w:r>
        <w:rPr>
          <w:rFonts w:eastAsia="Times New Roman" w:asciiTheme="majorHAnsi" w:hAnsiTheme="majorHAnsi" w:cstheme="majorHAnsi"/>
        </w:rPr>
        <w:t xml:space="preserve">In the ordinary course of business, the Group is subject to legal actions and complaints. Management </w:t>
      </w:r>
      <w:r w:rsidR="00641503">
        <w:rPr>
          <w:rFonts w:eastAsia="Times New Roman" w:asciiTheme="majorHAnsi" w:hAnsiTheme="majorHAnsi" w:cstheme="majorHAnsi"/>
        </w:rPr>
        <w:t xml:space="preserve">does not </w:t>
      </w:r>
      <w:r>
        <w:rPr>
          <w:rFonts w:eastAsia="Times New Roman" w:asciiTheme="majorHAnsi" w:hAnsiTheme="majorHAnsi" w:cstheme="majorHAnsi"/>
        </w:rPr>
        <w:t xml:space="preserve">believe that the ultimate liability, if any, arising from such actions or complaints will have a material adverse effect on the financial condition or the results of future operations of the Group. </w:t>
      </w:r>
    </w:p>
    <w:p w:rsidR="009534E2" w:rsidRDefault="003369EB">
      <w:pPr>
        <w:pStyle w:val="BodyText"/>
        <w:keepLines/>
        <w:rPr>
          <w:rFonts w:eastAsia="Times New Roman" w:asciiTheme="majorHAnsi" w:hAnsiTheme="majorHAnsi" w:cstheme="majorHAnsi"/>
        </w:rPr>
      </w:pPr>
      <w:r>
        <w:rPr>
          <w:rFonts w:eastAsia="Times New Roman" w:asciiTheme="majorHAnsi" w:hAnsiTheme="majorHAnsi" w:cstheme="majorHAnsi"/>
        </w:rPr>
        <w:t xml:space="preserve">Following the disclosure of the restrictions imposed by the CBR on </w:t>
      </w:r>
      <w:r w:rsidR="00641503">
        <w:rPr>
          <w:rFonts w:eastAsia="Times New Roman" w:asciiTheme="majorHAnsi" w:hAnsiTheme="majorHAnsi" w:cstheme="majorHAnsi"/>
        </w:rPr>
        <w:t>the Group</w:t>
      </w:r>
      <w:r>
        <w:rPr>
          <w:rFonts w:eastAsia="Times New Roman" w:asciiTheme="majorHAnsi" w:hAnsiTheme="majorHAnsi" w:cstheme="majorHAnsi"/>
        </w:rPr>
        <w:t xml:space="preserve"> in December 2020</w:t>
      </w:r>
      <w:r w:rsidR="00641503">
        <w:rPr>
          <w:rFonts w:eastAsia="Times New Roman" w:asciiTheme="majorHAnsi" w:hAnsiTheme="majorHAnsi" w:cstheme="majorHAnsi"/>
        </w:rPr>
        <w:t>,</w:t>
      </w:r>
      <w:r>
        <w:rPr>
          <w:rFonts w:eastAsia="Times New Roman" w:asciiTheme="majorHAnsi" w:hAnsiTheme="majorHAnsi" w:cstheme="majorHAnsi"/>
        </w:rPr>
        <w:t xml:space="preserve"> QIWI plc and certain of its current and former executive officers have been named as defendants in </w:t>
      </w:r>
      <w:r w:rsidR="00641503">
        <w:rPr>
          <w:rFonts w:eastAsia="Times New Roman" w:asciiTheme="majorHAnsi" w:hAnsiTheme="majorHAnsi" w:cstheme="majorHAnsi"/>
        </w:rPr>
        <w:t xml:space="preserve">a </w:t>
      </w:r>
      <w:r>
        <w:rPr>
          <w:rFonts w:eastAsia="Times New Roman" w:asciiTheme="majorHAnsi" w:hAnsiTheme="majorHAnsi" w:cstheme="majorHAnsi"/>
        </w:rPr>
        <w:t>putative class action filed in the United States. These lawsuits allege that the defendants made certain false or misleading statements that were supposedly revealed when the CBR audit results and restrictions were disclosed in December 2020, which the plaintiffs perceive as a violation of Sections 10(b) and 20(a) of the 1934 Securities Exchange Act, and seek damages and other relief based upon such allegations. Management believes that these lawsuits are without merit and intend</w:t>
      </w:r>
      <w:r w:rsidR="00641503">
        <w:rPr>
          <w:rFonts w:eastAsia="Times New Roman" w:asciiTheme="majorHAnsi" w:hAnsiTheme="majorHAnsi" w:cstheme="majorHAnsi"/>
        </w:rPr>
        <w:t>s</w:t>
      </w:r>
      <w:r>
        <w:rPr>
          <w:rFonts w:eastAsia="Times New Roman" w:asciiTheme="majorHAnsi" w:hAnsiTheme="majorHAnsi" w:cstheme="majorHAnsi"/>
        </w:rPr>
        <w:t xml:space="preserve"> to defend against them vigorously, and expects to incur certain costs associated with defending against these actions. At this early stage of the litigations, the ultimate outcomes are uncertain and management cannot reasonably predict the timing or outcomes, or estimate the amount of loss, if any, or their effect, if any, on the Group’s </w:t>
      </w:r>
      <w:r w:rsidR="00641503">
        <w:rPr>
          <w:rFonts w:eastAsia="Times New Roman" w:asciiTheme="majorHAnsi" w:hAnsiTheme="majorHAnsi" w:cstheme="majorHAnsi"/>
        </w:rPr>
        <w:t xml:space="preserve">consolidated </w:t>
      </w:r>
      <w:r>
        <w:rPr>
          <w:rFonts w:eastAsia="Times New Roman" w:asciiTheme="majorHAnsi" w:hAnsiTheme="majorHAnsi" w:cstheme="majorHAnsi"/>
        </w:rPr>
        <w:t xml:space="preserve">financial statements. Any negative outcome could result in payments of substantial monetary damages and accordingly </w:t>
      </w:r>
      <w:r w:rsidR="00641503">
        <w:rPr>
          <w:rFonts w:eastAsia="Times New Roman" w:asciiTheme="majorHAnsi" w:hAnsiTheme="majorHAnsi" w:cstheme="majorHAnsi"/>
        </w:rPr>
        <w:t xml:space="preserve">the </w:t>
      </w:r>
      <w:r>
        <w:rPr>
          <w:rFonts w:eastAsia="Times New Roman" w:asciiTheme="majorHAnsi" w:hAnsiTheme="majorHAnsi" w:cstheme="majorHAnsi"/>
        </w:rPr>
        <w:t xml:space="preserve">Group’s business could be seriously harmed. </w:t>
      </w:r>
    </w:p>
    <w:p w:rsidR="009534E2" w:rsidRDefault="003369EB">
      <w:pPr>
        <w:pStyle w:val="Heading4"/>
      </w:pPr>
      <w:r>
        <w:t>Guarantees issued</w:t>
      </w:r>
    </w:p>
    <w:p w:rsidR="009534E2" w:rsidRDefault="003369EB">
      <w:pPr>
        <w:pStyle w:val="BodyText"/>
        <w:keepNext/>
        <w:rPr>
          <w:rFonts w:eastAsia="Times New Roman" w:asciiTheme="majorHAnsi" w:hAnsiTheme="majorHAnsi" w:cstheme="majorHAnsi"/>
        </w:rPr>
      </w:pPr>
      <w:r>
        <w:rPr>
          <w:rFonts w:eastAsia="Times New Roman" w:asciiTheme="majorHAnsi" w:hAnsiTheme="majorHAnsi" w:cstheme="majorHAnsi"/>
        </w:rPr>
        <w:t>The Group issues financial and performance guarantees to non-related parties for the term</w:t>
      </w:r>
      <w:r w:rsidR="00641503">
        <w:rPr>
          <w:rFonts w:eastAsia="Times New Roman" w:asciiTheme="majorHAnsi" w:hAnsiTheme="majorHAnsi" w:cstheme="majorHAnsi"/>
        </w:rPr>
        <w:t xml:space="preserve"> of</w:t>
      </w:r>
      <w:r>
        <w:rPr>
          <w:rFonts w:eastAsia="Times New Roman" w:asciiTheme="majorHAnsi" w:hAnsiTheme="majorHAnsi" w:cstheme="majorHAnsi"/>
        </w:rPr>
        <w:t xml:space="preserve"> up to </w:t>
      </w:r>
      <w:bookmarkStart w:name="_cc169bba_5f6a_4bd9_becc_3a3a8d797591" w:id="2786"/>
      <w:r>
        <w:rPr>
          <w:rFonts w:eastAsia="Times New Roman" w:asciiTheme="majorHAnsi" w:hAnsiTheme="majorHAnsi" w:cstheme="majorHAnsi"/>
        </w:rPr>
        <w:t>five years</w:t>
      </w:r>
      <w:bookmarkEnd w:id="2786"/>
      <w:r>
        <w:rPr>
          <w:rFonts w:eastAsia="Times New Roman" w:asciiTheme="majorHAnsi" w:hAnsiTheme="majorHAnsi" w:cstheme="majorHAnsi"/>
        </w:rPr>
        <w:t xml:space="preserve"> at market rate</w:t>
      </w:r>
      <w:r w:rsidR="00641503">
        <w:rPr>
          <w:rFonts w:eastAsia="Times New Roman" w:asciiTheme="majorHAnsi" w:hAnsiTheme="majorHAnsi" w:cstheme="majorHAnsi"/>
        </w:rPr>
        <w:t>s</w:t>
      </w:r>
      <w:r>
        <w:rPr>
          <w:rFonts w:eastAsia="Times New Roman" w:asciiTheme="majorHAnsi" w:hAnsiTheme="majorHAnsi" w:cstheme="majorHAnsi"/>
        </w:rPr>
        <w:t xml:space="preserve">. </w:t>
      </w:r>
    </w:p>
    <w:tbl>
      <w:tblPr>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356"/>
        <w:gridCol w:w="218"/>
        <w:gridCol w:w="889"/>
        <w:gridCol w:w="218"/>
        <w:gridCol w:w="870"/>
        <w:gridCol w:w="218"/>
        <w:gridCol w:w="871"/>
      </w:tblGrid>
      <w:tr w:rsidR="009534E2">
        <w:trPr>
          <w:cantSplit/>
          <w:trHeight w:val="20" w:hRule="exact"/>
          <w:jc w:val="center"/>
        </w:trPr>
        <w:tc>
          <w:tcPr>
            <w:tcW w:w="3101" w:type="pct"/>
            <w:tcBorders>
              <w:top w:val="nil"/>
              <w:left w:val="nil"/>
              <w:bottom w:val="nil"/>
              <w:right w:val="nil"/>
            </w:tcBorders>
            <w:vAlign w:val="bottom"/>
          </w:tcPr>
          <w:p w:rsidR="009534E2" w:rsidRDefault="009534E2">
            <w:pPr>
              <w:keepNext/>
              <w:spacing w:after="1"/>
              <w:rPr>
                <w:sz w:val="2"/>
              </w:rPr>
            </w:pPr>
            <w:bookmarkStart w:name="_4ae37823_7960_4d9b_818e_c4cb245fae85" w:colFirst="0" w:colLast="0" w:id="2787"/>
            <w:bookmarkStart w:name="_0ac13ac6_b778_414b_a5a7_22ed73fbda83" w:colFirst="1" w:colLast="1" w:id="2788"/>
            <w:bookmarkStart w:name="_e61d50e7_0291_4df4_a0c8_8ab8dca6d2b3" w:colFirst="2" w:colLast="2" w:id="2789"/>
            <w:bookmarkStart w:name="_baeffbc0_3dba_4f60_98de_17a6c54485e3" w:colFirst="3" w:colLast="3" w:id="2790"/>
            <w:bookmarkStart w:name="_9fd3c54b_20c0_4570_85d7_cacbf520aa04" w:colFirst="4" w:colLast="4" w:id="2791"/>
            <w:bookmarkStart w:name="_05077110_c72d_4b71_a500_58f312b70421" w:colFirst="5" w:colLast="5" w:id="2792"/>
            <w:bookmarkStart w:name="_bf48fe03_62de_402b_83e5_2da7ce522bb2" w:colFirst="6" w:colLast="6" w:id="2793"/>
            <w:bookmarkStart w:name="_2fd831df_5f88_4233_a114_1b4b4c3698a4" w:id="2794"/>
          </w:p>
        </w:tc>
        <w:tc>
          <w:tcPr>
            <w:tcW w:w="128" w:type="pct"/>
            <w:tcBorders>
              <w:top w:val="nil"/>
              <w:left w:val="nil"/>
              <w:bottom w:val="nil"/>
              <w:right w:val="nil"/>
            </w:tcBorders>
            <w:noWrap/>
            <w:vAlign w:val="bottom"/>
          </w:tcPr>
          <w:p w:rsidR="009534E2" w:rsidRDefault="009534E2">
            <w:pPr>
              <w:keepNext/>
              <w:spacing w:after="1"/>
              <w:rPr>
                <w:sz w:val="2"/>
              </w:rPr>
            </w:pPr>
          </w:p>
        </w:tc>
        <w:tc>
          <w:tcPr>
            <w:tcW w:w="505" w:type="pct"/>
            <w:tcBorders>
              <w:top w:val="nil"/>
              <w:left w:val="nil"/>
              <w:bottom w:val="nil"/>
              <w:right w:val="nil"/>
            </w:tcBorders>
            <w:noWrap/>
            <w:vAlign w:val="bottom"/>
          </w:tcPr>
          <w:p w:rsidR="009534E2" w:rsidRDefault="009534E2">
            <w:pPr>
              <w:keepNext/>
              <w:spacing w:after="1"/>
              <w:rPr>
                <w:sz w:val="2"/>
              </w:rPr>
            </w:pPr>
          </w:p>
        </w:tc>
        <w:tc>
          <w:tcPr>
            <w:tcW w:w="128" w:type="pct"/>
            <w:tcBorders>
              <w:top w:val="nil"/>
              <w:left w:val="nil"/>
              <w:bottom w:val="nil"/>
              <w:right w:val="nil"/>
            </w:tcBorders>
            <w:noWrap/>
            <w:vAlign w:val="bottom"/>
          </w:tcPr>
          <w:p w:rsidR="009534E2" w:rsidRDefault="009534E2">
            <w:pPr>
              <w:keepNext/>
              <w:spacing w:after="1"/>
              <w:rPr>
                <w:sz w:val="2"/>
              </w:rPr>
            </w:pPr>
          </w:p>
        </w:tc>
        <w:tc>
          <w:tcPr>
            <w:tcW w:w="505" w:type="pct"/>
            <w:tcBorders>
              <w:top w:val="nil"/>
              <w:left w:val="nil"/>
              <w:bottom w:val="nil"/>
              <w:right w:val="nil"/>
            </w:tcBorders>
            <w:noWrap/>
            <w:vAlign w:val="bottom"/>
          </w:tcPr>
          <w:p w:rsidR="009534E2" w:rsidRDefault="009534E2">
            <w:pPr>
              <w:keepNext/>
              <w:spacing w:after="1"/>
              <w:rPr>
                <w:sz w:val="2"/>
              </w:rPr>
            </w:pPr>
          </w:p>
        </w:tc>
        <w:tc>
          <w:tcPr>
            <w:tcW w:w="128" w:type="pct"/>
            <w:tcBorders>
              <w:top w:val="nil"/>
              <w:left w:val="nil"/>
              <w:bottom w:val="nil"/>
              <w:right w:val="nil"/>
            </w:tcBorders>
            <w:noWrap/>
            <w:vAlign w:val="bottom"/>
          </w:tcPr>
          <w:p w:rsidR="009534E2" w:rsidRDefault="009534E2">
            <w:pPr>
              <w:keepNext/>
              <w:spacing w:after="1"/>
              <w:rPr>
                <w:sz w:val="2"/>
              </w:rPr>
            </w:pPr>
          </w:p>
        </w:tc>
        <w:tc>
          <w:tcPr>
            <w:tcW w:w="505" w:type="pct"/>
            <w:tcBorders>
              <w:top w:val="nil"/>
              <w:left w:val="nil"/>
              <w:bottom w:val="nil"/>
              <w:right w:val="nil"/>
            </w:tcBorders>
            <w:noWrap/>
            <w:vAlign w:val="bottom"/>
          </w:tcPr>
          <w:p w:rsidR="009534E2" w:rsidRDefault="009534E2">
            <w:pPr>
              <w:keepNext/>
              <w:spacing w:after="1"/>
              <w:rPr>
                <w:sz w:val="2"/>
              </w:rPr>
            </w:pPr>
          </w:p>
        </w:tc>
      </w:tr>
      <w:tr w:rsidR="009534E2">
        <w:trPr>
          <w:cantSplit/>
          <w:jc w:val="center"/>
        </w:trPr>
        <w:tc>
          <w:tcPr>
            <w:tcW w:w="3101"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c81f2773_df1e_4029_91cf_6e1830f83fe4" w:id="2795"/>
            <w:bookmarkStart w:name="_f711845c_9fea_4f23_81da_b284c0286dbb" w:colFirst="0" w:colLast="6" w:id="2796"/>
            <w:bookmarkStart w:name="_6af1d026_8d51_4819_80c8_342d22c6bb24" w:colFirst="0" w:colLast="6" w:id="2797"/>
            <w:bookmarkEnd w:id="2787"/>
            <w:bookmarkEnd w:id="2788"/>
            <w:bookmarkEnd w:id="2789"/>
            <w:bookmarkEnd w:id="2790"/>
            <w:bookmarkEnd w:id="2791"/>
            <w:bookmarkEnd w:id="2792"/>
            <w:bookmarkEnd w:id="2793"/>
          </w:p>
        </w:tc>
        <w:tc>
          <w:tcPr>
            <w:tcW w:w="12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505"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color w:val="000000"/>
                <w:sz w:val="16"/>
              </w:rPr>
            </w:pPr>
          </w:p>
        </w:tc>
        <w:tc>
          <w:tcPr>
            <w:tcW w:w="128"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Calibri" w:hAnsi="Calibri" w:eastAsia="Calibri" w:cs="Calibri"/>
                <w:b/>
                <w:color w:val="000000"/>
                <w:sz w:val="16"/>
              </w:rPr>
            </w:pPr>
            <w:r>
              <w:rPr>
                <w:rFonts w:ascii="Calibri" w:hAnsi="Calibri" w:eastAsia="Calibri" w:cs="Calibri"/>
                <w:b/>
                <w:color w:val="000000"/>
                <w:sz w:val="16"/>
              </w:rPr>
              <w:t>    </w:t>
            </w:r>
          </w:p>
        </w:tc>
        <w:tc>
          <w:tcPr>
            <w:tcW w:w="50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Financial</w:t>
            </w:r>
          </w:p>
        </w:tc>
        <w:tc>
          <w:tcPr>
            <w:tcW w:w="12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505"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color w:val="000000"/>
                <w:sz w:val="16"/>
              </w:rPr>
            </w:pPr>
          </w:p>
        </w:tc>
      </w:tr>
      <w:tr w:rsidR="009534E2">
        <w:trPr>
          <w:cantSplit/>
          <w:jc w:val="center"/>
        </w:trPr>
        <w:tc>
          <w:tcPr>
            <w:tcW w:w="3101"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b12cc81a_8a8c_41b9_af08_6eef2f33b91e" w:id="2798"/>
            <w:bookmarkEnd w:id="2795"/>
          </w:p>
        </w:tc>
        <w:tc>
          <w:tcPr>
            <w:tcW w:w="128"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Calibri" w:hAnsi="Calibri" w:eastAsia="Calibri" w:cs="Calibri"/>
                <w:b/>
                <w:color w:val="000000"/>
                <w:sz w:val="16"/>
              </w:rPr>
            </w:pPr>
            <w:r>
              <w:rPr>
                <w:rFonts w:ascii="Calibri" w:hAnsi="Calibri" w:eastAsia="Calibri" w:cs="Calibri"/>
                <w:b/>
                <w:color w:val="000000"/>
                <w:sz w:val="16"/>
              </w:rPr>
              <w:t>    </w:t>
            </w:r>
          </w:p>
        </w:tc>
        <w:tc>
          <w:tcPr>
            <w:tcW w:w="50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Performance</w:t>
            </w:r>
          </w:p>
        </w:tc>
        <w:tc>
          <w:tcPr>
            <w:tcW w:w="12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505"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guarantees</w:t>
            </w:r>
          </w:p>
        </w:tc>
        <w:tc>
          <w:tcPr>
            <w:tcW w:w="12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505"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r>
      <w:tr w:rsidR="009534E2">
        <w:trPr>
          <w:cantSplit/>
          <w:jc w:val="center"/>
        </w:trPr>
        <w:tc>
          <w:tcPr>
            <w:tcW w:w="3101" w:type="pct"/>
            <w:tcBorders>
              <w:top w:val="nil"/>
              <w:left w:val="nil"/>
              <w:bottom w:val="nil"/>
              <w:right w:val="nil"/>
              <w:tl2br w:val="nil"/>
              <w:tr2bl w:val="nil"/>
            </w:tcBorders>
            <w:shd w:val="clear" w:color="auto" w:fill="auto"/>
            <w:vAlign w:val="bottom"/>
          </w:tcPr>
          <w:p w:rsidR="009534E2" w:rsidRDefault="009534E2">
            <w:pPr>
              <w:keepNext/>
              <w:spacing w:after="1"/>
              <w:rPr>
                <w:b/>
                <w:color w:val="000000"/>
                <w:sz w:val="16"/>
              </w:rPr>
            </w:pPr>
            <w:bookmarkStart w:name="_8c38dc30_da7e_4fbc_825c_7958fd401c60" w:id="2799"/>
            <w:bookmarkEnd w:id="2798"/>
          </w:p>
        </w:tc>
        <w:tc>
          <w:tcPr>
            <w:tcW w:w="12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50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guarantees</w:t>
            </w:r>
          </w:p>
        </w:tc>
        <w:tc>
          <w:tcPr>
            <w:tcW w:w="128"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b/>
                <w:color w:val="000000"/>
                <w:sz w:val="16"/>
              </w:rPr>
            </w:pPr>
          </w:p>
        </w:tc>
        <w:tc>
          <w:tcPr>
            <w:tcW w:w="50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(Stage 1)</w:t>
            </w:r>
          </w:p>
        </w:tc>
        <w:tc>
          <w:tcPr>
            <w:tcW w:w="128"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Calibri" w:hAnsi="Calibri" w:eastAsia="Calibri" w:cs="Calibri"/>
                <w:b/>
                <w:color w:val="000000"/>
                <w:sz w:val="16"/>
              </w:rPr>
            </w:pPr>
            <w:r>
              <w:rPr>
                <w:rFonts w:ascii="Calibri" w:hAnsi="Calibri" w:eastAsia="Calibri" w:cs="Calibri"/>
                <w:b/>
                <w:color w:val="000000"/>
                <w:sz w:val="16"/>
              </w:rPr>
              <w:t>    </w:t>
            </w:r>
          </w:p>
        </w:tc>
        <w:tc>
          <w:tcPr>
            <w:tcW w:w="50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b/>
                <w:color w:val="000000"/>
                <w:sz w:val="16"/>
              </w:rPr>
            </w:pPr>
            <w:r>
              <w:rPr>
                <w:rFonts w:ascii="Times New Roman" w:hAnsi="Times New Roman" w:eastAsia="Times New Roman" w:cs="Times New Roman"/>
                <w:b/>
                <w:color w:val="000000"/>
                <w:sz w:val="16"/>
              </w:rPr>
              <w:t>Total</w:t>
            </w:r>
          </w:p>
        </w:tc>
      </w:tr>
      <w:tr w:rsidR="009534E2">
        <w:trPr>
          <w:cantSplit/>
          <w:jc w:val="center"/>
        </w:trPr>
        <w:tc>
          <w:tcPr>
            <w:tcW w:w="3101" w:type="pct"/>
            <w:tcBorders>
              <w:top w:val="nil"/>
              <w:left w:val="nil"/>
              <w:bottom w:val="nil"/>
              <w:right w:val="nil"/>
              <w:tl2br w:val="nil"/>
              <w:tr2bl w:val="nil"/>
            </w:tcBorders>
            <w:shd w:val="clear" w:color="auto" w:fill="CCEEFF"/>
            <w:vAlign w:val="bottom"/>
          </w:tcPr>
          <w:p w:rsidR="009534E2" w:rsidRDefault="003369EB">
            <w:pPr>
              <w:keepNext/>
              <w:spacing w:after="1"/>
              <w:ind w:left="144" w:hanging="144"/>
              <w:rPr>
                <w:color w:val="000000"/>
              </w:rPr>
            </w:pPr>
            <w:bookmarkStart w:name="_80426716_2b9b_422d_98d5_715a4a12c64a" w:id="2800"/>
            <w:bookmarkEnd w:id="2799"/>
            <w:r>
              <w:rPr>
                <w:rFonts w:ascii="Times New Roman" w:hAnsi="Times New Roman" w:eastAsia="Times New Roman" w:cs="Times New Roman"/>
                <w:color w:val="000000"/>
              </w:rPr>
              <w:t>December 31, 2022</w:t>
            </w:r>
          </w:p>
        </w:tc>
        <w:tc>
          <w:tcPr>
            <w:tcW w:w="128"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rPr>
            </w:pPr>
          </w:p>
        </w:tc>
        <w:tc>
          <w:tcPr>
            <w:tcW w:w="505" w:type="pct"/>
            <w:tcBorders>
              <w:top w:val="single" w:color="000000" w:sz="4" w:space="0"/>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81,537</w:t>
            </w:r>
          </w:p>
        </w:tc>
        <w:tc>
          <w:tcPr>
            <w:tcW w:w="128"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rPr>
            </w:pPr>
          </w:p>
        </w:tc>
        <w:tc>
          <w:tcPr>
            <w:tcW w:w="505" w:type="pct"/>
            <w:tcBorders>
              <w:top w:val="single" w:color="000000" w:sz="4" w:space="0"/>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1,116</w:t>
            </w:r>
          </w:p>
        </w:tc>
        <w:tc>
          <w:tcPr>
            <w:tcW w:w="128"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color w:val="000000"/>
              </w:rPr>
            </w:pPr>
          </w:p>
        </w:tc>
        <w:tc>
          <w:tcPr>
            <w:tcW w:w="505" w:type="pct"/>
            <w:tcBorders>
              <w:top w:val="single" w:color="000000" w:sz="4" w:space="0"/>
              <w:left w:val="nil"/>
              <w:bottom w:val="nil"/>
              <w:right w:val="nil"/>
              <w:tl2br w:val="nil"/>
              <w:tr2bl w:val="nil"/>
            </w:tcBorders>
            <w:shd w:val="clear" w:color="auto" w:fill="CCEEFF"/>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82,653</w:t>
            </w:r>
          </w:p>
        </w:tc>
      </w:tr>
      <w:tr w:rsidR="009534E2">
        <w:trPr>
          <w:cantSplit/>
          <w:jc w:val="center"/>
        </w:trPr>
        <w:tc>
          <w:tcPr>
            <w:tcW w:w="3101" w:type="pct"/>
            <w:tcBorders>
              <w:top w:val="nil"/>
              <w:left w:val="nil"/>
              <w:bottom w:val="nil"/>
              <w:right w:val="nil"/>
              <w:tl2br w:val="nil"/>
              <w:tr2bl w:val="nil"/>
            </w:tcBorders>
            <w:shd w:val="clear" w:color="auto" w:fill="auto"/>
            <w:vAlign w:val="bottom"/>
          </w:tcPr>
          <w:p w:rsidR="009534E2" w:rsidRDefault="003369EB">
            <w:pPr>
              <w:keepNext/>
              <w:spacing w:after="1"/>
              <w:ind w:left="144" w:hanging="144"/>
              <w:rPr>
                <w:color w:val="000000"/>
              </w:rPr>
            </w:pPr>
            <w:bookmarkStart w:name="_33687b7e_9e58_48a2_a559_e2bb4b5b15bb" w:id="2801"/>
            <w:bookmarkEnd w:id="2800"/>
            <w:r>
              <w:rPr>
                <w:rFonts w:ascii="Times New Roman" w:hAnsi="Times New Roman" w:eastAsia="Times New Roman" w:cs="Times New Roman"/>
                <w:color w:val="000000"/>
              </w:rPr>
              <w:t>December 31, 2021</w:t>
            </w:r>
          </w:p>
        </w:tc>
        <w:tc>
          <w:tcPr>
            <w:tcW w:w="128" w:type="pct"/>
            <w:tcBorders>
              <w:top w:val="nil"/>
              <w:left w:val="nil"/>
              <w:bottom w:val="nil"/>
              <w:right w:val="nil"/>
              <w:tl2br w:val="nil"/>
              <w:tr2bl w:val="nil"/>
            </w:tcBorders>
            <w:shd w:val="clear" w:color="auto" w:fill="auto"/>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50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45,581</w:t>
            </w:r>
          </w:p>
        </w:tc>
        <w:tc>
          <w:tcPr>
            <w:tcW w:w="128" w:type="pct"/>
            <w:tcBorders>
              <w:top w:val="nil"/>
              <w:left w:val="nil"/>
              <w:bottom w:val="nil"/>
              <w:right w:val="nil"/>
              <w:tl2br w:val="nil"/>
              <w:tr2bl w:val="nil"/>
            </w:tcBorders>
            <w:shd w:val="clear" w:color="auto" w:fill="auto"/>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50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1,050</w:t>
            </w:r>
          </w:p>
        </w:tc>
        <w:tc>
          <w:tcPr>
            <w:tcW w:w="128" w:type="pct"/>
            <w:tcBorders>
              <w:top w:val="nil"/>
              <w:left w:val="nil"/>
              <w:bottom w:val="nil"/>
              <w:right w:val="nil"/>
              <w:tl2br w:val="nil"/>
              <w:tr2bl w:val="nil"/>
            </w:tcBorders>
            <w:shd w:val="clear" w:color="auto" w:fill="auto"/>
            <w:noWrap/>
            <w:vAlign w:val="bottom"/>
          </w:tcPr>
          <w:p w:rsidR="009534E2" w:rsidRDefault="003369EB">
            <w:pPr>
              <w:keepNext/>
              <w:spacing w:after="1"/>
              <w:rPr>
                <w:color w:val="000000"/>
              </w:rPr>
            </w:pPr>
            <w:r>
              <w:rPr>
                <w:rFonts w:ascii="Times New Roman" w:hAnsi="Times New Roman" w:eastAsia="Times New Roman" w:cs="Times New Roman"/>
                <w:color w:val="000000"/>
              </w:rPr>
              <w:t> </w:t>
            </w:r>
          </w:p>
        </w:tc>
        <w:tc>
          <w:tcPr>
            <w:tcW w:w="505"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ind w:right="60"/>
              <w:jc w:val="right"/>
              <w:rPr>
                <w:color w:val="000000"/>
              </w:rPr>
            </w:pPr>
            <w:r>
              <w:rPr>
                <w:rFonts w:ascii="Times New Roman" w:hAnsi="Times New Roman" w:eastAsia="Times New Roman" w:cs="Times New Roman"/>
                <w:color w:val="000000"/>
              </w:rPr>
              <w:t xml:space="preserve"> 46,631</w:t>
            </w:r>
          </w:p>
        </w:tc>
      </w:tr>
      <w:bookmarkEnd w:id="2794"/>
      <w:bookmarkEnd w:id="2796"/>
      <w:bookmarkEnd w:id="2797"/>
      <w:bookmarkEnd w:id="2801"/>
    </w:tbl>
    <w:p w:rsidR="009534E2" w:rsidRDefault="009534E2">
      <w:pPr>
        <w:pStyle w:val="BodyText"/>
        <w:spacing w:after="0"/>
        <w:rPr>
          <w:rFonts w:eastAsia="Times New Roman" w:asciiTheme="majorHAnsi" w:hAnsiTheme="majorHAnsi" w:cstheme="majorHAnsi"/>
          <w:b/>
          <w:bCs/>
        </w:rPr>
      </w:pPr>
    </w:p>
    <w:p w:rsidR="009534E2" w:rsidRDefault="00641503">
      <w:pPr>
        <w:pStyle w:val="BodyText"/>
        <w:spacing w:after="0"/>
        <w:rPr>
          <w:rFonts w:eastAsia="Times New Roman" w:asciiTheme="majorHAnsi" w:hAnsiTheme="majorHAnsi" w:cstheme="majorHAnsi"/>
        </w:rPr>
      </w:pPr>
      <w:r w:rsidRPr="00641503">
        <w:rPr>
          <w:rFonts w:eastAsia="Times New Roman" w:asciiTheme="majorHAnsi" w:hAnsiTheme="majorHAnsi" w:cstheme="majorHAnsi"/>
        </w:rPr>
        <w:t xml:space="preserve">Financial guarantees are issued to Russian companies that do not have an external credit rating. </w:t>
      </w:r>
      <w:r w:rsidR="007A1879">
        <w:rPr>
          <w:rFonts w:eastAsia="Times New Roman" w:asciiTheme="majorHAnsi" w:hAnsiTheme="majorHAnsi" w:cstheme="majorHAnsi"/>
        </w:rPr>
        <w:t>P</w:t>
      </w:r>
      <w:r w:rsidR="003369EB">
        <w:rPr>
          <w:rFonts w:eastAsia="Times New Roman" w:asciiTheme="majorHAnsi" w:hAnsiTheme="majorHAnsi" w:cstheme="majorHAnsi"/>
        </w:rPr>
        <w:t xml:space="preserve">erformance guarantees </w:t>
      </w:r>
      <w:r w:rsidRPr="007A1879" w:rsidR="007A1879">
        <w:rPr>
          <w:rFonts w:eastAsia="Times New Roman" w:asciiTheme="majorHAnsi" w:hAnsiTheme="majorHAnsi" w:cstheme="majorHAnsi"/>
        </w:rPr>
        <w:t>are issued to small and medium enterprises within the ROWI segment</w:t>
      </w:r>
      <w:r w:rsidR="007A1879">
        <w:rPr>
          <w:rFonts w:eastAsia="Times New Roman" w:asciiTheme="majorHAnsi" w:hAnsiTheme="majorHAnsi" w:cstheme="majorHAnsi"/>
        </w:rPr>
        <w:t xml:space="preserve">. </w:t>
      </w:r>
      <w:r w:rsidRPr="007A1879" w:rsidR="007A1879">
        <w:rPr>
          <w:rFonts w:eastAsia="Times New Roman" w:asciiTheme="majorHAnsi" w:hAnsiTheme="majorHAnsi" w:cstheme="majorHAnsi"/>
        </w:rPr>
        <w:t>Management does not believe that expected losses from the performance guarantees will exceed the amount of contract liability provided for in these consolidated financial statements</w:t>
      </w:r>
      <w:r w:rsidR="003369EB">
        <w:rPr>
          <w:rFonts w:eastAsia="Times New Roman" w:asciiTheme="majorHAnsi" w:hAnsiTheme="majorHAnsi" w:cstheme="majorHAnsi"/>
        </w:rPr>
        <w:t>.</w:t>
      </w:r>
      <w:r w:rsidR="003369EB">
        <w:rPr>
          <w:rFonts w:eastAsia="Times New Roman" w:asciiTheme="majorHAnsi" w:hAnsiTheme="majorHAnsi" w:cstheme="majorHAnsi"/>
        </w:rPr>
        <w:cr/>
      </w:r>
    </w:p>
    <w:p w:rsidR="009534E2" w:rsidRDefault="003369EB">
      <w:pPr>
        <w:pStyle w:val="BodyText"/>
        <w:rPr>
          <w:rFonts w:eastAsia="Times New Roman" w:asciiTheme="majorHAnsi" w:hAnsiTheme="majorHAnsi" w:cstheme="majorHAnsi"/>
          <w:b/>
          <w:bCs/>
        </w:rPr>
      </w:pPr>
      <w:r>
        <w:rPr>
          <w:rFonts w:eastAsia="Times New Roman" w:asciiTheme="majorHAnsi" w:hAnsiTheme="majorHAnsi" w:cstheme="majorHAnsi"/>
          <w:b/>
          <w:bCs/>
        </w:rPr>
        <w:t>Credit related commitments</w:t>
      </w:r>
    </w:p>
    <w:p w:rsidR="009534E2" w:rsidRDefault="003369EB">
      <w:pPr>
        <w:pStyle w:val="BodyText"/>
        <w:spacing w:after="0"/>
        <w:rPr>
          <w:rFonts w:eastAsia="Times New Roman" w:asciiTheme="majorHAnsi" w:hAnsiTheme="majorHAnsi" w:cstheme="majorHAnsi"/>
        </w:rPr>
      </w:pPr>
      <w:r>
        <w:rPr>
          <w:rFonts w:eastAsia="Times New Roman" w:asciiTheme="majorHAnsi" w:hAnsiTheme="majorHAnsi" w:cstheme="majorHAnsi"/>
        </w:rPr>
        <w:t>The primary purpose of these instruments is to ensure that funds are available to a customer as required. Commitments to extend credit represent unused portions of authorisations to extend credit in the form of loans. With respect to credit risk on commitments to extend credit, the Group is potentially exposed to loss in an amount equal to the total unused commitments, if the unused amounts were to be drawn down.</w:t>
      </w:r>
    </w:p>
    <w:p w:rsidR="009534E2" w:rsidRDefault="009534E2">
      <w:pPr>
        <w:keepNext/>
        <w:jc w:val="center"/>
        <w:rPr>
          <w:rFonts w:eastAsia="Times New Roman" w:asciiTheme="majorHAnsi" w:hAnsiTheme="majorHAnsi" w:cstheme="majorHAnsi"/>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57"/>
        <w:gridCol w:w="1605"/>
        <w:gridCol w:w="233"/>
        <w:gridCol w:w="1605"/>
      </w:tblGrid>
      <w:tr w:rsidR="009534E2">
        <w:trPr>
          <w:trHeight w:val="20" w:hRule="exact"/>
          <w:jc w:val="center"/>
        </w:trPr>
        <w:tc>
          <w:tcPr>
            <w:tcW w:w="3406" w:type="pct"/>
            <w:tcBorders>
              <w:top w:val="nil"/>
              <w:left w:val="nil"/>
              <w:bottom w:val="nil"/>
              <w:right w:val="nil"/>
            </w:tcBorders>
            <w:vAlign w:val="bottom"/>
          </w:tcPr>
          <w:p w:rsidR="009534E2" w:rsidRDefault="009534E2">
            <w:pPr>
              <w:keepNext/>
              <w:rPr>
                <w:sz w:val="2"/>
              </w:rPr>
            </w:pPr>
            <w:bookmarkStart w:name="_1416cbf3_2a48_4c4b_a783_adc195d1fab0" w:colFirst="0" w:colLast="0" w:id="2802"/>
            <w:bookmarkStart w:name="_67e65dd1_ef0e_4c57_a99c_7f3cc0cbd474" w:colFirst="1" w:colLast="1" w:id="2803"/>
            <w:bookmarkStart w:name="_1eef9a42_450b_4fb9_ac32_9b36bf93f8d5" w:colFirst="2" w:colLast="2" w:id="2804"/>
            <w:bookmarkStart w:name="_2373988d_1d5c_4d45_ad52_c12d04ab6da3" w:colFirst="3" w:colLast="3" w:id="2805"/>
            <w:bookmarkStart w:name="_35418308_f70e_4f62_a57f_a945a4cfbd2e" w:id="2806"/>
            <w:bookmarkStart w:name="_cdc29e62_eb18_450d_bdd0_ab722d25ca31" w:id="2807"/>
          </w:p>
        </w:tc>
        <w:tc>
          <w:tcPr>
            <w:tcW w:w="743" w:type="pct"/>
            <w:tcBorders>
              <w:top w:val="nil"/>
              <w:left w:val="nil"/>
              <w:bottom w:val="nil"/>
              <w:right w:val="nil"/>
            </w:tcBorders>
            <w:noWrap/>
            <w:vAlign w:val="bottom"/>
          </w:tcPr>
          <w:p w:rsidR="009534E2" w:rsidRDefault="009534E2">
            <w:pPr>
              <w:keepNext/>
              <w:rPr>
                <w:sz w:val="2"/>
              </w:rPr>
            </w:pPr>
          </w:p>
        </w:tc>
        <w:tc>
          <w:tcPr>
            <w:tcW w:w="108" w:type="pct"/>
            <w:tcBorders>
              <w:top w:val="nil"/>
              <w:left w:val="nil"/>
              <w:bottom w:val="nil"/>
              <w:right w:val="nil"/>
            </w:tcBorders>
            <w:noWrap/>
            <w:vAlign w:val="bottom"/>
          </w:tcPr>
          <w:p w:rsidR="009534E2" w:rsidRDefault="009534E2">
            <w:pPr>
              <w:keepNext/>
              <w:rPr>
                <w:sz w:val="2"/>
              </w:rPr>
            </w:pPr>
          </w:p>
        </w:tc>
        <w:tc>
          <w:tcPr>
            <w:tcW w:w="743" w:type="pct"/>
            <w:tcBorders>
              <w:top w:val="nil"/>
              <w:left w:val="nil"/>
              <w:bottom w:val="nil"/>
              <w:right w:val="nil"/>
            </w:tcBorders>
            <w:noWrap/>
            <w:vAlign w:val="bottom"/>
          </w:tcPr>
          <w:p w:rsidR="009534E2" w:rsidRDefault="009534E2">
            <w:pPr>
              <w:keepNext/>
              <w:rPr>
                <w:sz w:val="2"/>
              </w:rPr>
            </w:pPr>
          </w:p>
        </w:tc>
      </w:tr>
      <w:tr w:rsidR="009534E2">
        <w:trPr>
          <w:jc w:val="center"/>
        </w:trPr>
        <w:tc>
          <w:tcPr>
            <w:tcW w:w="3406" w:type="pct"/>
            <w:tcBorders>
              <w:top w:val="nil"/>
              <w:left w:val="nil"/>
              <w:bottom w:val="nil"/>
              <w:right w:val="nil"/>
              <w:tl2br w:val="nil"/>
              <w:tr2bl w:val="nil"/>
            </w:tcBorders>
            <w:shd w:val="clear" w:color="auto" w:fill="auto"/>
            <w:vAlign w:val="bottom"/>
          </w:tcPr>
          <w:p w:rsidR="009534E2" w:rsidRDefault="009534E2">
            <w:pPr>
              <w:rPr>
                <w:b/>
                <w:color w:val="000000"/>
                <w:sz w:val="16"/>
              </w:rPr>
            </w:pPr>
            <w:bookmarkStart w:name="_1988f246_b9f7_4aa9_a843_c97568306b10" w:id="2808"/>
            <w:bookmarkEnd w:id="2802"/>
            <w:bookmarkEnd w:id="2803"/>
            <w:bookmarkEnd w:id="2804"/>
            <w:bookmarkEnd w:id="2805"/>
          </w:p>
        </w:tc>
        <w:tc>
          <w:tcPr>
            <w:tcW w:w="743" w:type="pct"/>
            <w:tcBorders>
              <w:top w:val="nil"/>
              <w:left w:val="nil"/>
              <w:bottom w:val="nil"/>
              <w:right w:val="nil"/>
              <w:tl2br w:val="nil"/>
              <w:tr2bl w:val="nil"/>
            </w:tcBorders>
            <w:shd w:val="clear" w:color="auto" w:fill="auto"/>
            <w:noWrap/>
            <w:vAlign w:val="bottom"/>
          </w:tcPr>
          <w:p w:rsidR="009534E2" w:rsidRDefault="003369EB">
            <w:pPr>
              <w:jc w:val="center"/>
              <w:rPr>
                <w:b/>
                <w:color w:val="000000"/>
                <w:sz w:val="16"/>
              </w:rPr>
            </w:pPr>
            <w:r>
              <w:rPr>
                <w:rFonts w:ascii="Times New Roman" w:hAnsi="Times New Roman" w:eastAsia="Times New Roman" w:cs="Times New Roman"/>
                <w:b/>
                <w:color w:val="000000"/>
                <w:sz w:val="16"/>
              </w:rPr>
              <w:t>December 31, 2022</w:t>
            </w:r>
          </w:p>
        </w:tc>
        <w:tc>
          <w:tcPr>
            <w:tcW w:w="108" w:type="pct"/>
            <w:tcBorders>
              <w:top w:val="nil"/>
              <w:left w:val="nil"/>
              <w:bottom w:val="nil"/>
              <w:right w:val="nil"/>
              <w:tl2br w:val="nil"/>
              <w:tr2bl w:val="nil"/>
            </w:tcBorders>
            <w:shd w:val="clear" w:color="auto" w:fill="auto"/>
            <w:noWrap/>
            <w:vAlign w:val="bottom"/>
          </w:tcPr>
          <w:p w:rsidR="009534E2" w:rsidRDefault="003369EB">
            <w:pPr>
              <w:jc w:val="center"/>
              <w:rPr>
                <w:b/>
                <w:color w:val="000000"/>
                <w:sz w:val="16"/>
              </w:rPr>
            </w:pPr>
            <w:r>
              <w:rPr>
                <w:rFonts w:ascii="Times New Roman" w:hAnsi="Times New Roman" w:eastAsia="Times New Roman" w:cs="Times New Roman"/>
                <w:b/>
                <w:color w:val="000000"/>
                <w:sz w:val="16"/>
              </w:rPr>
              <w:t>    </w:t>
            </w:r>
          </w:p>
        </w:tc>
        <w:tc>
          <w:tcPr>
            <w:tcW w:w="743" w:type="pct"/>
            <w:tcBorders>
              <w:top w:val="nil"/>
              <w:left w:val="nil"/>
              <w:bottom w:val="nil"/>
              <w:right w:val="nil"/>
              <w:tl2br w:val="nil"/>
              <w:tr2bl w:val="nil"/>
            </w:tcBorders>
            <w:shd w:val="clear" w:color="auto" w:fill="auto"/>
            <w:noWrap/>
            <w:vAlign w:val="bottom"/>
          </w:tcPr>
          <w:p w:rsidR="009534E2" w:rsidRDefault="003369EB">
            <w:pPr>
              <w:jc w:val="center"/>
              <w:rPr>
                <w:b/>
                <w:color w:val="000000"/>
                <w:sz w:val="16"/>
              </w:rPr>
            </w:pPr>
            <w:r>
              <w:rPr>
                <w:rFonts w:ascii="Times New Roman" w:hAnsi="Times New Roman" w:eastAsia="Times New Roman" w:cs="Times New Roman"/>
                <w:b/>
                <w:color w:val="000000"/>
                <w:sz w:val="16"/>
              </w:rPr>
              <w:t>December 31, 2021</w:t>
            </w:r>
          </w:p>
        </w:tc>
      </w:tr>
      <w:tr w:rsidR="009534E2">
        <w:trPr>
          <w:jc w:val="center"/>
        </w:trPr>
        <w:tc>
          <w:tcPr>
            <w:tcW w:w="3406" w:type="pct"/>
            <w:tcBorders>
              <w:top w:val="nil"/>
              <w:left w:val="nil"/>
              <w:bottom w:val="nil"/>
              <w:right w:val="nil"/>
              <w:tl2br w:val="nil"/>
              <w:tr2bl w:val="nil"/>
            </w:tcBorders>
            <w:shd w:val="clear" w:color="auto" w:fill="auto"/>
            <w:vAlign w:val="bottom"/>
          </w:tcPr>
          <w:p w:rsidR="009534E2" w:rsidRDefault="009534E2">
            <w:pPr>
              <w:rPr>
                <w:color w:val="000000"/>
                <w:sz w:val="16"/>
              </w:rPr>
            </w:pPr>
            <w:bookmarkStart w:name="_b92bea58_00e7_4e67_851c_98d76f560d06" w:id="2809"/>
            <w:bookmarkEnd w:id="2808"/>
          </w:p>
        </w:tc>
        <w:tc>
          <w:tcPr>
            <w:tcW w:w="743"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b/>
                <w:color w:val="000000"/>
                <w:sz w:val="16"/>
              </w:rPr>
            </w:pPr>
            <w:r>
              <w:rPr>
                <w:rFonts w:ascii="Times New Roman" w:hAnsi="Times New Roman" w:eastAsia="Times New Roman" w:cs="Times New Roman"/>
                <w:b/>
                <w:color w:val="000000"/>
                <w:sz w:val="16"/>
              </w:rPr>
              <w:t>(Stage 1)</w:t>
            </w:r>
          </w:p>
        </w:tc>
        <w:tc>
          <w:tcPr>
            <w:tcW w:w="108" w:type="pct"/>
            <w:tcBorders>
              <w:top w:val="nil"/>
              <w:left w:val="nil"/>
              <w:bottom w:val="nil"/>
              <w:right w:val="nil"/>
              <w:tl2br w:val="nil"/>
              <w:tr2bl w:val="nil"/>
            </w:tcBorders>
            <w:shd w:val="clear" w:color="auto" w:fill="auto"/>
            <w:noWrap/>
            <w:vAlign w:val="bottom"/>
          </w:tcPr>
          <w:p w:rsidR="009534E2" w:rsidRDefault="009534E2">
            <w:pPr>
              <w:rPr>
                <w:color w:val="000000"/>
                <w:sz w:val="16"/>
              </w:rPr>
            </w:pPr>
          </w:p>
        </w:tc>
        <w:tc>
          <w:tcPr>
            <w:tcW w:w="743" w:type="pct"/>
            <w:tcBorders>
              <w:top w:val="nil"/>
              <w:left w:val="nil"/>
              <w:bottom w:val="single" w:color="000000" w:sz="4" w:space="0"/>
              <w:right w:val="nil"/>
              <w:tl2br w:val="nil"/>
              <w:tr2bl w:val="nil"/>
            </w:tcBorders>
            <w:shd w:val="clear" w:color="auto" w:fill="auto"/>
            <w:noWrap/>
            <w:vAlign w:val="bottom"/>
          </w:tcPr>
          <w:p w:rsidR="009534E2" w:rsidRDefault="003369EB">
            <w:pPr>
              <w:jc w:val="center"/>
              <w:rPr>
                <w:b/>
                <w:color w:val="000000"/>
                <w:sz w:val="16"/>
              </w:rPr>
            </w:pPr>
            <w:r>
              <w:rPr>
                <w:rFonts w:ascii="Times New Roman" w:hAnsi="Times New Roman" w:eastAsia="Times New Roman" w:cs="Times New Roman"/>
                <w:b/>
                <w:color w:val="000000"/>
                <w:sz w:val="16"/>
              </w:rPr>
              <w:t>(Stage 1)</w:t>
            </w:r>
          </w:p>
        </w:tc>
      </w:tr>
      <w:tr w:rsidR="009534E2">
        <w:trPr>
          <w:jc w:val="center"/>
        </w:trPr>
        <w:tc>
          <w:tcPr>
            <w:tcW w:w="3406" w:type="pct"/>
            <w:tcBorders>
              <w:top w:val="nil"/>
              <w:left w:val="nil"/>
              <w:bottom w:val="nil"/>
              <w:right w:val="nil"/>
              <w:tl2br w:val="nil"/>
              <w:tr2bl w:val="nil"/>
            </w:tcBorders>
            <w:shd w:val="clear" w:color="auto" w:fill="CCEEFF"/>
            <w:vAlign w:val="bottom"/>
          </w:tcPr>
          <w:p w:rsidR="009534E2" w:rsidRDefault="003369EB">
            <w:pPr>
              <w:ind w:left="120"/>
              <w:rPr>
                <w:color w:val="000000"/>
              </w:rPr>
            </w:pPr>
            <w:bookmarkStart w:name="_a85f9101_0ab0_4e0e_95cd_1af23eda0f05" w:id="2810"/>
            <w:bookmarkEnd w:id="2809"/>
            <w:r>
              <w:rPr>
                <w:rFonts w:ascii="Times New Roman" w:hAnsi="Times New Roman" w:eastAsia="Times New Roman" w:cs="Times New Roman"/>
                <w:color w:val="000000"/>
              </w:rPr>
              <w:t>Unused limits on loans to legal entities</w:t>
            </w:r>
          </w:p>
        </w:tc>
        <w:tc>
          <w:tcPr>
            <w:tcW w:w="743" w:type="pct"/>
            <w:tcBorders>
              <w:top w:val="nil"/>
              <w:left w:val="nil"/>
              <w:bottom w:val="nil"/>
              <w:right w:val="nil"/>
              <w:tl2br w:val="nil"/>
              <w:tr2bl w:val="nil"/>
            </w:tcBorders>
            <w:shd w:val="clear" w:color="auto" w:fill="CCEEFF"/>
            <w:noWrap/>
            <w:vAlign w:val="bottom"/>
          </w:tcPr>
          <w:p w:rsidR="009534E2" w:rsidRDefault="003369EB">
            <w:pPr>
              <w:ind w:right="60"/>
              <w:jc w:val="right"/>
              <w:rPr>
                <w:color w:val="000000"/>
              </w:rPr>
            </w:pPr>
            <w:r>
              <w:rPr>
                <w:rFonts w:ascii="Times New Roman" w:hAnsi="Times New Roman" w:eastAsia="Times New Roman" w:cs="Times New Roman"/>
                <w:color w:val="000000"/>
              </w:rPr>
              <w:t xml:space="preserve"> 1,618</w:t>
            </w:r>
          </w:p>
        </w:tc>
        <w:tc>
          <w:tcPr>
            <w:tcW w:w="108" w:type="pct"/>
            <w:tcBorders>
              <w:top w:val="nil"/>
              <w:left w:val="nil"/>
              <w:bottom w:val="nil"/>
              <w:right w:val="nil"/>
              <w:tl2br w:val="nil"/>
              <w:tr2bl w:val="nil"/>
            </w:tcBorders>
            <w:shd w:val="clear" w:color="auto" w:fill="CCEEFF"/>
            <w:noWrap/>
            <w:vAlign w:val="bottom"/>
          </w:tcPr>
          <w:p w:rsidR="009534E2" w:rsidRDefault="009534E2">
            <w:pPr>
              <w:rPr>
                <w:color w:val="000000"/>
              </w:rPr>
            </w:pPr>
          </w:p>
        </w:tc>
        <w:tc>
          <w:tcPr>
            <w:tcW w:w="743" w:type="pct"/>
            <w:tcBorders>
              <w:top w:val="nil"/>
              <w:left w:val="nil"/>
              <w:bottom w:val="nil"/>
              <w:right w:val="nil"/>
              <w:tl2br w:val="nil"/>
              <w:tr2bl w:val="nil"/>
            </w:tcBorders>
            <w:shd w:val="clear" w:color="auto" w:fill="CCEEFF"/>
            <w:noWrap/>
            <w:vAlign w:val="bottom"/>
          </w:tcPr>
          <w:p w:rsidR="009534E2" w:rsidRDefault="003369EB">
            <w:pPr>
              <w:ind w:right="60"/>
              <w:jc w:val="right"/>
              <w:rPr>
                <w:color w:val="000000"/>
              </w:rPr>
            </w:pPr>
            <w:r>
              <w:rPr>
                <w:rFonts w:ascii="Times New Roman" w:hAnsi="Times New Roman" w:eastAsia="Times New Roman" w:cs="Times New Roman"/>
                <w:color w:val="000000"/>
              </w:rPr>
              <w:t xml:space="preserve"> 34</w:t>
            </w:r>
          </w:p>
        </w:tc>
      </w:tr>
      <w:tr w:rsidR="009534E2">
        <w:trPr>
          <w:jc w:val="center"/>
        </w:trPr>
        <w:tc>
          <w:tcPr>
            <w:tcW w:w="3406" w:type="pct"/>
            <w:tcBorders>
              <w:top w:val="nil"/>
              <w:left w:val="nil"/>
              <w:bottom w:val="nil"/>
              <w:right w:val="nil"/>
              <w:tl2br w:val="nil"/>
              <w:tr2bl w:val="nil"/>
            </w:tcBorders>
            <w:vAlign w:val="bottom"/>
          </w:tcPr>
          <w:p w:rsidR="009534E2" w:rsidRDefault="003369EB">
            <w:pPr>
              <w:ind w:left="120"/>
              <w:rPr>
                <w:color w:val="000000"/>
              </w:rPr>
            </w:pPr>
            <w:bookmarkStart w:name="_f4b228c3_3bb8_4c78_9f84_0e6af0b0063a" w:id="2811"/>
            <w:bookmarkEnd w:id="2810"/>
            <w:r>
              <w:rPr>
                <w:rFonts w:ascii="Times New Roman" w:hAnsi="Times New Roman" w:eastAsia="Times New Roman" w:cs="Times New Roman"/>
                <w:color w:val="000000"/>
              </w:rPr>
              <w:t>Credit loss allowance</w:t>
            </w:r>
          </w:p>
        </w:tc>
        <w:tc>
          <w:tcPr>
            <w:tcW w:w="743" w:type="pct"/>
            <w:tcBorders>
              <w:top w:val="nil"/>
              <w:left w:val="nil"/>
              <w:bottom w:val="nil"/>
              <w:right w:val="nil"/>
              <w:tl2br w:val="nil"/>
              <w:tr2bl w:val="nil"/>
            </w:tcBorders>
            <w:noWrap/>
            <w:vAlign w:val="bottom"/>
          </w:tcPr>
          <w:p w:rsidR="009534E2" w:rsidRDefault="003369EB">
            <w:pPr>
              <w:jc w:val="right"/>
              <w:rPr>
                <w:color w:val="000000"/>
              </w:rPr>
            </w:pPr>
            <w:r>
              <w:rPr>
                <w:rFonts w:ascii="Times New Roman" w:hAnsi="Times New Roman" w:eastAsia="Times New Roman" w:cs="Times New Roman"/>
                <w:color w:val="000000"/>
              </w:rPr>
              <w:t xml:space="preserve"> (19)</w:t>
            </w:r>
          </w:p>
        </w:tc>
        <w:tc>
          <w:tcPr>
            <w:tcW w:w="108" w:type="pct"/>
            <w:tcBorders>
              <w:top w:val="nil"/>
              <w:left w:val="nil"/>
              <w:bottom w:val="nil"/>
              <w:right w:val="nil"/>
              <w:tl2br w:val="nil"/>
              <w:tr2bl w:val="nil"/>
            </w:tcBorders>
            <w:noWrap/>
            <w:vAlign w:val="bottom"/>
          </w:tcPr>
          <w:p w:rsidR="009534E2" w:rsidRDefault="009534E2">
            <w:pPr>
              <w:rPr>
                <w:color w:val="000000"/>
              </w:rPr>
            </w:pPr>
          </w:p>
        </w:tc>
        <w:tc>
          <w:tcPr>
            <w:tcW w:w="743" w:type="pct"/>
            <w:tcBorders>
              <w:top w:val="nil"/>
              <w:left w:val="nil"/>
              <w:bottom w:val="nil"/>
              <w:right w:val="nil"/>
              <w:tl2br w:val="nil"/>
              <w:tr2bl w:val="nil"/>
            </w:tcBorders>
            <w:noWrap/>
            <w:vAlign w:val="bottom"/>
          </w:tcPr>
          <w:p w:rsidR="009534E2" w:rsidRDefault="003369EB">
            <w:pPr>
              <w:ind w:right="60"/>
              <w:jc w:val="right"/>
              <w:rPr>
                <w:color w:val="000000"/>
              </w:rPr>
            </w:pPr>
            <w:r>
              <w:rPr>
                <w:rFonts w:ascii="Times New Roman" w:hAnsi="Times New Roman" w:eastAsia="Times New Roman" w:cs="Times New Roman"/>
                <w:color w:val="000000"/>
              </w:rPr>
              <w:t xml:space="preserve"> —</w:t>
            </w:r>
          </w:p>
        </w:tc>
      </w:tr>
    </w:tbl>
    <w:p w:rsidR="009534E2" w:rsidRDefault="00EC0AE1">
      <w:pPr>
        <w:jc w:val="center"/>
        <w:rPr>
          <w:rFonts w:eastAsia="Times New Roman"/>
          <w:sz w:val="2"/>
        </w:rPr>
      </w:pPr>
    </w:p>
    <w:bookmarkEnd w:displacedByCustomXml="next" w:id="2811"/>
    <w:bookmarkEnd w:displacedByCustomXml="next" w:id="2807"/>
    <w:bookmarkEnd w:displacedByCustomXml="next" w:id="2806"/>
    <w:p w:rsidR="009534E2" w:rsidRDefault="009534E2">
      <w:pPr>
        <w:jc w:val="center"/>
        <w:rPr>
          <w:rFonts w:eastAsia="Times New Roman" w:asciiTheme="majorHAnsi" w:hAnsiTheme="majorHAnsi" w:cstheme="majorHAnsi"/>
        </w:rPr>
      </w:pPr>
    </w:p>
    <w:p w:rsidR="009534E2" w:rsidRDefault="009534E2">
      <w:pPr>
        <w:pStyle w:val="BodyText"/>
        <w:spacing w:after="0"/>
        <w:rPr>
          <w:rFonts w:eastAsia="Times New Roman" w:asciiTheme="majorHAnsi" w:hAnsiTheme="majorHAnsi" w:cstheme="majorHAnsi"/>
          <w:sz w:val="2"/>
          <w:lang w:eastAsia="ru-RU"/>
        </w:rPr>
      </w:pP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Heading1"/>
        <w:ind w:left="360" w:hanging="360"/>
        <w:rPr>
          <w:rFonts w:eastAsiaTheme="minorHAnsi"/>
          <w:b w:val="0"/>
          <w:szCs w:val="20"/>
          <w:lang w:eastAsia="ru-RU"/>
        </w:rPr>
      </w:pPr>
      <w:r>
        <w:rPr>
          <w:lang w:eastAsia="ru-RU"/>
        </w:rPr>
        <w:t>29.</w:t>
      </w:r>
      <w:r>
        <w:rPr>
          <w:lang w:eastAsia="ru-RU"/>
        </w:rPr>
        <w:tab/>
        <w:t>Balances and transactions with related parties</w:t>
      </w:r>
    </w:p>
    <w:p w:rsidR="009534E2" w:rsidRDefault="003369EB">
      <w:pPr>
        <w:pStyle w:val="BodyText"/>
        <w:keepNext/>
        <w:spacing w:after="0"/>
        <w:rPr>
          <w:rFonts w:eastAsia="ヒラギノ角ゴ Pro W3" w:asciiTheme="majorHAnsi" w:hAnsiTheme="majorHAnsi" w:cstheme="majorHAnsi"/>
        </w:rPr>
      </w:pPr>
      <w:r>
        <w:rPr>
          <w:rFonts w:eastAsia="Times New Roman" w:asciiTheme="majorHAnsi" w:hAnsiTheme="majorHAnsi" w:cstheme="majorHAnsi"/>
        </w:rPr>
        <w:t>The following table provides the total amount of transactions that have been entered into with related parties during the years ended December 31, 2022 and 2021, as well as balances with related parties as of December 31, 2022 and December 31, 2021</w:t>
      </w:r>
      <w:r>
        <w:rPr>
          <w:rFonts w:eastAsia="ヒラギノ角ゴ Pro W3" w:asciiTheme="majorHAnsi" w:hAnsiTheme="majorHAnsi" w:cstheme="majorHAnsi"/>
        </w:rPr>
        <w:t>:</w:t>
      </w:r>
    </w:p>
    <w:p w:rsidR="009534E2" w:rsidRDefault="009534E2">
      <w:pPr>
        <w:pStyle w:val="BodyText"/>
        <w:keepNext/>
        <w:spacing w:after="0"/>
        <w:rPr>
          <w:rFonts w:eastAsia="ヒラギノ角ゴ Pro W3" w:asciiTheme="majorHAnsi" w:hAnsiTheme="majorHAnsi" w:cstheme="majorHAnsi"/>
        </w:rPr>
      </w:pPr>
      <w:bookmarkStart w:name="_f81b8918_d73f_4a16_8677_5361d083d300" w:id="2812"/>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161"/>
        <w:gridCol w:w="165"/>
        <w:gridCol w:w="1246"/>
        <w:gridCol w:w="164"/>
        <w:gridCol w:w="1246"/>
        <w:gridCol w:w="164"/>
        <w:gridCol w:w="1246"/>
        <w:gridCol w:w="164"/>
        <w:gridCol w:w="1244"/>
      </w:tblGrid>
      <w:tr w:rsidR="007A1879" w:rsidTr="007A1879">
        <w:trPr>
          <w:trHeight w:val="20" w:hRule="exact"/>
          <w:jc w:val="center"/>
        </w:trPr>
        <w:tc>
          <w:tcPr>
            <w:tcW w:w="2389"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a02110b8_4a28_4302_acb4_116bc53d1b71" w:colFirst="0" w:colLast="0" w:id="2813"/>
            <w:bookmarkStart w:name="_95a639b3_f8b8_4362_92a2_8d55e65a98be" w:colFirst="1" w:colLast="1" w:id="2814"/>
            <w:bookmarkStart w:name="_91a7db0b_b0cd_4ac4_b52a_bde8eed8ba2d" w:colFirst="2" w:colLast="2" w:id="2815"/>
            <w:bookmarkStart w:name="_889ef08c_6bda_4f51_a490_debe9468bbf5" w:colFirst="3" w:colLast="3" w:id="2816"/>
            <w:bookmarkStart w:name="_48fdeb3e_3d54_44ec_a8eb_afa9dc5d6b16" w:colFirst="4" w:colLast="4" w:id="2817"/>
            <w:bookmarkStart w:name="_e7eca072_11f0_4215_9dde_66b365ce65d1" w:colFirst="5" w:colLast="5" w:id="2818"/>
            <w:bookmarkStart w:name="_a4ca9eeb_7a33_4f50_a111_8fa6040248c2" w:colFirst="6" w:colLast="6" w:id="2819"/>
            <w:bookmarkStart w:name="_a389ae32_09b5_4024_b9f2_07f3fa7f35a0" w:colFirst="7" w:colLast="7" w:id="2820"/>
            <w:bookmarkStart w:name="_57a27097_0d00_4d92_ae94_2b703b03d838" w:colFirst="8" w:colLast="8" w:id="2821"/>
            <w:bookmarkStart w:name="_1561d5f5_a657_4b93_bb99_ae0424f8f356" w:id="2822"/>
          </w:p>
        </w:tc>
        <w:tc>
          <w:tcPr>
            <w:tcW w:w="7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7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7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7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7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7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7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7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7A1879" w:rsidTr="007A1879">
        <w:trPr>
          <w:jc w:val="center"/>
        </w:trPr>
        <w:tc>
          <w:tcPr>
            <w:tcW w:w="2389"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0ec2aa36_55b3_4d7e_b99d_55f90be01368" w:id="2823"/>
            <w:bookmarkEnd w:id="2813"/>
            <w:bookmarkEnd w:id="2814"/>
            <w:bookmarkEnd w:id="2815"/>
            <w:bookmarkEnd w:id="2816"/>
            <w:bookmarkEnd w:id="2817"/>
            <w:bookmarkEnd w:id="2818"/>
            <w:bookmarkEnd w:id="2819"/>
            <w:bookmarkEnd w:id="2820"/>
            <w:bookmarkEnd w:id="2821"/>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1230" w:type="pct"/>
            <w:gridSpan w:val="3"/>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For the year ended</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r>
      <w:tr w:rsidR="007A1879" w:rsidTr="007A1879">
        <w:trPr>
          <w:jc w:val="center"/>
        </w:trPr>
        <w:tc>
          <w:tcPr>
            <w:tcW w:w="2389"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c24f0a64_0e96_4a37_9dd5_f5a2953c9c59" w:id="2824"/>
            <w:bookmarkEnd w:id="2823"/>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1230"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2022</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1229"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 December 31, 2022</w:t>
            </w:r>
          </w:p>
        </w:tc>
      </w:tr>
      <w:tr w:rsidR="007A1879" w:rsidTr="007A1879">
        <w:trPr>
          <w:jc w:val="center"/>
        </w:trPr>
        <w:tc>
          <w:tcPr>
            <w:tcW w:w="2389"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ea36cf01_0729_4b5d_aaf9_3b64f3529b4d" w:id="2825"/>
            <w:bookmarkEnd w:id="2824"/>
          </w:p>
        </w:tc>
        <w:tc>
          <w:tcPr>
            <w:tcW w:w="7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7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color w:val="000000"/>
                <w:sz w:val="16"/>
              </w:rPr>
            </w:pPr>
          </w:p>
        </w:tc>
        <w:tc>
          <w:tcPr>
            <w:tcW w:w="7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7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Purchases/</w:t>
            </w:r>
          </w:p>
        </w:tc>
        <w:tc>
          <w:tcPr>
            <w:tcW w:w="7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7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Amounts</w:t>
            </w:r>
          </w:p>
        </w:tc>
        <w:tc>
          <w:tcPr>
            <w:tcW w:w="7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7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Amounts</w:t>
            </w:r>
          </w:p>
        </w:tc>
      </w:tr>
      <w:tr w:rsidR="007A1879" w:rsidTr="007A1879">
        <w:trPr>
          <w:jc w:val="center"/>
        </w:trPr>
        <w:tc>
          <w:tcPr>
            <w:tcW w:w="2389"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e7821a2c_b80f_4790_95a2_66fd239d9777" w:id="2826"/>
            <w:bookmarkEnd w:id="2825"/>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Sales to/</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xml:space="preserve"> expenses</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owed by</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owed to</w:t>
            </w:r>
          </w:p>
        </w:tc>
      </w:tr>
      <w:tr w:rsidR="007A1879" w:rsidTr="007A1879">
        <w:trPr>
          <w:jc w:val="center"/>
        </w:trPr>
        <w:tc>
          <w:tcPr>
            <w:tcW w:w="2389"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6f81bda2_13e8_4cc4_88de_3915b6a8030a" w:id="2827"/>
            <w:bookmarkEnd w:id="2826"/>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income from</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from related</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related</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related</w:t>
            </w:r>
          </w:p>
        </w:tc>
      </w:tr>
      <w:tr w:rsidR="007A1879" w:rsidTr="007A1879">
        <w:trPr>
          <w:jc w:val="center"/>
        </w:trPr>
        <w:tc>
          <w:tcPr>
            <w:tcW w:w="2389"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5fe08478_6d4f_4e06_a61f_a9ea03dc9748" w:id="2828"/>
            <w:bookmarkEnd w:id="2827"/>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related parties</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parties</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parties</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6"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parties</w:t>
            </w:r>
          </w:p>
        </w:tc>
      </w:tr>
      <w:tr w:rsidR="007A1879" w:rsidTr="007A1879">
        <w:trPr>
          <w:jc w:val="center"/>
        </w:trPr>
        <w:tc>
          <w:tcPr>
            <w:tcW w:w="2389"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8b1126d0_2aa3_4845_8079_f3c6a2103e3c" w:id="2829"/>
            <w:bookmarkEnd w:id="2828"/>
            <w:r>
              <w:rPr>
                <w:rFonts w:eastAsia="Times New Roman" w:asciiTheme="majorHAnsi" w:hAnsiTheme="majorHAnsi" w:cstheme="majorHAnsi"/>
                <w:color w:val="000000"/>
              </w:rPr>
              <w:t>Associates</w:t>
            </w:r>
          </w:p>
        </w:tc>
        <w:tc>
          <w:tcPr>
            <w:tcW w:w="76"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rFonts w:asciiTheme="majorHAnsi" w:hAnsiTheme="majorHAnsi" w:cstheme="majorHAnsi"/>
                <w:color w:val="000000"/>
              </w:rPr>
            </w:pPr>
          </w:p>
        </w:tc>
        <w:tc>
          <w:tcPr>
            <w:tcW w:w="577" w:type="pct"/>
            <w:tcBorders>
              <w:top w:val="nil"/>
              <w:left w:val="nil"/>
              <w:bottom w:val="nil"/>
              <w:right w:val="nil"/>
              <w:tl2br w:val="nil"/>
              <w:tr2bl w:val="nil"/>
            </w:tcBorders>
            <w:shd w:val="clear" w:color="auto" w:fill="CCEEFF"/>
            <w:noWrap/>
            <w:vAlign w:val="bottom"/>
          </w:tcPr>
          <w:p w:rsidRPr="007A1879" w:rsidR="009534E2" w:rsidRDefault="003369EB">
            <w:pPr>
              <w:keepNext/>
              <w:spacing w:after="1"/>
              <w:ind w:right="60"/>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3</w:t>
            </w:r>
          </w:p>
        </w:tc>
        <w:tc>
          <w:tcPr>
            <w:tcW w:w="76"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577" w:type="pct"/>
            <w:tcBorders>
              <w:top w:val="nil"/>
              <w:left w:val="nil"/>
              <w:bottom w:val="nil"/>
              <w:right w:val="nil"/>
              <w:tl2br w:val="nil"/>
              <w:tr2bl w:val="nil"/>
            </w:tcBorders>
            <w:shd w:val="clear" w:color="auto" w:fill="CCEEFF"/>
            <w:noWrap/>
            <w:vAlign w:val="bottom"/>
          </w:tcPr>
          <w:p w:rsidRPr="007A1879" w:rsidR="009534E2" w:rsidRDefault="003369EB">
            <w:pPr>
              <w:keepNext/>
              <w:spacing w:after="1"/>
              <w:ind w:right="60"/>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w:t>
            </w:r>
          </w:p>
        </w:tc>
        <w:tc>
          <w:tcPr>
            <w:tcW w:w="76"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577" w:type="pct"/>
            <w:tcBorders>
              <w:top w:val="nil"/>
              <w:left w:val="nil"/>
              <w:bottom w:val="nil"/>
              <w:right w:val="nil"/>
              <w:tl2br w:val="nil"/>
              <w:tr2bl w:val="nil"/>
            </w:tcBorders>
            <w:shd w:val="clear" w:color="auto" w:fill="CCEEFF"/>
            <w:noWrap/>
            <w:vAlign w:val="bottom"/>
          </w:tcPr>
          <w:p w:rsidRPr="007A1879" w:rsidR="009534E2" w:rsidRDefault="003369EB">
            <w:pPr>
              <w:keepNext/>
              <w:spacing w:after="1"/>
              <w:ind w:right="60"/>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w:t>
            </w:r>
          </w:p>
        </w:tc>
        <w:tc>
          <w:tcPr>
            <w:tcW w:w="76"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576" w:type="pct"/>
            <w:tcBorders>
              <w:top w:val="nil"/>
              <w:left w:val="nil"/>
              <w:bottom w:val="nil"/>
              <w:right w:val="nil"/>
              <w:tl2br w:val="nil"/>
              <w:tr2bl w:val="nil"/>
            </w:tcBorders>
            <w:shd w:val="clear" w:color="auto" w:fill="CCEEFF"/>
            <w:noWrap/>
            <w:vAlign w:val="bottom"/>
          </w:tcPr>
          <w:p w:rsidRPr="007A1879" w:rsidR="009534E2" w:rsidRDefault="003369EB">
            <w:pPr>
              <w:keepNext/>
              <w:spacing w:after="1"/>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(3)</w:t>
            </w:r>
          </w:p>
        </w:tc>
      </w:tr>
      <w:tr w:rsidR="007A1879" w:rsidTr="007A1879">
        <w:trPr>
          <w:jc w:val="center"/>
        </w:trPr>
        <w:tc>
          <w:tcPr>
            <w:tcW w:w="2389"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4926e4b2_872b_4a97_933f_5f2bc1c271ad" w:id="2830"/>
            <w:bookmarkEnd w:id="2829"/>
            <w:r>
              <w:rPr>
                <w:rFonts w:eastAsia="Times New Roman" w:asciiTheme="majorHAnsi" w:hAnsiTheme="majorHAnsi" w:cstheme="majorHAnsi"/>
                <w:color w:val="000000"/>
              </w:rPr>
              <w:t>Key management personnel</w:t>
            </w:r>
          </w:p>
        </w:tc>
        <w:tc>
          <w:tcPr>
            <w:tcW w:w="76"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77" w:type="pct"/>
            <w:tcBorders>
              <w:top w:val="nil"/>
              <w:left w:val="nil"/>
              <w:bottom w:val="nil"/>
              <w:right w:val="nil"/>
              <w:tl2br w:val="nil"/>
              <w:tr2bl w:val="nil"/>
            </w:tcBorders>
            <w:noWrap/>
            <w:vAlign w:val="bottom"/>
          </w:tcPr>
          <w:p w:rsidRPr="007A1879" w:rsidR="009534E2" w:rsidRDefault="003369EB">
            <w:pPr>
              <w:keepNext/>
              <w:spacing w:after="1"/>
              <w:ind w:right="60"/>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w:t>
            </w:r>
          </w:p>
        </w:tc>
        <w:tc>
          <w:tcPr>
            <w:tcW w:w="76"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577" w:type="pct"/>
            <w:tcBorders>
              <w:top w:val="nil"/>
              <w:left w:val="nil"/>
              <w:bottom w:val="nil"/>
              <w:right w:val="nil"/>
              <w:tl2br w:val="nil"/>
              <w:tr2bl w:val="nil"/>
            </w:tcBorders>
            <w:noWrap/>
            <w:vAlign w:val="bottom"/>
          </w:tcPr>
          <w:p w:rsidRPr="007A1879" w:rsidR="009534E2" w:rsidRDefault="003369EB">
            <w:pPr>
              <w:keepNext/>
              <w:spacing w:after="1"/>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(429)</w:t>
            </w:r>
          </w:p>
        </w:tc>
        <w:tc>
          <w:tcPr>
            <w:tcW w:w="76"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577" w:type="pct"/>
            <w:tcBorders>
              <w:top w:val="nil"/>
              <w:left w:val="nil"/>
              <w:bottom w:val="nil"/>
              <w:right w:val="nil"/>
              <w:tl2br w:val="nil"/>
              <w:tr2bl w:val="nil"/>
            </w:tcBorders>
            <w:noWrap/>
            <w:vAlign w:val="bottom"/>
          </w:tcPr>
          <w:p w:rsidRPr="007A1879" w:rsidR="009534E2" w:rsidRDefault="003369EB">
            <w:pPr>
              <w:keepNext/>
              <w:spacing w:after="1"/>
              <w:ind w:right="60"/>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w:t>
            </w:r>
          </w:p>
        </w:tc>
        <w:tc>
          <w:tcPr>
            <w:tcW w:w="76"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576" w:type="pct"/>
            <w:tcBorders>
              <w:top w:val="nil"/>
              <w:left w:val="nil"/>
              <w:bottom w:val="nil"/>
              <w:right w:val="nil"/>
              <w:tl2br w:val="nil"/>
              <w:tr2bl w:val="nil"/>
            </w:tcBorders>
            <w:noWrap/>
            <w:vAlign w:val="bottom"/>
          </w:tcPr>
          <w:p w:rsidRPr="007A1879" w:rsidR="009534E2" w:rsidRDefault="003369EB">
            <w:pPr>
              <w:keepNext/>
              <w:spacing w:after="1"/>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(244)</w:t>
            </w:r>
          </w:p>
        </w:tc>
      </w:tr>
      <w:tr w:rsidR="007A1879" w:rsidTr="007A1879">
        <w:trPr>
          <w:jc w:val="center"/>
        </w:trPr>
        <w:tc>
          <w:tcPr>
            <w:tcW w:w="2389"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5ed52521_8994_43f2_baa0_1d454f3bb70a" w:id="2831"/>
            <w:bookmarkEnd w:id="2830"/>
            <w:r>
              <w:rPr>
                <w:rFonts w:eastAsia="Times New Roman" w:asciiTheme="majorHAnsi" w:hAnsiTheme="majorHAnsi" w:cstheme="majorHAnsi"/>
                <w:color w:val="000000"/>
              </w:rPr>
              <w:t>Other related parties</w:t>
            </w:r>
          </w:p>
        </w:tc>
        <w:tc>
          <w:tcPr>
            <w:tcW w:w="76"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77" w:type="pct"/>
            <w:tcBorders>
              <w:top w:val="nil"/>
              <w:left w:val="nil"/>
              <w:bottom w:val="nil"/>
              <w:right w:val="nil"/>
              <w:tl2br w:val="nil"/>
              <w:tr2bl w:val="nil"/>
            </w:tcBorders>
            <w:shd w:val="clear" w:color="auto" w:fill="CCEEFF"/>
            <w:noWrap/>
            <w:vAlign w:val="bottom"/>
          </w:tcPr>
          <w:p w:rsidRPr="007A1879" w:rsidR="009534E2" w:rsidRDefault="003369EB">
            <w:pPr>
              <w:keepNext/>
              <w:spacing w:after="1"/>
              <w:ind w:right="60"/>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7</w:t>
            </w:r>
          </w:p>
        </w:tc>
        <w:tc>
          <w:tcPr>
            <w:tcW w:w="76"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577" w:type="pct"/>
            <w:tcBorders>
              <w:top w:val="nil"/>
              <w:left w:val="nil"/>
              <w:bottom w:val="nil"/>
              <w:right w:val="nil"/>
              <w:tl2br w:val="nil"/>
              <w:tr2bl w:val="nil"/>
            </w:tcBorders>
            <w:shd w:val="clear" w:color="auto" w:fill="CCEEFF"/>
            <w:noWrap/>
            <w:vAlign w:val="bottom"/>
          </w:tcPr>
          <w:p w:rsidRPr="007A1879" w:rsidR="009534E2" w:rsidRDefault="003369EB">
            <w:pPr>
              <w:keepNext/>
              <w:spacing w:after="1"/>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(71)</w:t>
            </w:r>
          </w:p>
        </w:tc>
        <w:tc>
          <w:tcPr>
            <w:tcW w:w="76"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577" w:type="pct"/>
            <w:tcBorders>
              <w:top w:val="nil"/>
              <w:left w:val="nil"/>
              <w:bottom w:val="nil"/>
              <w:right w:val="nil"/>
              <w:tl2br w:val="nil"/>
              <w:tr2bl w:val="nil"/>
            </w:tcBorders>
            <w:shd w:val="clear" w:color="auto" w:fill="CCEEFF"/>
            <w:noWrap/>
            <w:vAlign w:val="bottom"/>
          </w:tcPr>
          <w:p w:rsidRPr="007A1879" w:rsidR="009534E2" w:rsidRDefault="003369EB">
            <w:pPr>
              <w:keepNext/>
              <w:spacing w:after="1"/>
              <w:ind w:right="60"/>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101</w:t>
            </w:r>
          </w:p>
        </w:tc>
        <w:tc>
          <w:tcPr>
            <w:tcW w:w="76"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576" w:type="pct"/>
            <w:tcBorders>
              <w:top w:val="nil"/>
              <w:left w:val="nil"/>
              <w:bottom w:val="nil"/>
              <w:right w:val="nil"/>
              <w:tl2br w:val="nil"/>
              <w:tr2bl w:val="nil"/>
            </w:tcBorders>
            <w:shd w:val="clear" w:color="auto" w:fill="CCEEFF"/>
            <w:noWrap/>
            <w:vAlign w:val="bottom"/>
          </w:tcPr>
          <w:p w:rsidRPr="007A1879" w:rsidR="009534E2" w:rsidRDefault="003369EB">
            <w:pPr>
              <w:keepNext/>
              <w:spacing w:after="1"/>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(11)</w:t>
            </w:r>
          </w:p>
        </w:tc>
      </w:tr>
      <w:bookmarkEnd w:id="2822"/>
      <w:bookmarkEnd w:id="2831"/>
    </w:tbl>
    <w:p w:rsidR="009534E2" w:rsidRDefault="009534E2">
      <w:pPr>
        <w:pStyle w:val="BodyText"/>
        <w:keepNext/>
        <w:spacing w:after="0"/>
        <w:rPr>
          <w:rFonts w:eastAsia="ヒラギノ角ゴ Pro W3" w:asciiTheme="majorHAnsi" w:hAnsiTheme="majorHAnsi" w:cstheme="majorHAnsi"/>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161"/>
        <w:gridCol w:w="165"/>
        <w:gridCol w:w="1246"/>
        <w:gridCol w:w="164"/>
        <w:gridCol w:w="1246"/>
        <w:gridCol w:w="164"/>
        <w:gridCol w:w="1246"/>
        <w:gridCol w:w="164"/>
        <w:gridCol w:w="1244"/>
      </w:tblGrid>
      <w:tr w:rsidR="007A1879" w:rsidTr="007A1879">
        <w:trPr>
          <w:trHeight w:val="20" w:hRule="exact"/>
          <w:jc w:val="center"/>
        </w:trPr>
        <w:tc>
          <w:tcPr>
            <w:tcW w:w="2389"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0cee10f9_cde9_43b8_a30b_03e71bf1f55a" w:colFirst="0" w:colLast="0" w:id="2832"/>
            <w:bookmarkStart w:name="_6d42043f_e512_418e_a513_44a65225105e" w:colFirst="1" w:colLast="1" w:id="2833"/>
            <w:bookmarkStart w:name="_7c8d7738_dcd4_4659_b6af_3db1c6927ab9" w:colFirst="2" w:colLast="2" w:id="2834"/>
            <w:bookmarkStart w:name="_49a15f50_4b2d_4b69_8da8_53056f7c9e04" w:colFirst="3" w:colLast="3" w:id="2835"/>
            <w:bookmarkStart w:name="_eda668af_d130_4d15_a86f_5507e0b825e1" w:colFirst="4" w:colLast="4" w:id="2836"/>
            <w:bookmarkStart w:name="_36221d8c_f350_4a01_b3ac_7b5905f44d1b" w:colFirst="5" w:colLast="5" w:id="2837"/>
            <w:bookmarkStart w:name="_ef6b9d32_8a74_4263_9f22_775b6066edea" w:colFirst="6" w:colLast="6" w:id="2838"/>
            <w:bookmarkStart w:name="_37e75e69_95da_4822_98a0_7ee982e62193" w:colFirst="7" w:colLast="7" w:id="2839"/>
            <w:bookmarkStart w:name="_dc37e266_a7d3_4992_a3ba_687eb0e0ba78" w:colFirst="8" w:colLast="8" w:id="2840"/>
            <w:bookmarkStart w:name="_319e67bc_3255_4bef_9c40_768cb0337feb" w:id="2841"/>
          </w:p>
        </w:tc>
        <w:tc>
          <w:tcPr>
            <w:tcW w:w="7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7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7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7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7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7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7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76"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7A1879" w:rsidTr="007A1879">
        <w:trPr>
          <w:jc w:val="center"/>
        </w:trPr>
        <w:tc>
          <w:tcPr>
            <w:tcW w:w="2389"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100fb71d_f127_418f_90df_27e5017dd305" w:id="2842"/>
            <w:bookmarkEnd w:id="2832"/>
            <w:bookmarkEnd w:id="2833"/>
            <w:bookmarkEnd w:id="2834"/>
            <w:bookmarkEnd w:id="2835"/>
            <w:bookmarkEnd w:id="2836"/>
            <w:bookmarkEnd w:id="2837"/>
            <w:bookmarkEnd w:id="2838"/>
            <w:bookmarkEnd w:id="2839"/>
            <w:bookmarkEnd w:id="2840"/>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1230" w:type="pct"/>
            <w:gridSpan w:val="3"/>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For the year ended</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color w:val="000000"/>
                <w:sz w:val="16"/>
              </w:rPr>
            </w:pPr>
          </w:p>
        </w:tc>
        <w:tc>
          <w:tcPr>
            <w:tcW w:w="57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color w:val="000000"/>
                <w:sz w:val="16"/>
              </w:rPr>
            </w:pP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color w:val="000000"/>
                <w:sz w:val="16"/>
              </w:rPr>
            </w:pPr>
          </w:p>
        </w:tc>
        <w:tc>
          <w:tcPr>
            <w:tcW w:w="5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color w:val="000000"/>
                <w:sz w:val="16"/>
              </w:rPr>
            </w:pPr>
          </w:p>
        </w:tc>
      </w:tr>
      <w:tr w:rsidR="007A1879" w:rsidTr="007A1879">
        <w:trPr>
          <w:jc w:val="center"/>
        </w:trPr>
        <w:tc>
          <w:tcPr>
            <w:tcW w:w="2389"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69f1f6b9_fe13_403a_9c22_2977fc7fd908" w:id="2843"/>
            <w:bookmarkEnd w:id="2842"/>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1230"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December 31, 2021</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1229"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 December 31, 2021</w:t>
            </w:r>
          </w:p>
        </w:tc>
      </w:tr>
      <w:tr w:rsidR="007A1879" w:rsidTr="007A1879">
        <w:trPr>
          <w:jc w:val="center"/>
        </w:trPr>
        <w:tc>
          <w:tcPr>
            <w:tcW w:w="2389"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9104fda5_0856_41a1_b048_bfc645239b3f" w:id="2844"/>
            <w:bookmarkEnd w:id="2843"/>
          </w:p>
        </w:tc>
        <w:tc>
          <w:tcPr>
            <w:tcW w:w="7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77"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color w:val="000000"/>
                <w:sz w:val="16"/>
              </w:rPr>
            </w:pPr>
          </w:p>
        </w:tc>
        <w:tc>
          <w:tcPr>
            <w:tcW w:w="7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7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Purchases/</w:t>
            </w:r>
          </w:p>
        </w:tc>
        <w:tc>
          <w:tcPr>
            <w:tcW w:w="7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7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Amounts</w:t>
            </w:r>
          </w:p>
        </w:tc>
        <w:tc>
          <w:tcPr>
            <w:tcW w:w="7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7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Amounts</w:t>
            </w:r>
          </w:p>
        </w:tc>
      </w:tr>
      <w:tr w:rsidR="007A1879" w:rsidTr="007A1879">
        <w:trPr>
          <w:jc w:val="center"/>
        </w:trPr>
        <w:tc>
          <w:tcPr>
            <w:tcW w:w="2389"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df97e42b_2bef_4c37_a21d_bbc1a28ec8d5" w:id="2845"/>
            <w:bookmarkEnd w:id="2844"/>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Sales to/</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expenses</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owed by</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owed to</w:t>
            </w:r>
          </w:p>
        </w:tc>
      </w:tr>
      <w:tr w:rsidR="007A1879" w:rsidTr="007A1879">
        <w:trPr>
          <w:jc w:val="center"/>
        </w:trPr>
        <w:tc>
          <w:tcPr>
            <w:tcW w:w="2389"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b628019b_6194_4ba9_99de_5de0a08f08fd" w:id="2846"/>
            <w:bookmarkEnd w:id="2845"/>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income from</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from related</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related</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6"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related</w:t>
            </w:r>
          </w:p>
        </w:tc>
      </w:tr>
      <w:tr w:rsidR="007A1879" w:rsidTr="007A1879">
        <w:trPr>
          <w:jc w:val="center"/>
        </w:trPr>
        <w:tc>
          <w:tcPr>
            <w:tcW w:w="2389"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color w:val="000000"/>
                <w:sz w:val="16"/>
              </w:rPr>
            </w:pPr>
            <w:bookmarkStart w:name="_2cf30d7d_c30d_479f_ab0e_824f345627a5" w:id="2847"/>
            <w:bookmarkEnd w:id="2846"/>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related parties</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parties</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7"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parties</w:t>
            </w:r>
          </w:p>
        </w:tc>
        <w:tc>
          <w:tcPr>
            <w:tcW w:w="76"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576"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parties</w:t>
            </w:r>
          </w:p>
        </w:tc>
      </w:tr>
      <w:tr w:rsidR="007A1879" w:rsidTr="007A1879">
        <w:trPr>
          <w:jc w:val="center"/>
        </w:trPr>
        <w:tc>
          <w:tcPr>
            <w:tcW w:w="2389"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94c16033_5741_426e_be29_cdde789f1191" w:id="2848"/>
            <w:bookmarkEnd w:id="2847"/>
            <w:r>
              <w:rPr>
                <w:rFonts w:eastAsia="Times New Roman" w:asciiTheme="majorHAnsi" w:hAnsiTheme="majorHAnsi" w:cstheme="majorHAnsi"/>
                <w:color w:val="000000"/>
              </w:rPr>
              <w:t>Associates</w:t>
            </w:r>
          </w:p>
        </w:tc>
        <w:tc>
          <w:tcPr>
            <w:tcW w:w="76"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rFonts w:asciiTheme="majorHAnsi" w:hAnsiTheme="majorHAnsi" w:cstheme="majorHAnsi"/>
                <w:color w:val="000000"/>
              </w:rPr>
            </w:pPr>
          </w:p>
        </w:tc>
        <w:tc>
          <w:tcPr>
            <w:tcW w:w="577" w:type="pct"/>
            <w:tcBorders>
              <w:top w:val="nil"/>
              <w:left w:val="nil"/>
              <w:bottom w:val="nil"/>
              <w:right w:val="nil"/>
              <w:tl2br w:val="nil"/>
              <w:tr2bl w:val="nil"/>
            </w:tcBorders>
            <w:shd w:val="clear" w:color="auto" w:fill="CCEEFF"/>
            <w:noWrap/>
            <w:vAlign w:val="bottom"/>
          </w:tcPr>
          <w:p w:rsidRPr="007A1879" w:rsidR="009534E2" w:rsidRDefault="003369EB">
            <w:pPr>
              <w:keepNext/>
              <w:spacing w:after="1"/>
              <w:ind w:right="60"/>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3</w:t>
            </w:r>
          </w:p>
        </w:tc>
        <w:tc>
          <w:tcPr>
            <w:tcW w:w="76"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577" w:type="pct"/>
            <w:tcBorders>
              <w:top w:val="nil"/>
              <w:left w:val="nil"/>
              <w:bottom w:val="nil"/>
              <w:right w:val="nil"/>
              <w:tl2br w:val="nil"/>
              <w:tr2bl w:val="nil"/>
            </w:tcBorders>
            <w:shd w:val="clear" w:color="auto" w:fill="CCEEFF"/>
            <w:noWrap/>
            <w:vAlign w:val="bottom"/>
          </w:tcPr>
          <w:p w:rsidRPr="007A1879" w:rsidR="009534E2" w:rsidRDefault="003369EB">
            <w:pPr>
              <w:keepNext/>
              <w:spacing w:after="1"/>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(183)</w:t>
            </w:r>
          </w:p>
        </w:tc>
        <w:tc>
          <w:tcPr>
            <w:tcW w:w="76"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577" w:type="pct"/>
            <w:tcBorders>
              <w:top w:val="nil"/>
              <w:left w:val="nil"/>
              <w:bottom w:val="nil"/>
              <w:right w:val="nil"/>
              <w:tl2br w:val="nil"/>
              <w:tr2bl w:val="nil"/>
            </w:tcBorders>
            <w:shd w:val="clear" w:color="auto" w:fill="CCEEFF"/>
            <w:noWrap/>
            <w:vAlign w:val="bottom"/>
          </w:tcPr>
          <w:p w:rsidRPr="007A1879" w:rsidR="009534E2" w:rsidRDefault="003369EB">
            <w:pPr>
              <w:keepNext/>
              <w:spacing w:after="1"/>
              <w:ind w:right="60"/>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w:t>
            </w:r>
          </w:p>
        </w:tc>
        <w:tc>
          <w:tcPr>
            <w:tcW w:w="76"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c>
          <w:tcPr>
            <w:tcW w:w="576" w:type="pct"/>
            <w:tcBorders>
              <w:top w:val="nil"/>
              <w:left w:val="nil"/>
              <w:bottom w:val="nil"/>
              <w:right w:val="nil"/>
              <w:tl2br w:val="nil"/>
              <w:tr2bl w:val="nil"/>
            </w:tcBorders>
            <w:shd w:val="clear" w:color="auto" w:fill="CCEEFF"/>
            <w:noWrap/>
            <w:vAlign w:val="bottom"/>
          </w:tcPr>
          <w:p w:rsidRPr="007A1879" w:rsidR="009534E2" w:rsidRDefault="003369EB">
            <w:pPr>
              <w:keepNext/>
              <w:spacing w:after="1"/>
              <w:ind w:right="60"/>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w:t>
            </w:r>
          </w:p>
        </w:tc>
      </w:tr>
      <w:tr w:rsidR="007A1879" w:rsidTr="007A1879">
        <w:trPr>
          <w:jc w:val="center"/>
        </w:trPr>
        <w:tc>
          <w:tcPr>
            <w:tcW w:w="2389"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16f2f073_8882_4db0_a8d1_15d1cb87a0aa" w:id="2849"/>
            <w:bookmarkEnd w:id="2848"/>
            <w:r>
              <w:rPr>
                <w:rFonts w:eastAsia="Times New Roman" w:asciiTheme="majorHAnsi" w:hAnsiTheme="majorHAnsi" w:cstheme="majorHAnsi"/>
                <w:color w:val="000000"/>
              </w:rPr>
              <w:t>Key management personnel</w:t>
            </w:r>
          </w:p>
        </w:tc>
        <w:tc>
          <w:tcPr>
            <w:tcW w:w="76"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77" w:type="pct"/>
            <w:tcBorders>
              <w:top w:val="nil"/>
              <w:left w:val="nil"/>
              <w:bottom w:val="nil"/>
              <w:right w:val="nil"/>
              <w:tl2br w:val="nil"/>
              <w:tr2bl w:val="nil"/>
            </w:tcBorders>
            <w:noWrap/>
            <w:vAlign w:val="bottom"/>
          </w:tcPr>
          <w:p w:rsidRPr="007A1879" w:rsidR="009534E2" w:rsidRDefault="003369EB">
            <w:pPr>
              <w:keepNext/>
              <w:spacing w:after="1"/>
              <w:ind w:right="60"/>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w:t>
            </w:r>
          </w:p>
        </w:tc>
        <w:tc>
          <w:tcPr>
            <w:tcW w:w="76"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577" w:type="pct"/>
            <w:tcBorders>
              <w:top w:val="nil"/>
              <w:left w:val="nil"/>
              <w:bottom w:val="nil"/>
              <w:right w:val="nil"/>
              <w:tl2br w:val="nil"/>
              <w:tr2bl w:val="nil"/>
            </w:tcBorders>
            <w:noWrap/>
            <w:vAlign w:val="bottom"/>
          </w:tcPr>
          <w:p w:rsidRPr="007A1879" w:rsidR="009534E2" w:rsidRDefault="003369EB">
            <w:pPr>
              <w:keepNext/>
              <w:spacing w:after="1"/>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(307)</w:t>
            </w:r>
          </w:p>
        </w:tc>
        <w:tc>
          <w:tcPr>
            <w:tcW w:w="76"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577" w:type="pct"/>
            <w:tcBorders>
              <w:top w:val="nil"/>
              <w:left w:val="nil"/>
              <w:bottom w:val="nil"/>
              <w:right w:val="nil"/>
              <w:tl2br w:val="nil"/>
              <w:tr2bl w:val="nil"/>
            </w:tcBorders>
            <w:noWrap/>
            <w:vAlign w:val="bottom"/>
          </w:tcPr>
          <w:p w:rsidRPr="007A1879" w:rsidR="009534E2" w:rsidRDefault="003369EB">
            <w:pPr>
              <w:keepNext/>
              <w:spacing w:after="1"/>
              <w:ind w:right="60"/>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w:t>
            </w:r>
          </w:p>
        </w:tc>
        <w:tc>
          <w:tcPr>
            <w:tcW w:w="76" w:type="pct"/>
            <w:tcBorders>
              <w:top w:val="nil"/>
              <w:left w:val="nil"/>
              <w:bottom w:val="nil"/>
              <w:right w:val="nil"/>
              <w:tl2br w:val="nil"/>
              <w:tr2bl w:val="nil"/>
            </w:tcBorders>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576" w:type="pct"/>
            <w:tcBorders>
              <w:top w:val="nil"/>
              <w:left w:val="nil"/>
              <w:bottom w:val="nil"/>
              <w:right w:val="nil"/>
              <w:tl2br w:val="nil"/>
              <w:tr2bl w:val="nil"/>
            </w:tcBorders>
            <w:noWrap/>
            <w:vAlign w:val="bottom"/>
          </w:tcPr>
          <w:p w:rsidRPr="007A1879" w:rsidR="009534E2" w:rsidRDefault="003369EB">
            <w:pPr>
              <w:keepNext/>
              <w:spacing w:after="1"/>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(114)</w:t>
            </w:r>
          </w:p>
        </w:tc>
      </w:tr>
      <w:tr w:rsidR="007A1879" w:rsidTr="007A1879">
        <w:trPr>
          <w:jc w:val="center"/>
        </w:trPr>
        <w:tc>
          <w:tcPr>
            <w:tcW w:w="2389"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1c456b87_e8e2_4e29_b9b9_cfc96090bd60" w:id="2850"/>
            <w:bookmarkEnd w:id="2849"/>
            <w:r>
              <w:rPr>
                <w:rFonts w:eastAsia="Times New Roman" w:asciiTheme="majorHAnsi" w:hAnsiTheme="majorHAnsi" w:cstheme="majorHAnsi"/>
                <w:color w:val="000000"/>
              </w:rPr>
              <w:t>Other related parties</w:t>
            </w:r>
          </w:p>
        </w:tc>
        <w:tc>
          <w:tcPr>
            <w:tcW w:w="76"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577" w:type="pct"/>
            <w:tcBorders>
              <w:top w:val="nil"/>
              <w:left w:val="nil"/>
              <w:bottom w:val="nil"/>
              <w:right w:val="nil"/>
              <w:tl2br w:val="nil"/>
              <w:tr2bl w:val="nil"/>
            </w:tcBorders>
            <w:shd w:val="clear" w:color="auto" w:fill="CCEEFF"/>
            <w:noWrap/>
            <w:vAlign w:val="bottom"/>
          </w:tcPr>
          <w:p w:rsidRPr="007A1879" w:rsidR="009534E2" w:rsidRDefault="003369EB">
            <w:pPr>
              <w:keepNext/>
              <w:spacing w:after="1"/>
              <w:ind w:right="60"/>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5</w:t>
            </w:r>
          </w:p>
        </w:tc>
        <w:tc>
          <w:tcPr>
            <w:tcW w:w="76"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577" w:type="pct"/>
            <w:tcBorders>
              <w:top w:val="nil"/>
              <w:left w:val="nil"/>
              <w:bottom w:val="nil"/>
              <w:right w:val="nil"/>
              <w:tl2br w:val="nil"/>
              <w:tr2bl w:val="nil"/>
            </w:tcBorders>
            <w:shd w:val="clear" w:color="auto" w:fill="CCEEFF"/>
            <w:noWrap/>
            <w:vAlign w:val="bottom"/>
          </w:tcPr>
          <w:p w:rsidRPr="007A1879" w:rsidR="009534E2" w:rsidRDefault="003369EB">
            <w:pPr>
              <w:keepNext/>
              <w:spacing w:after="1"/>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(22)</w:t>
            </w:r>
          </w:p>
        </w:tc>
        <w:tc>
          <w:tcPr>
            <w:tcW w:w="76"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577" w:type="pct"/>
            <w:tcBorders>
              <w:top w:val="nil"/>
              <w:left w:val="nil"/>
              <w:bottom w:val="nil"/>
              <w:right w:val="nil"/>
              <w:tl2br w:val="nil"/>
              <w:tr2bl w:val="nil"/>
            </w:tcBorders>
            <w:shd w:val="clear" w:color="auto" w:fill="CCEEFF"/>
            <w:noWrap/>
            <w:vAlign w:val="bottom"/>
          </w:tcPr>
          <w:p w:rsidRPr="007A1879" w:rsidR="009534E2" w:rsidRDefault="003369EB">
            <w:pPr>
              <w:keepNext/>
              <w:spacing w:after="1"/>
              <w:ind w:right="60"/>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w:t>
            </w:r>
          </w:p>
        </w:tc>
        <w:tc>
          <w:tcPr>
            <w:tcW w:w="76" w:type="pct"/>
            <w:tcBorders>
              <w:top w:val="nil"/>
              <w:left w:val="nil"/>
              <w:bottom w:val="nil"/>
              <w:right w:val="nil"/>
              <w:tl2br w:val="nil"/>
              <w:tr2bl w:val="nil"/>
            </w:tcBorders>
            <w:shd w:val="clear" w:color="auto" w:fill="CCEEFF"/>
            <w:noWrap/>
            <w:vAlign w:val="bottom"/>
          </w:tcPr>
          <w:p w:rsidR="009534E2" w:rsidRDefault="003369EB">
            <w:pPr>
              <w:keepNext/>
              <w:spacing w:after="1"/>
              <w:jc w:val="right"/>
              <w:rPr>
                <w:rFonts w:asciiTheme="majorHAnsi" w:hAnsiTheme="majorHAnsi" w:cstheme="majorHAnsi"/>
                <w:color w:val="000000"/>
              </w:rPr>
            </w:pPr>
            <w:r>
              <w:rPr>
                <w:rFonts w:eastAsia="Times New Roman" w:asciiTheme="majorHAnsi" w:hAnsiTheme="majorHAnsi" w:cstheme="majorHAnsi"/>
                <w:color w:val="000000"/>
              </w:rPr>
              <w:t> </w:t>
            </w:r>
          </w:p>
        </w:tc>
        <w:tc>
          <w:tcPr>
            <w:tcW w:w="576" w:type="pct"/>
            <w:tcBorders>
              <w:top w:val="nil"/>
              <w:left w:val="nil"/>
              <w:bottom w:val="nil"/>
              <w:right w:val="nil"/>
              <w:tl2br w:val="nil"/>
              <w:tr2bl w:val="nil"/>
            </w:tcBorders>
            <w:shd w:val="clear" w:color="auto" w:fill="CCEEFF"/>
            <w:noWrap/>
            <w:vAlign w:val="bottom"/>
          </w:tcPr>
          <w:p w:rsidRPr="007A1879" w:rsidR="009534E2" w:rsidRDefault="003369EB">
            <w:pPr>
              <w:keepNext/>
              <w:spacing w:after="1"/>
              <w:jc w:val="right"/>
              <w:rPr>
                <w:rFonts w:asciiTheme="majorHAnsi" w:hAnsiTheme="majorHAnsi" w:cstheme="majorHAnsi"/>
                <w:color w:val="000000"/>
              </w:rPr>
            </w:pPr>
            <w:r w:rsidRPr="007A1879">
              <w:rPr>
                <w:rFonts w:eastAsia="Times New Roman" w:asciiTheme="majorHAnsi" w:hAnsiTheme="majorHAnsi" w:cstheme="majorHAnsi"/>
                <w:color w:val="000000"/>
              </w:rPr>
              <w:t xml:space="preserve"> (16)</w:t>
            </w:r>
          </w:p>
        </w:tc>
      </w:tr>
      <w:bookmarkEnd w:id="2812"/>
      <w:bookmarkEnd w:id="2841"/>
      <w:bookmarkEnd w:id="2850"/>
    </w:tbl>
    <w:p w:rsidR="009534E2" w:rsidRDefault="009534E2">
      <w:pPr>
        <w:pStyle w:val="BodyText"/>
        <w:spacing w:after="0"/>
        <w:rPr>
          <w:rFonts w:eastAsia="ヒラギノ角ゴ Pro W3" w:asciiTheme="majorHAnsi" w:hAnsiTheme="majorHAnsi" w:cstheme="majorHAnsi"/>
        </w:rPr>
      </w:pPr>
    </w:p>
    <w:p w:rsidR="009534E2" w:rsidRDefault="003369EB">
      <w:pPr>
        <w:pStyle w:val="BodyText"/>
        <w:spacing w:after="0"/>
        <w:rPr>
          <w:rFonts w:eastAsia="ヒラギノ角ゴ Pro W3" w:asciiTheme="majorHAnsi" w:hAnsiTheme="majorHAnsi" w:cstheme="majorHAnsi"/>
        </w:rPr>
      </w:pPr>
      <w:r>
        <w:rPr>
          <w:rFonts w:eastAsia="ヒラギノ角ゴ Pro W3" w:asciiTheme="majorHAnsi" w:hAnsiTheme="majorHAnsi" w:cstheme="majorHAnsi"/>
        </w:rPr>
        <w:t xml:space="preserve">Benefits of key management and Board of Directors </w:t>
      </w:r>
      <w:r w:rsidRPr="007A1879" w:rsidR="007A1879">
        <w:rPr>
          <w:rFonts w:eastAsia="ヒラギノ角ゴ Pro W3" w:asciiTheme="majorHAnsi" w:hAnsiTheme="majorHAnsi" w:cstheme="majorHAnsi"/>
        </w:rPr>
        <w:t xml:space="preserve">for the year ended December 31, 2022 </w:t>
      </w:r>
      <w:r>
        <w:rPr>
          <w:rFonts w:eastAsia="ヒラギノ角ゴ Pro W3" w:asciiTheme="majorHAnsi" w:hAnsiTheme="majorHAnsi" w:cstheme="majorHAnsi"/>
        </w:rPr>
        <w:t xml:space="preserve">comprise short-term benefits </w:t>
      </w:r>
      <w:r w:rsidR="007A1879">
        <w:rPr>
          <w:rFonts w:eastAsia="ヒラギノ角ゴ Pro W3" w:asciiTheme="majorHAnsi" w:hAnsiTheme="majorHAnsi" w:cstheme="majorHAnsi"/>
        </w:rPr>
        <w:t>of</w:t>
      </w:r>
      <w:r>
        <w:rPr>
          <w:rFonts w:eastAsia="ヒラギノ角ゴ Pro W3" w:asciiTheme="majorHAnsi" w:hAnsiTheme="majorHAnsi" w:cstheme="majorHAnsi"/>
        </w:rPr>
        <w:t xml:space="preserve"> </w:t>
      </w:r>
      <w:bookmarkStart w:name="_bdacdc47_588d_4f86_865d_adee86c4f30b" w:id="2851"/>
      <w:r w:rsidRPr="007A1879">
        <w:rPr>
          <w:rFonts w:eastAsia="ヒラギノ角ゴ Pro W3" w:asciiTheme="majorHAnsi" w:hAnsiTheme="majorHAnsi" w:cstheme="majorHAnsi"/>
        </w:rPr>
        <w:t>336</w:t>
      </w:r>
      <w:bookmarkEnd w:id="2851"/>
      <w:r>
        <w:rPr>
          <w:rFonts w:eastAsia="ヒラギノ角ゴ Pro W3" w:asciiTheme="majorHAnsi" w:hAnsiTheme="majorHAnsi" w:cstheme="majorHAnsi"/>
        </w:rPr>
        <w:t xml:space="preserve">, benefits under long-term incentive programs of </w:t>
      </w:r>
      <w:bookmarkStart w:name="_be562a6b_7ca0_4003_a05d_ff7d4dba8382" w:id="2852"/>
      <w:bookmarkStart w:name="_89e32aa1_1d5d_4356_804a_380cf990bcfa" w:id="2853"/>
      <w:r w:rsidRPr="007A1879">
        <w:rPr>
          <w:rFonts w:eastAsia="ヒラギノ角ゴ Pro W3" w:asciiTheme="majorHAnsi" w:hAnsiTheme="majorHAnsi" w:cstheme="majorHAnsi"/>
        </w:rPr>
        <w:t>53</w:t>
      </w:r>
      <w:bookmarkEnd w:id="2852"/>
      <w:bookmarkEnd w:id="2853"/>
      <w:r>
        <w:rPr>
          <w:rFonts w:eastAsia="ヒラギノ角ゴ Pro W3" w:asciiTheme="majorHAnsi" w:hAnsiTheme="majorHAnsi" w:cstheme="majorHAnsi"/>
        </w:rPr>
        <w:t xml:space="preserve"> and share-based payments </w:t>
      </w:r>
      <w:r w:rsidR="007A1879">
        <w:rPr>
          <w:rFonts w:eastAsia="ヒラギノ角ゴ Pro W3" w:asciiTheme="majorHAnsi" w:hAnsiTheme="majorHAnsi" w:cstheme="majorHAnsi"/>
        </w:rPr>
        <w:t xml:space="preserve">of </w:t>
      </w:r>
      <w:bookmarkStart w:name="_644ba615_4b37_4502_bda5_04f7cb43e56c" w:id="2854"/>
      <w:bookmarkStart w:name="_1da1a6fb_fc91_42f5_88dc_65ccae7cfa4c" w:id="2855"/>
      <w:r w:rsidRPr="007A1879">
        <w:rPr>
          <w:rFonts w:eastAsia="ヒラギノ角ゴ Pro W3" w:asciiTheme="majorHAnsi" w:hAnsiTheme="majorHAnsi" w:cstheme="majorHAnsi"/>
        </w:rPr>
        <w:t>40</w:t>
      </w:r>
      <w:bookmarkEnd w:id="2854"/>
      <w:bookmarkEnd w:id="2855"/>
      <w:r>
        <w:rPr>
          <w:rFonts w:eastAsia="ヒラギノ角ゴ Pro W3" w:asciiTheme="majorHAnsi" w:hAnsiTheme="majorHAnsi" w:cstheme="majorHAnsi"/>
        </w:rPr>
        <w:t xml:space="preserve"> (</w:t>
      </w:r>
      <w:bookmarkStart w:name="_e04c496a_4815_458f_a117_dbc7ff73ccd0" w:id="2856"/>
      <w:r w:rsidRPr="007A1879">
        <w:rPr>
          <w:rFonts w:eastAsia="ヒラギノ角ゴ Pro W3" w:asciiTheme="majorHAnsi" w:hAnsiTheme="majorHAnsi" w:cstheme="majorHAnsi"/>
        </w:rPr>
        <w:t>307</w:t>
      </w:r>
      <w:bookmarkEnd w:id="2856"/>
      <w:r>
        <w:rPr>
          <w:rFonts w:eastAsia="ヒラギノ角ゴ Pro W3" w:asciiTheme="majorHAnsi" w:hAnsiTheme="majorHAnsi" w:cstheme="majorHAnsi"/>
        </w:rPr>
        <w:t>/</w:t>
      </w:r>
      <w:bookmarkStart w:name="_02d7ab5b_22a7_4840_8137_0a52c648cb30" w:id="2857"/>
      <w:r w:rsidRPr="007A1879">
        <w:rPr>
          <w:rFonts w:eastAsia="ヒラギノ角ゴ Pro W3" w:asciiTheme="majorHAnsi" w:hAnsiTheme="majorHAnsi" w:cstheme="majorHAnsi"/>
        </w:rPr>
        <w:t>nil</w:t>
      </w:r>
      <w:bookmarkEnd w:id="2857"/>
      <w:r>
        <w:rPr>
          <w:rFonts w:eastAsia="ヒラギノ角ゴ Pro W3" w:asciiTheme="majorHAnsi" w:hAnsiTheme="majorHAnsi" w:cstheme="majorHAnsi"/>
        </w:rPr>
        <w:t>/</w:t>
      </w:r>
      <w:bookmarkStart w:name="_b970e4b3_9de2_4398_b832_897f8394abe4" w:id="2858"/>
      <w:r w:rsidRPr="007A1879">
        <w:rPr>
          <w:rFonts w:eastAsia="ヒラギノ角ゴ Pro W3" w:asciiTheme="majorHAnsi" w:hAnsiTheme="majorHAnsi" w:cstheme="majorHAnsi"/>
        </w:rPr>
        <w:t>nil</w:t>
      </w:r>
      <w:bookmarkEnd w:id="2858"/>
      <w:r>
        <w:rPr>
          <w:rFonts w:eastAsia="ヒラギノ角ゴ Pro W3" w:asciiTheme="majorHAnsi" w:hAnsiTheme="majorHAnsi" w:cstheme="majorHAnsi"/>
        </w:rPr>
        <w:t xml:space="preserve"> - for the year 2021, </w:t>
      </w:r>
      <w:bookmarkStart w:name="_3f731fa1_21ae_4026_9a2d_d086030570ce" w:id="2859"/>
      <w:r w:rsidRPr="007A1879">
        <w:rPr>
          <w:rFonts w:eastAsia="ヒラギノ角ゴ Pro W3" w:asciiTheme="majorHAnsi" w:hAnsiTheme="majorHAnsi" w:cstheme="majorHAnsi"/>
        </w:rPr>
        <w:t>434</w:t>
      </w:r>
      <w:bookmarkEnd w:id="2859"/>
      <w:r>
        <w:rPr>
          <w:rFonts w:eastAsia="ヒラギノ角ゴ Pro W3" w:asciiTheme="majorHAnsi" w:hAnsiTheme="majorHAnsi" w:cstheme="majorHAnsi"/>
        </w:rPr>
        <w:t>/</w:t>
      </w:r>
      <w:bookmarkStart w:name="_b286e784_bac1_440c_8b4e_0df39e026f61" w:id="2860"/>
      <w:r w:rsidRPr="007A1879">
        <w:rPr>
          <w:rFonts w:eastAsia="ヒラギノ角ゴ Pro W3" w:asciiTheme="majorHAnsi" w:hAnsiTheme="majorHAnsi" w:cstheme="majorHAnsi"/>
        </w:rPr>
        <w:t>nil</w:t>
      </w:r>
      <w:bookmarkEnd w:id="2860"/>
      <w:r>
        <w:rPr>
          <w:rFonts w:eastAsia="ヒラギノ角ゴ Pro W3" w:asciiTheme="majorHAnsi" w:hAnsiTheme="majorHAnsi" w:cstheme="majorHAnsi"/>
        </w:rPr>
        <w:t>/</w:t>
      </w:r>
      <w:bookmarkStart w:name="_410b5417_c4aa_495a_80ce_929b04fa9966" w:id="2861"/>
      <w:bookmarkStart w:name="_089c312b_6cb0_4b33_8bb4_8cf2864ca3e6" w:id="2862"/>
      <w:r w:rsidRPr="007A1879">
        <w:rPr>
          <w:rFonts w:eastAsia="ヒラギノ角ゴ Pro W3" w:asciiTheme="majorHAnsi" w:hAnsiTheme="majorHAnsi" w:cstheme="majorHAnsi"/>
        </w:rPr>
        <w:t>12</w:t>
      </w:r>
      <w:bookmarkEnd w:id="2861"/>
      <w:bookmarkEnd w:id="2862"/>
      <w:r>
        <w:rPr>
          <w:rFonts w:eastAsia="ヒラギノ角ゴ Pro W3" w:asciiTheme="majorHAnsi" w:hAnsiTheme="majorHAnsi" w:cstheme="majorHAnsi"/>
        </w:rPr>
        <w:t xml:space="preserve"> loss - for the year 2020).</w:t>
      </w:r>
    </w:p>
    <w:p w:rsidR="009534E2" w:rsidRDefault="003369EB">
      <w:pPr>
        <w:rPr>
          <w:rFonts w:eastAsia="Times New Roman" w:asciiTheme="majorHAnsi" w:hAnsiTheme="majorHAnsi" w:cstheme="majorHAnsi"/>
        </w:rPr>
      </w:pPr>
      <w:r>
        <w:rPr>
          <w:rFonts w:eastAsia="Times New Roman" w:asciiTheme="majorHAnsi" w:hAnsiTheme="majorHAnsi" w:cstheme="majorHAnsi"/>
        </w:rPr>
        <w:br w:type="page"/>
      </w:r>
    </w:p>
    <w:p w:rsidR="009534E2" w:rsidRDefault="003369EB">
      <w:pPr>
        <w:pStyle w:val="Heading1"/>
        <w:ind w:left="360" w:hanging="360"/>
        <w:rPr>
          <w:bCs/>
          <w:lang w:eastAsia="ru-RU"/>
        </w:rPr>
      </w:pPr>
      <w:r>
        <w:rPr>
          <w:rFonts w:asciiTheme="minorHAnsi" w:hAnsiTheme="minorHAnsi" w:eastAsiaTheme="minorHAnsi" w:cstheme="minorHAnsi"/>
          <w:szCs w:val="20"/>
        </w:rPr>
        <w:t>30</w:t>
      </w:r>
      <w:r>
        <w:rPr>
          <w:bCs/>
        </w:rPr>
        <w:t>.</w:t>
      </w:r>
      <w:r>
        <w:rPr>
          <w:bCs/>
        </w:rPr>
        <w:tab/>
        <w:t xml:space="preserve">Risk </w:t>
      </w:r>
      <w:r>
        <w:rPr>
          <w:bCs/>
          <w:lang w:eastAsia="ru-RU"/>
        </w:rPr>
        <w:t>management</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main risks that could adversely affect the Group’s financial assets, liabilities or future cash flows are foreign exchange risk, liquidity and credit risk. Management reviews and approves policies for managing each of the risks which are summarized below.</w:t>
      </w:r>
    </w:p>
    <w:p w:rsidR="009534E2" w:rsidRDefault="003369EB">
      <w:pPr>
        <w:pStyle w:val="Heading4"/>
        <w:rPr>
          <w:bCs/>
        </w:rPr>
      </w:pPr>
      <w:r>
        <w:rPr>
          <w:bCs/>
        </w:rPr>
        <w:t>Foreign exchange risk</w:t>
      </w:r>
    </w:p>
    <w:p w:rsidR="009534E2" w:rsidRDefault="003369EB">
      <w:pPr>
        <w:pStyle w:val="BodyText"/>
        <w:rPr>
          <w:rFonts w:eastAsia="Times New Roman" w:asciiTheme="majorHAnsi" w:hAnsiTheme="majorHAnsi" w:cstheme="majorHAnsi"/>
        </w:rPr>
      </w:pPr>
      <w:r>
        <w:rPr>
          <w:rFonts w:eastAsia="Times New Roman" w:asciiTheme="majorHAnsi" w:hAnsiTheme="majorHAnsi" w:cstheme="majorHAnsi"/>
        </w:rPr>
        <w:t>Foreign exchange risk is the risk that fluctuations in exchange rates will adversely affect items in the Group’s consolidated statement of comprehensive income, statement of financial position and/or cash flows. Foreign currency denominated assets and liabilities give rise to foreign exchange exposure.</w:t>
      </w:r>
    </w:p>
    <w:p w:rsidR="009534E2" w:rsidRDefault="003369EB">
      <w:pPr>
        <w:pStyle w:val="Heading2"/>
      </w:pPr>
      <w:r>
        <w:t>Foreign currency sensitivity</w:t>
      </w:r>
    </w:p>
    <w:p w:rsidR="009534E2" w:rsidRDefault="003369EB">
      <w:pPr>
        <w:pStyle w:val="BodyText"/>
        <w:keepNext/>
        <w:keepLines/>
        <w:spacing w:after="0"/>
        <w:rPr>
          <w:rFonts w:eastAsia="Times New Roman" w:asciiTheme="majorHAnsi" w:hAnsiTheme="majorHAnsi" w:cstheme="majorHAnsi"/>
        </w:rPr>
      </w:pPr>
      <w:bookmarkStart w:name="_78144c04_2255_455b_ad0e_c05bca5aeb64" w:id="2863"/>
      <w:bookmarkStart w:name="_55bbe538_6a26_4b0e_9b0b_a58cc901a56b" w:id="2864"/>
      <w:r>
        <w:rPr>
          <w:rFonts w:eastAsia="Times New Roman" w:asciiTheme="majorHAnsi" w:hAnsiTheme="majorHAnsi" w:cstheme="majorHAnsi"/>
        </w:rPr>
        <w:t>The following table demonstrate</w:t>
      </w:r>
      <w:r w:rsidR="007A1879">
        <w:rPr>
          <w:rFonts w:eastAsia="Times New Roman" w:asciiTheme="majorHAnsi" w:hAnsiTheme="majorHAnsi" w:cstheme="majorHAnsi"/>
        </w:rPr>
        <w:t>s</w:t>
      </w:r>
      <w:r>
        <w:rPr>
          <w:rFonts w:eastAsia="Times New Roman" w:asciiTheme="majorHAnsi" w:hAnsiTheme="majorHAnsi" w:cstheme="majorHAnsi"/>
        </w:rPr>
        <w:t xml:space="preserve"> the sensitivity to a reasonably possible change in </w:t>
      </w:r>
      <w:r w:rsidR="007A1879">
        <w:rPr>
          <w:rFonts w:eastAsia="Times New Roman" w:asciiTheme="majorHAnsi" w:hAnsiTheme="majorHAnsi" w:cstheme="majorHAnsi"/>
        </w:rPr>
        <w:t xml:space="preserve">the </w:t>
      </w:r>
      <w:r>
        <w:rPr>
          <w:rFonts w:eastAsia="Times New Roman" w:asciiTheme="majorHAnsi" w:hAnsiTheme="majorHAnsi" w:cstheme="majorHAnsi"/>
        </w:rPr>
        <w:t xml:space="preserve">US Dollar exchange rates against </w:t>
      </w:r>
      <w:r w:rsidR="007A1879">
        <w:rPr>
          <w:rFonts w:eastAsia="Times New Roman" w:asciiTheme="majorHAnsi" w:hAnsiTheme="majorHAnsi" w:cstheme="majorHAnsi"/>
        </w:rPr>
        <w:t xml:space="preserve">the </w:t>
      </w:r>
      <w:r>
        <w:rPr>
          <w:rFonts w:eastAsia="Times New Roman" w:asciiTheme="majorHAnsi" w:hAnsiTheme="majorHAnsi" w:cstheme="majorHAnsi"/>
        </w:rPr>
        <w:t>Ruble, with all other variables held constant. The impact on the Group’s profit before tax is due to changes in the carrying amount of monetary assets and liabilities denominated in US Dollar</w:t>
      </w:r>
      <w:r w:rsidR="007A1879">
        <w:rPr>
          <w:rFonts w:eastAsia="Times New Roman" w:asciiTheme="majorHAnsi" w:hAnsiTheme="majorHAnsi" w:cstheme="majorHAnsi"/>
        </w:rPr>
        <w:t>s</w:t>
      </w:r>
      <w:r>
        <w:rPr>
          <w:rFonts w:eastAsia="Times New Roman" w:asciiTheme="majorHAnsi" w:hAnsiTheme="majorHAnsi" w:cstheme="majorHAnsi"/>
        </w:rPr>
        <w:t xml:space="preserve"> when these currencies are not functional currencies of the respective Group subsidiaries. The Group’s exposure to foreign currency changes for all other currencies is not material.</w:t>
      </w:r>
      <w:bookmarkEnd w:id="2863"/>
    </w:p>
    <w:p w:rsidR="009534E2" w:rsidRDefault="009534E2">
      <w:pPr>
        <w:pStyle w:val="BodyText"/>
        <w:keepNext/>
        <w:spacing w:after="0"/>
        <w:rPr>
          <w:rFonts w:eastAsia="Times New Roman" w:asciiTheme="majorHAnsi" w:hAnsiTheme="majorHAnsi" w:cstheme="majorHAnsi"/>
        </w:rPr>
      </w:pPr>
      <w:bookmarkStart w:name="_35aa0fe4_d636_40cb_aa40_ec20c3de754b" w:id="2865"/>
      <w:bookmarkEnd w:id="2864"/>
    </w:p>
    <w:tbl>
      <w:tblPr>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912"/>
        <w:gridCol w:w="161"/>
        <w:gridCol w:w="1628"/>
        <w:gridCol w:w="161"/>
        <w:gridCol w:w="1778"/>
      </w:tblGrid>
      <w:tr w:rsidR="003D0CAA" w:rsidTr="003D0CAA">
        <w:trPr>
          <w:trHeight w:val="20" w:hRule="exact"/>
          <w:jc w:val="center"/>
        </w:trPr>
        <w:tc>
          <w:tcPr>
            <w:tcW w:w="2843"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8c2d1202_ce80_4e96_9cac_64d7dafa4a47" w:colFirst="0" w:colLast="0" w:id="2866"/>
            <w:bookmarkStart w:name="_2d8c6a7f_2af8_4e8c_9a27_4ca5a58cef44" w:colFirst="1" w:colLast="1" w:id="2867"/>
            <w:bookmarkStart w:name="_5e65a9cc_8116_431a_9d32_b8eb07219ff7" w:colFirst="2" w:colLast="2" w:id="2868"/>
            <w:bookmarkStart w:name="_c4e74dca_51f8_4b02_80a0_5eb8a6ce707d" w:colFirst="3" w:colLast="3" w:id="2869"/>
            <w:bookmarkStart w:name="_d2e09d77_77f6_4e13_81d2_1151e0242426" w:colFirst="4" w:colLast="4" w:id="2870"/>
            <w:bookmarkStart w:name="_061cb875_b4ed_422f_af28_6cd512fd4eff" w:id="2871"/>
          </w:p>
        </w:tc>
        <w:tc>
          <w:tcPr>
            <w:tcW w:w="9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42"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9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1029"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3D0CAA" w:rsidTr="003D0CAA">
        <w:trPr>
          <w:jc w:val="center"/>
        </w:trPr>
        <w:tc>
          <w:tcPr>
            <w:tcW w:w="2843"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bf7c5efe_189f_4b25_adc7_6fe16a1112f0" w:id="2872"/>
            <w:bookmarkEnd w:id="2866"/>
            <w:bookmarkEnd w:id="2867"/>
            <w:bookmarkEnd w:id="2868"/>
            <w:bookmarkEnd w:id="2869"/>
            <w:bookmarkEnd w:id="2870"/>
          </w:p>
        </w:tc>
        <w:tc>
          <w:tcPr>
            <w:tcW w:w="93"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942" w:type="pct"/>
            <w:tcBorders>
              <w:top w:val="nil"/>
              <w:left w:val="nil"/>
              <w:bottom w:val="nil"/>
              <w:right w:val="nil"/>
              <w:tl2br w:val="nil"/>
              <w:tr2bl w:val="nil"/>
            </w:tcBorders>
            <w:shd w:val="clear" w:color="auto" w:fill="auto"/>
            <w:noWrap/>
            <w:vAlign w:val="bottom"/>
          </w:tcPr>
          <w:p w:rsidR="009534E2" w:rsidRDefault="003D0CAA">
            <w:pPr>
              <w:keepNext/>
              <w:spacing w:after="1"/>
              <w:jc w:val="center"/>
              <w:rPr>
                <w:rFonts w:asciiTheme="majorHAnsi" w:hAnsiTheme="majorHAnsi" w:cstheme="majorHAnsi"/>
                <w:b/>
                <w:color w:val="000000"/>
                <w:sz w:val="16"/>
              </w:rPr>
            </w:pPr>
            <w:r w:rsidRPr="003D0CAA">
              <w:rPr>
                <w:rFonts w:asciiTheme="majorHAnsi" w:hAnsiTheme="majorHAnsi" w:cstheme="majorHAnsi"/>
                <w:b/>
                <w:color w:val="000000"/>
                <w:sz w:val="16"/>
              </w:rPr>
              <w:t xml:space="preserve">change in </w:t>
            </w:r>
            <w:r>
              <w:rPr>
                <w:rFonts w:asciiTheme="majorHAnsi" w:hAnsiTheme="majorHAnsi" w:cstheme="majorHAnsi"/>
                <w:b/>
                <w:color w:val="000000"/>
                <w:sz w:val="16"/>
              </w:rPr>
              <w:t xml:space="preserve">the </w:t>
            </w:r>
            <w:r w:rsidRPr="003D0CAA">
              <w:rPr>
                <w:rFonts w:asciiTheme="majorHAnsi" w:hAnsiTheme="majorHAnsi" w:cstheme="majorHAnsi"/>
                <w:b/>
                <w:color w:val="000000"/>
                <w:sz w:val="16"/>
              </w:rPr>
              <w:t>US Dollar</w:t>
            </w:r>
          </w:p>
        </w:tc>
        <w:tc>
          <w:tcPr>
            <w:tcW w:w="93" w:type="pct"/>
            <w:tcBorders>
              <w:top w:val="nil"/>
              <w:left w:val="nil"/>
              <w:bottom w:val="nil"/>
              <w:right w:val="nil"/>
              <w:tl2br w:val="nil"/>
              <w:tr2bl w:val="nil"/>
            </w:tcBorders>
            <w:shd w:val="clear" w:color="auto" w:fill="auto"/>
            <w:noWrap/>
            <w:vAlign w:val="bottom"/>
          </w:tcPr>
          <w:p w:rsidR="009534E2" w:rsidRDefault="009534E2">
            <w:pPr>
              <w:keepNext/>
              <w:spacing w:after="1"/>
              <w:rPr>
                <w:rFonts w:asciiTheme="majorHAnsi" w:hAnsiTheme="majorHAnsi" w:cstheme="majorHAnsi"/>
                <w:b/>
                <w:color w:val="000000"/>
                <w:sz w:val="16"/>
              </w:rPr>
            </w:pPr>
          </w:p>
        </w:tc>
        <w:tc>
          <w:tcPr>
            <w:tcW w:w="1029"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Effect on profit before tax</w:t>
            </w:r>
          </w:p>
        </w:tc>
      </w:tr>
      <w:tr w:rsidR="003D0CAA" w:rsidTr="003D0CAA">
        <w:trPr>
          <w:jc w:val="center"/>
        </w:trPr>
        <w:tc>
          <w:tcPr>
            <w:tcW w:w="2843"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20b6f11b_f480_4ebb_a38d_b748f8cd25b4" w:id="2873"/>
            <w:bookmarkEnd w:id="2872"/>
          </w:p>
        </w:tc>
        <w:tc>
          <w:tcPr>
            <w:tcW w:w="93"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942" w:type="pct"/>
            <w:tcBorders>
              <w:top w:val="nil"/>
              <w:left w:val="nil"/>
              <w:bottom w:val="single" w:color="000000" w:sz="4" w:space="0"/>
              <w:right w:val="nil"/>
              <w:tl2br w:val="nil"/>
              <w:tr2bl w:val="nil"/>
            </w:tcBorders>
            <w:shd w:val="clear" w:color="auto" w:fill="auto"/>
            <w:noWrap/>
            <w:vAlign w:val="bottom"/>
          </w:tcPr>
          <w:p w:rsidR="009534E2" w:rsidRDefault="003D0CAA">
            <w:pPr>
              <w:keepNext/>
              <w:spacing w:after="1"/>
              <w:jc w:val="center"/>
              <w:rPr>
                <w:rFonts w:asciiTheme="majorHAnsi" w:hAnsiTheme="majorHAnsi" w:cstheme="majorHAnsi"/>
                <w:b/>
                <w:color w:val="000000"/>
                <w:sz w:val="16"/>
              </w:rPr>
            </w:pPr>
            <w:r>
              <w:rPr>
                <w:rFonts w:asciiTheme="majorHAnsi" w:hAnsiTheme="majorHAnsi" w:cstheme="majorHAnsi"/>
                <w:b/>
                <w:color w:val="000000"/>
                <w:sz w:val="16"/>
              </w:rPr>
              <w:t>vs Ruble exchange rate</w:t>
            </w:r>
          </w:p>
        </w:tc>
        <w:tc>
          <w:tcPr>
            <w:tcW w:w="93"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1029"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Gain/(loss)</w:t>
            </w:r>
          </w:p>
        </w:tc>
      </w:tr>
      <w:tr w:rsidR="003D0CAA" w:rsidTr="003D0CAA">
        <w:trPr>
          <w:jc w:val="center"/>
        </w:trPr>
        <w:tc>
          <w:tcPr>
            <w:tcW w:w="2843"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0a4e703d_01af_4e37_98c7_61ae927b34a1" w:id="2874"/>
            <w:bookmarkStart w:name="_a6db62a9_6ce6_49ee_b6c6_322bc2601029" w:colFirst="2" w:colLast="2" w:id="2875"/>
            <w:bookmarkStart w:name="_1057aab2_831b_464c_a03a_406a3451ac5b" w:colFirst="4" w:colLast="4" w:id="2876"/>
            <w:bookmarkEnd w:id="2873"/>
            <w:r>
              <w:rPr>
                <w:rFonts w:eastAsia="Times New Roman" w:asciiTheme="majorHAnsi" w:hAnsiTheme="majorHAnsi" w:cstheme="majorHAnsi"/>
                <w:color w:val="000000"/>
              </w:rPr>
              <w:t>2022</w:t>
            </w:r>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942" w:type="pct"/>
            <w:tcBorders>
              <w:top w:val="nil"/>
              <w:left w:val="nil"/>
              <w:bottom w:val="nil"/>
              <w:right w:val="nil"/>
              <w:tl2br w:val="nil"/>
              <w:tr2bl w:val="nil"/>
            </w:tcBorders>
            <w:shd w:val="clear" w:color="auto" w:fill="CCEEFF"/>
            <w:noWrap/>
            <w:vAlign w:val="bottom"/>
          </w:tcPr>
          <w:p w:rsidRPr="003D0CAA" w:rsidR="009534E2" w:rsidRDefault="003369EB">
            <w:pPr>
              <w:keepNext/>
              <w:spacing w:after="1"/>
              <w:jc w:val="center"/>
              <w:rPr>
                <w:rFonts w:asciiTheme="majorHAnsi" w:hAnsiTheme="majorHAnsi" w:cstheme="majorHAnsi"/>
                <w:color w:val="000000"/>
              </w:rPr>
            </w:pPr>
            <w:r w:rsidRPr="003D0CAA">
              <w:rPr>
                <w:rFonts w:eastAsia="Times New Roman" w:asciiTheme="majorHAnsi" w:hAnsiTheme="majorHAnsi" w:cstheme="majorHAnsi"/>
                <w:color w:val="000000"/>
              </w:rPr>
              <w:t>+10%</w:t>
            </w:r>
          </w:p>
        </w:tc>
        <w:tc>
          <w:tcPr>
            <w:tcW w:w="93"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1029" w:type="pct"/>
            <w:tcBorders>
              <w:top w:val="nil"/>
              <w:left w:val="nil"/>
              <w:bottom w:val="nil"/>
              <w:right w:val="nil"/>
              <w:tl2br w:val="nil"/>
              <w:tr2bl w:val="nil"/>
            </w:tcBorders>
            <w:shd w:val="clear" w:color="auto" w:fill="CCEEFF"/>
            <w:noWrap/>
            <w:vAlign w:val="bottom"/>
          </w:tcPr>
          <w:p w:rsidRPr="003D0CAA" w:rsidR="009534E2" w:rsidRDefault="003369EB">
            <w:pPr>
              <w:keepNext/>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263</w:t>
            </w:r>
          </w:p>
        </w:tc>
      </w:tr>
      <w:tr w:rsidR="003D0CAA" w:rsidTr="003D0CAA">
        <w:trPr>
          <w:jc w:val="center"/>
        </w:trPr>
        <w:tc>
          <w:tcPr>
            <w:tcW w:w="2843" w:type="pct"/>
            <w:tcBorders>
              <w:top w:val="nil"/>
              <w:left w:val="nil"/>
              <w:bottom w:val="nil"/>
              <w:right w:val="nil"/>
              <w:tl2br w:val="nil"/>
              <w:tr2bl w:val="nil"/>
            </w:tcBorders>
            <w:vAlign w:val="bottom"/>
          </w:tcPr>
          <w:p w:rsidR="009534E2" w:rsidRDefault="009534E2">
            <w:pPr>
              <w:keepNext/>
              <w:spacing w:after="1"/>
              <w:rPr>
                <w:rFonts w:asciiTheme="majorHAnsi" w:hAnsiTheme="majorHAnsi" w:cstheme="majorHAnsi"/>
                <w:color w:val="000000"/>
              </w:rPr>
            </w:pPr>
            <w:bookmarkStart w:name="_ce47bd14_8723_4cbf_afc7_465c25323e16" w:id="2877"/>
            <w:bookmarkStart w:name="_220bcb1e_dc1d_4334_8cca_90b2d35a1020" w:colFirst="2" w:colLast="2" w:id="2878"/>
            <w:bookmarkStart w:name="_d8e1682b_3576_4951_8a47_b78826af47bc" w:colFirst="4" w:colLast="4" w:id="2879"/>
            <w:bookmarkEnd w:id="2874"/>
            <w:bookmarkEnd w:id="2875"/>
            <w:bookmarkEnd w:id="2876"/>
          </w:p>
        </w:tc>
        <w:tc>
          <w:tcPr>
            <w:tcW w:w="93"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942" w:type="pct"/>
            <w:tcBorders>
              <w:top w:val="nil"/>
              <w:left w:val="nil"/>
              <w:bottom w:val="nil"/>
              <w:right w:val="nil"/>
              <w:tl2br w:val="nil"/>
              <w:tr2bl w:val="nil"/>
            </w:tcBorders>
            <w:noWrap/>
            <w:vAlign w:val="bottom"/>
          </w:tcPr>
          <w:p w:rsidRPr="003D0CAA" w:rsidR="009534E2" w:rsidRDefault="003369EB">
            <w:pPr>
              <w:keepNext/>
              <w:spacing w:after="1"/>
              <w:jc w:val="center"/>
              <w:rPr>
                <w:rFonts w:asciiTheme="majorHAnsi" w:hAnsiTheme="majorHAnsi" w:cstheme="majorHAnsi"/>
                <w:color w:val="000000"/>
              </w:rPr>
            </w:pPr>
            <w:r w:rsidRPr="003D0CAA">
              <w:rPr>
                <w:rFonts w:eastAsia="Times New Roman" w:asciiTheme="majorHAnsi" w:hAnsiTheme="majorHAnsi" w:cstheme="majorHAnsi"/>
                <w:color w:val="000000"/>
              </w:rPr>
              <w:t>-10%</w:t>
            </w:r>
          </w:p>
        </w:tc>
        <w:tc>
          <w:tcPr>
            <w:tcW w:w="93"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1029" w:type="pct"/>
            <w:tcBorders>
              <w:top w:val="nil"/>
              <w:left w:val="nil"/>
              <w:bottom w:val="nil"/>
              <w:right w:val="nil"/>
              <w:tl2br w:val="nil"/>
              <w:tr2bl w:val="nil"/>
            </w:tcBorders>
            <w:noWrap/>
            <w:vAlign w:val="bottom"/>
          </w:tcPr>
          <w:p w:rsidRPr="003D0CAA" w:rsidR="009534E2" w:rsidRDefault="003369EB">
            <w:pPr>
              <w:keepNext/>
              <w:spacing w:after="1"/>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(263)</w:t>
            </w:r>
          </w:p>
        </w:tc>
      </w:tr>
      <w:tr w:rsidR="003D0CAA" w:rsidTr="003D0CAA">
        <w:trPr>
          <w:jc w:val="center"/>
        </w:trPr>
        <w:tc>
          <w:tcPr>
            <w:tcW w:w="2843" w:type="pct"/>
            <w:tcBorders>
              <w:top w:val="nil"/>
              <w:left w:val="nil"/>
              <w:bottom w:val="nil"/>
              <w:right w:val="nil"/>
              <w:tl2br w:val="nil"/>
              <w:tr2bl w:val="nil"/>
            </w:tcBorders>
            <w:shd w:val="clear" w:color="auto" w:fill="CCEEFF"/>
            <w:vAlign w:val="bottom"/>
          </w:tcPr>
          <w:p w:rsidR="009534E2" w:rsidRDefault="009534E2">
            <w:pPr>
              <w:keepNext/>
              <w:spacing w:after="1"/>
              <w:rPr>
                <w:rFonts w:asciiTheme="majorHAnsi" w:hAnsiTheme="majorHAnsi" w:cstheme="majorHAnsi"/>
                <w:color w:val="000000"/>
              </w:rPr>
            </w:pPr>
            <w:bookmarkStart w:name="_ae0de3f6_f8a2_41d5_bbe9_e6ccbd61638d" w:id="2880"/>
            <w:bookmarkEnd w:id="2877"/>
            <w:bookmarkEnd w:id="2878"/>
            <w:bookmarkEnd w:id="2879"/>
          </w:p>
        </w:tc>
        <w:tc>
          <w:tcPr>
            <w:tcW w:w="93"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942"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rFonts w:asciiTheme="majorHAnsi" w:hAnsiTheme="majorHAnsi" w:cstheme="majorHAnsi"/>
                <w:color w:val="000000"/>
              </w:rPr>
            </w:pPr>
          </w:p>
        </w:tc>
        <w:tc>
          <w:tcPr>
            <w:tcW w:w="93"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1029" w:type="pct"/>
            <w:tcBorders>
              <w:top w:val="nil"/>
              <w:left w:val="nil"/>
              <w:bottom w:val="nil"/>
              <w:right w:val="nil"/>
              <w:tl2br w:val="nil"/>
              <w:tr2bl w:val="nil"/>
            </w:tcBorders>
            <w:shd w:val="clear" w:color="auto" w:fill="CCEEFF"/>
            <w:noWrap/>
            <w:vAlign w:val="bottom"/>
          </w:tcPr>
          <w:p w:rsidR="009534E2" w:rsidRDefault="009534E2">
            <w:pPr>
              <w:keepNext/>
              <w:spacing w:after="1"/>
              <w:jc w:val="right"/>
              <w:rPr>
                <w:rFonts w:asciiTheme="majorHAnsi" w:hAnsiTheme="majorHAnsi" w:cstheme="majorHAnsi"/>
                <w:color w:val="000000"/>
              </w:rPr>
            </w:pPr>
          </w:p>
        </w:tc>
      </w:tr>
      <w:tr w:rsidR="003D0CAA" w:rsidTr="003D0CAA">
        <w:trPr>
          <w:jc w:val="center"/>
        </w:trPr>
        <w:tc>
          <w:tcPr>
            <w:tcW w:w="2843"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24552805_69db_4d83_b2b1_2954e5a61318" w:id="2881"/>
            <w:bookmarkStart w:name="_acb33ae3_5cbc_46cd_82cd_3ff604ab1b1e" w:colFirst="2" w:colLast="2" w:id="2882"/>
            <w:bookmarkStart w:name="_0de3aa1f_2f35_46c6_84f1_7fb0fa061bdc" w:colFirst="4" w:colLast="4" w:id="2883"/>
            <w:bookmarkEnd w:id="2880"/>
            <w:r>
              <w:rPr>
                <w:rFonts w:eastAsia="Times New Roman" w:asciiTheme="majorHAnsi" w:hAnsiTheme="majorHAnsi" w:cstheme="majorHAnsi"/>
                <w:color w:val="000000"/>
              </w:rPr>
              <w:t>2021</w:t>
            </w:r>
          </w:p>
        </w:tc>
        <w:tc>
          <w:tcPr>
            <w:tcW w:w="93" w:type="pct"/>
            <w:tcBorders>
              <w:top w:val="nil"/>
              <w:left w:val="nil"/>
              <w:bottom w:val="nil"/>
              <w:right w:val="nil"/>
              <w:tl2br w:val="nil"/>
              <w:tr2bl w:val="nil"/>
            </w:tcBorders>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942" w:type="pct"/>
            <w:tcBorders>
              <w:top w:val="nil"/>
              <w:left w:val="nil"/>
              <w:bottom w:val="nil"/>
              <w:right w:val="nil"/>
              <w:tl2br w:val="nil"/>
              <w:tr2bl w:val="nil"/>
            </w:tcBorders>
            <w:noWrap/>
            <w:vAlign w:val="bottom"/>
          </w:tcPr>
          <w:p w:rsidRPr="003D0CAA" w:rsidR="009534E2" w:rsidRDefault="003369EB">
            <w:pPr>
              <w:keepNext/>
              <w:spacing w:after="1"/>
              <w:jc w:val="center"/>
              <w:rPr>
                <w:rFonts w:asciiTheme="majorHAnsi" w:hAnsiTheme="majorHAnsi" w:cstheme="majorHAnsi"/>
                <w:color w:val="000000"/>
              </w:rPr>
            </w:pPr>
            <w:r w:rsidRPr="003D0CAA">
              <w:rPr>
                <w:rFonts w:eastAsia="Times New Roman" w:asciiTheme="majorHAnsi" w:hAnsiTheme="majorHAnsi" w:cstheme="majorHAnsi"/>
                <w:color w:val="000000"/>
              </w:rPr>
              <w:t>+10%</w:t>
            </w:r>
          </w:p>
        </w:tc>
        <w:tc>
          <w:tcPr>
            <w:tcW w:w="93"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1029" w:type="pct"/>
            <w:tcBorders>
              <w:top w:val="nil"/>
              <w:left w:val="nil"/>
              <w:bottom w:val="nil"/>
              <w:right w:val="nil"/>
              <w:tl2br w:val="nil"/>
              <w:tr2bl w:val="nil"/>
            </w:tcBorders>
            <w:noWrap/>
            <w:vAlign w:val="bottom"/>
          </w:tcPr>
          <w:p w:rsidRPr="003D0CAA" w:rsidR="009534E2" w:rsidRDefault="003369EB">
            <w:pPr>
              <w:keepNext/>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122</w:t>
            </w:r>
          </w:p>
        </w:tc>
      </w:tr>
      <w:tr w:rsidR="003D0CAA" w:rsidTr="003D0CAA">
        <w:trPr>
          <w:jc w:val="center"/>
        </w:trPr>
        <w:tc>
          <w:tcPr>
            <w:tcW w:w="2843" w:type="pct"/>
            <w:tcBorders>
              <w:top w:val="nil"/>
              <w:left w:val="nil"/>
              <w:bottom w:val="nil"/>
              <w:right w:val="nil"/>
              <w:tl2br w:val="nil"/>
              <w:tr2bl w:val="nil"/>
            </w:tcBorders>
            <w:shd w:val="clear" w:color="auto" w:fill="CCEEFF"/>
            <w:vAlign w:val="bottom"/>
          </w:tcPr>
          <w:p w:rsidR="009534E2" w:rsidRDefault="009534E2">
            <w:pPr>
              <w:keepNext/>
              <w:spacing w:after="1"/>
              <w:rPr>
                <w:rFonts w:asciiTheme="majorHAnsi" w:hAnsiTheme="majorHAnsi" w:cstheme="majorHAnsi"/>
                <w:color w:val="000000"/>
              </w:rPr>
            </w:pPr>
            <w:bookmarkStart w:name="_af0ea861_76c3_48df_a4e9_c05848567e20" w:id="2884"/>
            <w:bookmarkStart w:name="_21872c24_a1b7_42e4_b925_69a3687e1df0" w:colFirst="2" w:colLast="2" w:id="2885"/>
            <w:bookmarkStart w:name="_66cf061b_62e8_4c99_9b6e_10c74e17e83e" w:colFirst="4" w:colLast="4" w:id="2886"/>
            <w:bookmarkEnd w:id="2881"/>
            <w:bookmarkEnd w:id="2882"/>
            <w:bookmarkEnd w:id="2883"/>
          </w:p>
        </w:tc>
        <w:tc>
          <w:tcPr>
            <w:tcW w:w="93" w:type="pct"/>
            <w:tcBorders>
              <w:top w:val="nil"/>
              <w:left w:val="nil"/>
              <w:bottom w:val="nil"/>
              <w:right w:val="nil"/>
              <w:tl2br w:val="nil"/>
              <w:tr2bl w:val="nil"/>
            </w:tcBorders>
            <w:shd w:val="clear" w:color="auto" w:fill="CCEEFF"/>
            <w:noWrap/>
            <w:vAlign w:val="bottom"/>
          </w:tcPr>
          <w:p w:rsidR="009534E2" w:rsidRDefault="003369EB">
            <w:pPr>
              <w:keepNext/>
              <w:spacing w:after="1"/>
              <w:rPr>
                <w:rFonts w:asciiTheme="majorHAnsi" w:hAnsiTheme="majorHAnsi" w:cstheme="majorHAnsi"/>
                <w:color w:val="000000"/>
              </w:rPr>
            </w:pPr>
            <w:r>
              <w:rPr>
                <w:rFonts w:eastAsia="Times New Roman" w:asciiTheme="majorHAnsi" w:hAnsiTheme="majorHAnsi" w:cstheme="majorHAnsi"/>
                <w:color w:val="000000"/>
              </w:rPr>
              <w:t> </w:t>
            </w:r>
          </w:p>
        </w:tc>
        <w:tc>
          <w:tcPr>
            <w:tcW w:w="942" w:type="pct"/>
            <w:tcBorders>
              <w:top w:val="nil"/>
              <w:left w:val="nil"/>
              <w:bottom w:val="single" w:color="000000" w:sz="4" w:space="0"/>
              <w:right w:val="nil"/>
              <w:tl2br w:val="nil"/>
              <w:tr2bl w:val="nil"/>
            </w:tcBorders>
            <w:shd w:val="clear" w:color="auto" w:fill="CCEEFF"/>
            <w:noWrap/>
            <w:vAlign w:val="bottom"/>
          </w:tcPr>
          <w:p w:rsidRPr="003D0CAA" w:rsidR="009534E2" w:rsidRDefault="003369EB">
            <w:pPr>
              <w:keepNext/>
              <w:spacing w:after="1"/>
              <w:jc w:val="center"/>
              <w:rPr>
                <w:rFonts w:asciiTheme="majorHAnsi" w:hAnsiTheme="majorHAnsi" w:cstheme="majorHAnsi"/>
                <w:color w:val="000000"/>
              </w:rPr>
            </w:pPr>
            <w:r w:rsidRPr="003D0CAA">
              <w:rPr>
                <w:rFonts w:eastAsia="Times New Roman" w:asciiTheme="majorHAnsi" w:hAnsiTheme="majorHAnsi" w:cstheme="majorHAnsi"/>
                <w:color w:val="000000"/>
              </w:rPr>
              <w:t>-10%</w:t>
            </w:r>
          </w:p>
        </w:tc>
        <w:tc>
          <w:tcPr>
            <w:tcW w:w="93"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1029" w:type="pct"/>
            <w:tcBorders>
              <w:top w:val="nil"/>
              <w:left w:val="nil"/>
              <w:bottom w:val="single" w:color="000000" w:sz="4" w:space="0"/>
              <w:right w:val="nil"/>
              <w:tl2br w:val="nil"/>
              <w:tr2bl w:val="nil"/>
            </w:tcBorders>
            <w:shd w:val="clear" w:color="auto" w:fill="CCEEFF"/>
            <w:noWrap/>
            <w:vAlign w:val="bottom"/>
          </w:tcPr>
          <w:p w:rsidRPr="003D0CAA" w:rsidR="009534E2" w:rsidRDefault="003369EB">
            <w:pPr>
              <w:keepNext/>
              <w:spacing w:after="1"/>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(122)</w:t>
            </w:r>
          </w:p>
        </w:tc>
      </w:tr>
      <w:bookmarkEnd w:id="2871"/>
      <w:bookmarkEnd w:id="2884"/>
      <w:bookmarkEnd w:id="2885"/>
      <w:bookmarkEnd w:id="2886"/>
    </w:tbl>
    <w:p w:rsidR="009534E2" w:rsidRDefault="009534E2">
      <w:pPr>
        <w:pStyle w:val="BodyText"/>
        <w:spacing w:after="0"/>
        <w:rPr>
          <w:rFonts w:eastAsia="Times New Roman" w:asciiTheme="majorHAnsi" w:hAnsiTheme="majorHAnsi" w:cstheme="majorHAnsi"/>
        </w:rPr>
      </w:pPr>
    </w:p>
    <w:p w:rsidR="009534E2" w:rsidRDefault="003369EB">
      <w:pPr>
        <w:pStyle w:val="Heading4"/>
        <w:rPr>
          <w:bCs/>
        </w:rPr>
      </w:pPr>
      <w:bookmarkStart w:name="_98c117fb_84bf_47c7_9efb_0009605c68d8" w:id="2887"/>
      <w:bookmarkStart w:name="_69ff9cda_ab35_494b_8be8_cce4d969755a" w:id="2888"/>
      <w:bookmarkEnd w:id="2865"/>
      <w:bookmarkEnd w:id="2887"/>
      <w:bookmarkEnd w:id="2888"/>
      <w:r>
        <w:rPr>
          <w:bCs/>
        </w:rPr>
        <w:t>Liquidity risk and capital management</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Liquidity risk is the risk that an entity will encounter difficulty in meeting obligations associated with financial liabilities. The Group seeks to maintain a stable funding base primarily consisting of agents’ deposits, cu</w:t>
      </w:r>
      <w:r w:rsidR="007A1879">
        <w:rPr>
          <w:rFonts w:eastAsia="Times New Roman" w:asciiTheme="majorHAnsi" w:hAnsiTheme="majorHAnsi" w:cstheme="majorHAnsi"/>
          <w:lang w:eastAsia="ru-RU"/>
        </w:rPr>
        <w:t>stomer</w:t>
      </w:r>
      <w:r>
        <w:rPr>
          <w:rFonts w:eastAsia="Times New Roman" w:asciiTheme="majorHAnsi" w:hAnsiTheme="majorHAnsi" w:cstheme="majorHAnsi"/>
          <w:lang w:eastAsia="ru-RU"/>
        </w:rPr>
        <w:t xml:space="preserve"> accounts and </w:t>
      </w:r>
      <w:r w:rsidR="007A1879">
        <w:rPr>
          <w:rFonts w:eastAsia="Times New Roman" w:asciiTheme="majorHAnsi" w:hAnsiTheme="majorHAnsi" w:cstheme="majorHAnsi"/>
          <w:lang w:eastAsia="ru-RU"/>
        </w:rPr>
        <w:t xml:space="preserve">amounts </w:t>
      </w:r>
      <w:r>
        <w:rPr>
          <w:rFonts w:eastAsia="Times New Roman" w:asciiTheme="majorHAnsi" w:hAnsiTheme="majorHAnsi" w:cstheme="majorHAnsi"/>
          <w:lang w:eastAsia="ru-RU"/>
        </w:rPr>
        <w:t xml:space="preserve">due to banks and debt. The </w:t>
      </w:r>
      <w:r w:rsidR="007A1879">
        <w:rPr>
          <w:rFonts w:eastAsia="Times New Roman" w:asciiTheme="majorHAnsi" w:hAnsiTheme="majorHAnsi" w:cstheme="majorHAnsi"/>
          <w:lang w:eastAsia="ru-RU"/>
        </w:rPr>
        <w:t>d</w:t>
      </w:r>
      <w:r>
        <w:rPr>
          <w:rFonts w:eastAsia="Times New Roman" w:asciiTheme="majorHAnsi" w:hAnsiTheme="majorHAnsi" w:cstheme="majorHAnsi"/>
          <w:lang w:eastAsia="ru-RU"/>
        </w:rPr>
        <w:t>eposits received from agents are due on demand, but are usually offset against future payments processed through agents. The Group expects that agents’ deposits will continue to be offset against future payments and not be called by the agents. Сustomer accounts and amounts due to banks, trade and other payables are due on demand. The Group has sufficient cash balances and keeps it in diversified portfolios of liquid instruments such as government bonds, correspondent account with CBR and overnight placements in high-rated commercial banks, in order to be able to respond timely and stead</w:t>
      </w:r>
      <w:r w:rsidR="007A1879">
        <w:rPr>
          <w:rFonts w:eastAsia="Times New Roman" w:asciiTheme="majorHAnsi" w:hAnsiTheme="majorHAnsi" w:cstheme="majorHAnsi"/>
          <w:lang w:eastAsia="ru-RU"/>
        </w:rPr>
        <w:t>il</w:t>
      </w:r>
      <w:r>
        <w:rPr>
          <w:rFonts w:eastAsia="Times New Roman" w:asciiTheme="majorHAnsi" w:hAnsiTheme="majorHAnsi" w:cstheme="majorHAnsi"/>
          <w:lang w:eastAsia="ru-RU"/>
        </w:rPr>
        <w:t>y to unforeseen liquidity requirements.</w:t>
      </w: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BodyText"/>
        <w:keepNext/>
        <w:keepLines/>
        <w:ind w:left="360" w:hanging="360"/>
        <w:outlineLvl w:val="0"/>
        <w:rPr>
          <w:rFonts w:eastAsia="Times New Roman" w:asciiTheme="majorHAnsi" w:hAnsiTheme="majorHAnsi" w:cstheme="majorHAnsi"/>
          <w:b/>
          <w:bCs/>
          <w:lang w:eastAsia="ru-RU"/>
        </w:rPr>
      </w:pPr>
      <w:r>
        <w:rPr>
          <w:rFonts w:eastAsia="Times New Roman" w:asciiTheme="majorHAnsi" w:hAnsiTheme="majorHAnsi" w:cstheme="majorHAnsi"/>
          <w:b/>
          <w:bCs/>
          <w:lang w:eastAsia="ru-RU"/>
        </w:rPr>
        <w:t>30.</w:t>
      </w:r>
      <w:r>
        <w:rPr>
          <w:rFonts w:eastAsia="Times New Roman" w:asciiTheme="majorHAnsi" w:hAnsiTheme="majorHAnsi" w:cstheme="majorHAnsi"/>
          <w:b/>
          <w:bCs/>
          <w:lang w:eastAsia="ru-RU"/>
        </w:rPr>
        <w:tab/>
        <w:t>Risk management (continued)</w:t>
      </w:r>
    </w:p>
    <w:p w:rsidR="009534E2" w:rsidRDefault="003369EB">
      <w:pPr>
        <w:pStyle w:val="BodyText"/>
        <w:keepNext/>
        <w:keepLines/>
        <w:ind w:left="360" w:hanging="360"/>
        <w:outlineLvl w:val="0"/>
        <w:rPr>
          <w:rFonts w:eastAsia="Times New Roman" w:asciiTheme="majorHAnsi" w:hAnsiTheme="majorHAnsi" w:cstheme="majorHAnsi"/>
          <w:b/>
          <w:lang w:eastAsia="ru-RU"/>
        </w:rPr>
      </w:pPr>
      <w:r>
        <w:rPr>
          <w:rFonts w:asciiTheme="majorHAnsi" w:hAnsiTheme="majorHAnsi" w:cstheme="majorHAnsi"/>
          <w:b/>
        </w:rPr>
        <w:t xml:space="preserve">Liquidity risk and capital management </w:t>
      </w:r>
      <w:r>
        <w:rPr>
          <w:rFonts w:eastAsia="Times New Roman" w:asciiTheme="majorHAnsi" w:hAnsiTheme="majorHAnsi" w:cstheme="majorHAnsi"/>
          <w:b/>
          <w:lang w:eastAsia="ru-RU"/>
        </w:rPr>
        <w:t>(continued)</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Since 2014, the Russian economy has been going through a period of macroeconomic slowdown and liquidity shortage in a number of markets (including those in which the Group operates), caused among other things by falling oil prices, ruble devaluation and the economic sanctions regime. Banks and other entities in Russia decreased credit limits in their everyday operations and it was noted that the Group’s merchants and partners also started and in certain cases continued to request from the Group larger collaterals to hedge their risks. The Group was able to manage these conditions and requirements to date, though the liquidity shortage in the market if exacerbated may have further negative effects on the Group’s operations, which cannot be now reliably estimated.</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According to CBR requirements, a bank’s capital calculated based on CBR instruction should be not less than certain portion of its risk-adjusted assets. As of December 31, 2022, QIWI Bank JSC’s capital ratio is above the minimal level required of </w:t>
      </w:r>
      <w:bookmarkStart w:name="_2d443640_55d2_4de6_9f66_0d3ac6f4477b" w:id="2889"/>
      <w:r w:rsidRPr="003D0CAA">
        <w:rPr>
          <w:rFonts w:eastAsia="Times New Roman" w:asciiTheme="majorHAnsi" w:hAnsiTheme="majorHAnsi" w:cstheme="majorHAnsi"/>
          <w:lang w:eastAsia="ru-RU"/>
        </w:rPr>
        <w:t>8%</w:t>
      </w:r>
      <w:bookmarkEnd w:id="2889"/>
      <w:r>
        <w:rPr>
          <w:rFonts w:eastAsia="Times New Roman" w:asciiTheme="majorHAnsi" w:hAnsiTheme="majorHAnsi" w:cstheme="majorHAnsi"/>
          <w:lang w:eastAsia="ru-RU"/>
        </w:rPr>
        <w:t>. The Group monitors the fulfillment of requirements on a daily basis and sends the reports to CBR on a monthly basis. As of the years ended December 31, 2022 and 2021 QIWI Bank JSC met the capital adequacy requirements.</w:t>
      </w:r>
    </w:p>
    <w:p w:rsidR="009534E2" w:rsidRDefault="003369EB">
      <w:pPr>
        <w:pStyle w:val="BodyText"/>
        <w:keepNext/>
        <w:keepLines/>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 Group manages its capital structure and makes adjustments to it, in light of changes in economic conditions. Capital includes share capital, share premium, additional paid-in capital, other reserves and translation reserve. To maintain or adjust the capital structure, the Group may make dividend payments to shareholders or issue new shares. Currently, the Group requires capital to finance its growth, but it generates sufficient cash from its operations. The table below summarizes the maturity profile of the </w:t>
      </w:r>
      <w:r w:rsidR="007A1879">
        <w:rPr>
          <w:rFonts w:eastAsia="Times New Roman" w:asciiTheme="majorHAnsi" w:hAnsiTheme="majorHAnsi" w:cstheme="majorHAnsi"/>
          <w:lang w:eastAsia="ru-RU"/>
        </w:rPr>
        <w:t>Group</w:t>
      </w:r>
      <w:r>
        <w:rPr>
          <w:rFonts w:eastAsia="Times New Roman" w:asciiTheme="majorHAnsi" w:hAnsiTheme="majorHAnsi" w:cstheme="majorHAnsi"/>
          <w:lang w:eastAsia="ru-RU"/>
        </w:rPr>
        <w:t>’s financial liabilities based on contractual undiscounted payments.</w:t>
      </w:r>
    </w:p>
    <w:p w:rsidR="009534E2" w:rsidRDefault="009534E2">
      <w:pPr>
        <w:pStyle w:val="BodyText"/>
        <w:keepNext/>
        <w:spacing w:after="0"/>
        <w:rPr>
          <w:rFonts w:eastAsia="Times New Roman" w:asciiTheme="majorHAnsi" w:hAnsiTheme="majorHAnsi" w:cstheme="majorHAnsi"/>
          <w:lang w:eastAsia="ru-RU"/>
        </w:rPr>
      </w:pPr>
      <w:bookmarkStart w:name="_cc6c26b6_b760_496c_bd8c_ca551d102d39" w:id="2890"/>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193"/>
        <w:gridCol w:w="192"/>
        <w:gridCol w:w="771"/>
        <w:gridCol w:w="192"/>
        <w:gridCol w:w="806"/>
        <w:gridCol w:w="192"/>
        <w:gridCol w:w="1132"/>
        <w:gridCol w:w="192"/>
        <w:gridCol w:w="1130"/>
      </w:tblGrid>
      <w:tr w:rsidR="003D0CAA" w:rsidTr="003D0CAA">
        <w:trPr>
          <w:trHeight w:val="20" w:hRule="exact"/>
          <w:jc w:val="center"/>
        </w:trPr>
        <w:tc>
          <w:tcPr>
            <w:tcW w:w="2867" w:type="pct"/>
            <w:tcBorders>
              <w:top w:val="nil"/>
              <w:left w:val="nil"/>
              <w:bottom w:val="nil"/>
              <w:right w:val="nil"/>
            </w:tcBorders>
            <w:vAlign w:val="bottom"/>
          </w:tcPr>
          <w:p w:rsidR="009534E2" w:rsidRDefault="009534E2">
            <w:pPr>
              <w:keepNext/>
              <w:spacing w:after="1"/>
              <w:rPr>
                <w:sz w:val="2"/>
              </w:rPr>
            </w:pPr>
            <w:bookmarkStart w:name="_72591065_0de2_4309_a1c6_e215d7bfd86f" w:colFirst="0" w:colLast="0" w:id="2891"/>
            <w:bookmarkStart w:name="_7e0ff791_2747_4c89_9bb5_e20bb2a58fc1" w:colFirst="1" w:colLast="1" w:id="2892"/>
            <w:bookmarkStart w:name="_2f7d839e_907b_4fd3_85ce_7440cb7cf09a" w:colFirst="2" w:colLast="2" w:id="2893"/>
            <w:bookmarkStart w:name="_819186c1_0a76_4938_86e9_b6963a0c2a9a" w:colFirst="3" w:colLast="3" w:id="2894"/>
            <w:bookmarkStart w:name="_a2436c11_86a4_4bd9_b530_275d606b09d6" w:colFirst="4" w:colLast="4" w:id="2895"/>
            <w:bookmarkStart w:name="_5100686b_ab24_447a_8e19_82a9247f6e24" w:colFirst="5" w:colLast="5" w:id="2896"/>
            <w:bookmarkStart w:name="_7904d348_c341_41d9_9fe2_702377419134" w:colFirst="6" w:colLast="6" w:id="2897"/>
            <w:bookmarkStart w:name="_3ca40edf_865d_444b_b9ad_f7b06e444ab1" w:colFirst="7" w:colLast="7" w:id="2898"/>
            <w:bookmarkStart w:name="_35080401_2ac0_4313_9050_1baaeb9d1128" w:colFirst="8" w:colLast="8" w:id="2899"/>
            <w:bookmarkStart w:name="_16fa4717_705d_4012_b125_b39b294433da" w:id="2900"/>
          </w:p>
        </w:tc>
        <w:tc>
          <w:tcPr>
            <w:tcW w:w="89" w:type="pct"/>
            <w:tcBorders>
              <w:top w:val="nil"/>
              <w:left w:val="nil"/>
              <w:bottom w:val="nil"/>
              <w:right w:val="nil"/>
            </w:tcBorders>
            <w:noWrap/>
            <w:vAlign w:val="bottom"/>
          </w:tcPr>
          <w:p w:rsidR="009534E2" w:rsidRDefault="009534E2">
            <w:pPr>
              <w:keepNext/>
              <w:spacing w:after="1"/>
              <w:rPr>
                <w:sz w:val="2"/>
              </w:rPr>
            </w:pPr>
          </w:p>
        </w:tc>
        <w:tc>
          <w:tcPr>
            <w:tcW w:w="357" w:type="pct"/>
            <w:tcBorders>
              <w:top w:val="nil"/>
              <w:left w:val="nil"/>
              <w:bottom w:val="nil"/>
              <w:right w:val="nil"/>
            </w:tcBorders>
            <w:noWrap/>
            <w:vAlign w:val="bottom"/>
          </w:tcPr>
          <w:p w:rsidR="009534E2" w:rsidRDefault="009534E2">
            <w:pPr>
              <w:keepNext/>
              <w:spacing w:after="1"/>
              <w:rPr>
                <w:sz w:val="2"/>
              </w:rPr>
            </w:pPr>
          </w:p>
        </w:tc>
        <w:tc>
          <w:tcPr>
            <w:tcW w:w="89" w:type="pct"/>
            <w:tcBorders>
              <w:top w:val="nil"/>
              <w:left w:val="nil"/>
              <w:bottom w:val="nil"/>
              <w:right w:val="nil"/>
            </w:tcBorders>
            <w:noWrap/>
            <w:vAlign w:val="bottom"/>
          </w:tcPr>
          <w:p w:rsidR="009534E2" w:rsidRDefault="009534E2">
            <w:pPr>
              <w:keepNext/>
              <w:spacing w:after="1"/>
              <w:rPr>
                <w:sz w:val="2"/>
              </w:rPr>
            </w:pPr>
          </w:p>
        </w:tc>
        <w:tc>
          <w:tcPr>
            <w:tcW w:w="373" w:type="pct"/>
            <w:tcBorders>
              <w:top w:val="nil"/>
              <w:left w:val="nil"/>
              <w:bottom w:val="nil"/>
              <w:right w:val="nil"/>
            </w:tcBorders>
            <w:noWrap/>
            <w:vAlign w:val="bottom"/>
          </w:tcPr>
          <w:p w:rsidR="009534E2" w:rsidRDefault="009534E2">
            <w:pPr>
              <w:keepNext/>
              <w:spacing w:after="1"/>
              <w:rPr>
                <w:sz w:val="2"/>
              </w:rPr>
            </w:pPr>
          </w:p>
        </w:tc>
        <w:tc>
          <w:tcPr>
            <w:tcW w:w="89" w:type="pct"/>
            <w:tcBorders>
              <w:top w:val="nil"/>
              <w:left w:val="nil"/>
              <w:bottom w:val="nil"/>
              <w:right w:val="nil"/>
            </w:tcBorders>
            <w:noWrap/>
            <w:vAlign w:val="bottom"/>
          </w:tcPr>
          <w:p w:rsidR="009534E2" w:rsidRDefault="009534E2">
            <w:pPr>
              <w:keepNext/>
              <w:spacing w:after="1"/>
              <w:rPr>
                <w:sz w:val="2"/>
              </w:rPr>
            </w:pPr>
          </w:p>
        </w:tc>
        <w:tc>
          <w:tcPr>
            <w:tcW w:w="524" w:type="pct"/>
            <w:tcBorders>
              <w:top w:val="nil"/>
              <w:left w:val="nil"/>
              <w:bottom w:val="nil"/>
              <w:right w:val="nil"/>
            </w:tcBorders>
            <w:noWrap/>
            <w:vAlign w:val="bottom"/>
          </w:tcPr>
          <w:p w:rsidR="009534E2" w:rsidRDefault="009534E2">
            <w:pPr>
              <w:keepNext/>
              <w:spacing w:after="1"/>
              <w:rPr>
                <w:sz w:val="2"/>
              </w:rPr>
            </w:pPr>
          </w:p>
        </w:tc>
        <w:tc>
          <w:tcPr>
            <w:tcW w:w="89" w:type="pct"/>
            <w:tcBorders>
              <w:top w:val="nil"/>
              <w:left w:val="nil"/>
              <w:bottom w:val="nil"/>
              <w:right w:val="nil"/>
            </w:tcBorders>
            <w:noWrap/>
            <w:vAlign w:val="bottom"/>
          </w:tcPr>
          <w:p w:rsidR="009534E2" w:rsidRDefault="009534E2">
            <w:pPr>
              <w:keepNext/>
              <w:spacing w:after="1"/>
              <w:rPr>
                <w:sz w:val="2"/>
              </w:rPr>
            </w:pPr>
          </w:p>
        </w:tc>
        <w:tc>
          <w:tcPr>
            <w:tcW w:w="523" w:type="pct"/>
            <w:tcBorders>
              <w:top w:val="nil"/>
              <w:left w:val="nil"/>
              <w:bottom w:val="nil"/>
              <w:right w:val="nil"/>
            </w:tcBorders>
            <w:noWrap/>
            <w:vAlign w:val="bottom"/>
          </w:tcPr>
          <w:p w:rsidR="009534E2" w:rsidRDefault="009534E2">
            <w:pPr>
              <w:keepNext/>
              <w:spacing w:after="1"/>
              <w:rPr>
                <w:sz w:val="2"/>
              </w:rPr>
            </w:pPr>
          </w:p>
        </w:tc>
      </w:tr>
      <w:tr w:rsidR="003D0CAA" w:rsidTr="003D0CAA">
        <w:trPr>
          <w:jc w:val="center"/>
        </w:trPr>
        <w:tc>
          <w:tcPr>
            <w:tcW w:w="2867" w:type="pct"/>
            <w:tcBorders>
              <w:top w:val="nil"/>
              <w:left w:val="nil"/>
              <w:bottom w:val="nil"/>
              <w:right w:val="nil"/>
              <w:tl2br w:val="nil"/>
              <w:tr2bl w:val="nil"/>
            </w:tcBorders>
            <w:shd w:val="clear" w:color="auto" w:fill="auto"/>
            <w:vAlign w:val="bottom"/>
          </w:tcPr>
          <w:p w:rsidR="009534E2" w:rsidRDefault="009534E2">
            <w:pPr>
              <w:spacing w:after="1"/>
              <w:rPr>
                <w:b/>
                <w:color w:val="000000"/>
                <w:sz w:val="16"/>
              </w:rPr>
            </w:pPr>
            <w:bookmarkStart w:name="_71b858ae_2f05_423a_9109_ca26912bb188" w:id="2901"/>
            <w:bookmarkEnd w:id="2891"/>
            <w:bookmarkEnd w:id="2892"/>
            <w:bookmarkEnd w:id="2893"/>
            <w:bookmarkEnd w:id="2894"/>
            <w:bookmarkEnd w:id="2895"/>
            <w:bookmarkEnd w:id="2896"/>
            <w:bookmarkEnd w:id="2897"/>
            <w:bookmarkEnd w:id="2898"/>
            <w:bookmarkEnd w:id="2899"/>
          </w:p>
        </w:tc>
        <w:tc>
          <w:tcPr>
            <w:tcW w:w="89" w:type="pct"/>
            <w:tcBorders>
              <w:top w:val="nil"/>
              <w:left w:val="nil"/>
              <w:bottom w:val="nil"/>
              <w:right w:val="nil"/>
              <w:tl2br w:val="nil"/>
              <w:tr2bl w:val="nil"/>
            </w:tcBorders>
            <w:shd w:val="clear" w:color="auto" w:fill="auto"/>
            <w:noWrap/>
            <w:vAlign w:val="bottom"/>
          </w:tcPr>
          <w:p w:rsidR="009534E2" w:rsidRDefault="009534E2">
            <w:pPr>
              <w:spacing w:after="1"/>
              <w:rPr>
                <w:b/>
                <w:color w:val="000000"/>
                <w:sz w:val="16"/>
              </w:rPr>
            </w:pPr>
          </w:p>
        </w:tc>
        <w:tc>
          <w:tcPr>
            <w:tcW w:w="357"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    </w:t>
            </w:r>
          </w:p>
        </w:tc>
        <w:tc>
          <w:tcPr>
            <w:tcW w:w="89" w:type="pct"/>
            <w:tcBorders>
              <w:top w:val="nil"/>
              <w:left w:val="nil"/>
              <w:bottom w:val="nil"/>
              <w:right w:val="nil"/>
              <w:tl2br w:val="nil"/>
              <w:tr2bl w:val="nil"/>
            </w:tcBorders>
            <w:shd w:val="clear" w:color="auto" w:fill="auto"/>
            <w:noWrap/>
            <w:vAlign w:val="bottom"/>
          </w:tcPr>
          <w:p w:rsidR="009534E2" w:rsidRDefault="003369EB">
            <w:pPr>
              <w:spacing w:after="1"/>
              <w:rPr>
                <w:b/>
                <w:color w:val="000000"/>
                <w:sz w:val="16"/>
              </w:rPr>
            </w:pPr>
            <w:r>
              <w:rPr>
                <w:rFonts w:ascii="Times New Roman" w:hAnsi="Times New Roman" w:eastAsia="Times New Roman" w:cs="Times New Roman"/>
                <w:b/>
                <w:color w:val="000000"/>
                <w:sz w:val="16"/>
              </w:rPr>
              <w:t>    </w:t>
            </w:r>
          </w:p>
        </w:tc>
        <w:tc>
          <w:tcPr>
            <w:tcW w:w="1598" w:type="pct"/>
            <w:gridSpan w:val="5"/>
            <w:tcBorders>
              <w:top w:val="nil"/>
              <w:left w:val="nil"/>
              <w:bottom w:val="single" w:color="000000" w:sz="4" w:space="0"/>
              <w:right w:val="nil"/>
              <w:tl2br w:val="nil"/>
              <w:tr2bl w:val="nil"/>
            </w:tcBorders>
            <w:shd w:val="clear" w:color="auto" w:fill="auto"/>
            <w:noWrap/>
            <w:vAlign w:val="bottom"/>
          </w:tcPr>
          <w:p w:rsidR="009534E2" w:rsidRDefault="003369EB">
            <w:pPr>
              <w:spacing w:after="1"/>
              <w:rPr>
                <w:b/>
                <w:color w:val="000000"/>
                <w:sz w:val="16"/>
              </w:rPr>
            </w:pPr>
            <w:r>
              <w:rPr>
                <w:rFonts w:ascii="Times New Roman" w:hAnsi="Times New Roman" w:eastAsia="Times New Roman" w:cs="Times New Roman"/>
                <w:b/>
                <w:color w:val="000000"/>
                <w:sz w:val="16"/>
              </w:rPr>
              <w:t>Due:</w:t>
            </w:r>
          </w:p>
        </w:tc>
      </w:tr>
      <w:tr w:rsidR="003D0CAA" w:rsidTr="003D0CAA">
        <w:trPr>
          <w:jc w:val="center"/>
        </w:trPr>
        <w:tc>
          <w:tcPr>
            <w:tcW w:w="2867" w:type="pct"/>
            <w:tcBorders>
              <w:top w:val="nil"/>
              <w:left w:val="nil"/>
              <w:bottom w:val="nil"/>
              <w:right w:val="nil"/>
              <w:tl2br w:val="nil"/>
              <w:tr2bl w:val="nil"/>
            </w:tcBorders>
            <w:shd w:val="clear" w:color="auto" w:fill="auto"/>
            <w:vAlign w:val="bottom"/>
          </w:tcPr>
          <w:p w:rsidR="009534E2" w:rsidRDefault="009534E2">
            <w:pPr>
              <w:spacing w:after="1"/>
              <w:rPr>
                <w:b/>
                <w:color w:val="000000"/>
                <w:sz w:val="16"/>
              </w:rPr>
            </w:pPr>
            <w:bookmarkStart w:name="_f1a46a8f_3adc_4541_85de_d590f211e76f" w:id="2902"/>
            <w:bookmarkEnd w:id="2901"/>
          </w:p>
        </w:tc>
        <w:tc>
          <w:tcPr>
            <w:tcW w:w="89" w:type="pct"/>
            <w:tcBorders>
              <w:top w:val="nil"/>
              <w:left w:val="nil"/>
              <w:bottom w:val="nil"/>
              <w:right w:val="nil"/>
              <w:tl2br w:val="nil"/>
              <w:tr2bl w:val="nil"/>
            </w:tcBorders>
            <w:shd w:val="clear" w:color="auto" w:fill="auto"/>
            <w:noWrap/>
            <w:vAlign w:val="bottom"/>
          </w:tcPr>
          <w:p w:rsidR="009534E2" w:rsidRDefault="009534E2">
            <w:pPr>
              <w:spacing w:after="1"/>
              <w:rPr>
                <w:b/>
                <w:color w:val="000000"/>
                <w:sz w:val="16"/>
              </w:rPr>
            </w:pPr>
          </w:p>
        </w:tc>
        <w:tc>
          <w:tcPr>
            <w:tcW w:w="357" w:type="pct"/>
            <w:tcBorders>
              <w:top w:val="nil"/>
              <w:left w:val="nil"/>
              <w:bottom w:val="nil"/>
              <w:right w:val="nil"/>
              <w:tl2br w:val="nil"/>
              <w:tr2bl w:val="nil"/>
            </w:tcBorders>
            <w:shd w:val="clear" w:color="auto" w:fill="auto"/>
            <w:noWrap/>
            <w:vAlign w:val="bottom"/>
          </w:tcPr>
          <w:p w:rsidR="009534E2" w:rsidRDefault="009534E2">
            <w:pPr>
              <w:spacing w:after="1"/>
              <w:jc w:val="center"/>
              <w:rPr>
                <w:b/>
                <w:color w:val="000000"/>
                <w:sz w:val="16"/>
              </w:rPr>
            </w:pPr>
          </w:p>
        </w:tc>
        <w:tc>
          <w:tcPr>
            <w:tcW w:w="89" w:type="pct"/>
            <w:tcBorders>
              <w:top w:val="nil"/>
              <w:left w:val="nil"/>
              <w:bottom w:val="nil"/>
              <w:right w:val="nil"/>
              <w:tl2br w:val="nil"/>
              <w:tr2bl w:val="nil"/>
            </w:tcBorders>
            <w:shd w:val="clear" w:color="auto" w:fill="auto"/>
            <w:noWrap/>
            <w:vAlign w:val="bottom"/>
          </w:tcPr>
          <w:p w:rsidR="009534E2" w:rsidRDefault="009534E2">
            <w:pPr>
              <w:spacing w:after="1"/>
              <w:rPr>
                <w:b/>
                <w:color w:val="000000"/>
                <w:sz w:val="16"/>
              </w:rPr>
            </w:pPr>
          </w:p>
        </w:tc>
        <w:tc>
          <w:tcPr>
            <w:tcW w:w="373" w:type="pct"/>
            <w:tcBorders>
              <w:top w:val="nil"/>
              <w:left w:val="nil"/>
              <w:bottom w:val="nil"/>
              <w:right w:val="nil"/>
              <w:tl2br w:val="nil"/>
              <w:tr2bl w:val="nil"/>
            </w:tcBorders>
            <w:shd w:val="clear" w:color="auto" w:fill="auto"/>
            <w:noWrap/>
            <w:vAlign w:val="bottom"/>
          </w:tcPr>
          <w:p w:rsidR="009534E2" w:rsidRDefault="009534E2">
            <w:pPr>
              <w:spacing w:after="1"/>
              <w:jc w:val="center"/>
              <w:rPr>
                <w:b/>
                <w:color w:val="000000"/>
                <w:sz w:val="16"/>
              </w:rPr>
            </w:pPr>
          </w:p>
        </w:tc>
        <w:tc>
          <w:tcPr>
            <w:tcW w:w="89" w:type="pct"/>
            <w:tcBorders>
              <w:top w:val="nil"/>
              <w:left w:val="nil"/>
              <w:bottom w:val="nil"/>
              <w:right w:val="nil"/>
              <w:tl2br w:val="nil"/>
              <w:tr2bl w:val="nil"/>
            </w:tcBorders>
            <w:shd w:val="clear" w:color="auto" w:fill="auto"/>
            <w:noWrap/>
            <w:vAlign w:val="bottom"/>
          </w:tcPr>
          <w:p w:rsidR="009534E2" w:rsidRDefault="009534E2">
            <w:pPr>
              <w:spacing w:after="1"/>
              <w:rPr>
                <w:b/>
                <w:color w:val="000000"/>
                <w:sz w:val="16"/>
              </w:rPr>
            </w:pPr>
          </w:p>
        </w:tc>
        <w:tc>
          <w:tcPr>
            <w:tcW w:w="524"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Within a</w:t>
            </w:r>
          </w:p>
        </w:tc>
        <w:tc>
          <w:tcPr>
            <w:tcW w:w="89" w:type="pct"/>
            <w:tcBorders>
              <w:top w:val="nil"/>
              <w:left w:val="nil"/>
              <w:bottom w:val="nil"/>
              <w:right w:val="nil"/>
              <w:tl2br w:val="nil"/>
              <w:tr2bl w:val="nil"/>
            </w:tcBorders>
            <w:shd w:val="clear" w:color="auto" w:fill="auto"/>
            <w:noWrap/>
            <w:vAlign w:val="bottom"/>
          </w:tcPr>
          <w:p w:rsidR="009534E2" w:rsidRDefault="009534E2">
            <w:pPr>
              <w:spacing w:after="1"/>
              <w:rPr>
                <w:b/>
                <w:color w:val="000000"/>
                <w:sz w:val="16"/>
              </w:rPr>
            </w:pPr>
          </w:p>
        </w:tc>
        <w:tc>
          <w:tcPr>
            <w:tcW w:w="523"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More than a</w:t>
            </w:r>
          </w:p>
        </w:tc>
      </w:tr>
      <w:tr w:rsidR="003D0CAA" w:rsidTr="003D0CAA">
        <w:trPr>
          <w:jc w:val="center"/>
        </w:trPr>
        <w:tc>
          <w:tcPr>
            <w:tcW w:w="2867" w:type="pct"/>
            <w:tcBorders>
              <w:top w:val="nil"/>
              <w:left w:val="nil"/>
              <w:bottom w:val="nil"/>
              <w:right w:val="nil"/>
              <w:tl2br w:val="nil"/>
              <w:tr2bl w:val="nil"/>
            </w:tcBorders>
            <w:shd w:val="clear" w:color="auto" w:fill="auto"/>
            <w:vAlign w:val="bottom"/>
          </w:tcPr>
          <w:p w:rsidR="009534E2" w:rsidRDefault="009534E2">
            <w:pPr>
              <w:spacing w:after="1"/>
              <w:rPr>
                <w:color w:val="000000"/>
                <w:sz w:val="16"/>
              </w:rPr>
            </w:pPr>
            <w:bookmarkStart w:name="_d9591abb_b40a_41f7_abfa_aa0b1c6a4a51" w:id="2903"/>
            <w:bookmarkEnd w:id="2902"/>
          </w:p>
        </w:tc>
        <w:tc>
          <w:tcPr>
            <w:tcW w:w="89" w:type="pct"/>
            <w:tcBorders>
              <w:top w:val="nil"/>
              <w:left w:val="nil"/>
              <w:bottom w:val="nil"/>
              <w:right w:val="nil"/>
              <w:tl2br w:val="nil"/>
              <w:tr2bl w:val="nil"/>
            </w:tcBorders>
            <w:shd w:val="clear" w:color="auto" w:fill="auto"/>
            <w:noWrap/>
            <w:vAlign w:val="bottom"/>
          </w:tcPr>
          <w:p w:rsidR="009534E2" w:rsidRDefault="003369EB">
            <w:pPr>
              <w:spacing w:after="1"/>
              <w:rPr>
                <w:b/>
                <w:color w:val="000000"/>
                <w:sz w:val="16"/>
              </w:rPr>
            </w:pPr>
            <w:r>
              <w:rPr>
                <w:rFonts w:ascii="Times New Roman" w:hAnsi="Times New Roman" w:eastAsia="Times New Roman" w:cs="Times New Roman"/>
                <w:b/>
                <w:color w:val="000000"/>
                <w:sz w:val="16"/>
              </w:rPr>
              <w:t>    </w:t>
            </w:r>
          </w:p>
        </w:tc>
        <w:tc>
          <w:tcPr>
            <w:tcW w:w="357"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Total</w:t>
            </w:r>
          </w:p>
        </w:tc>
        <w:tc>
          <w:tcPr>
            <w:tcW w:w="89" w:type="pct"/>
            <w:tcBorders>
              <w:top w:val="nil"/>
              <w:left w:val="nil"/>
              <w:bottom w:val="nil"/>
              <w:right w:val="nil"/>
              <w:tl2br w:val="nil"/>
              <w:tr2bl w:val="nil"/>
            </w:tcBorders>
            <w:shd w:val="clear" w:color="auto" w:fill="auto"/>
            <w:noWrap/>
            <w:vAlign w:val="bottom"/>
          </w:tcPr>
          <w:p w:rsidR="009534E2" w:rsidRDefault="003369EB">
            <w:pPr>
              <w:spacing w:after="1"/>
              <w:rPr>
                <w:b/>
                <w:color w:val="000000"/>
                <w:sz w:val="16"/>
              </w:rPr>
            </w:pPr>
            <w:r>
              <w:rPr>
                <w:rFonts w:ascii="Times New Roman" w:hAnsi="Times New Roman" w:eastAsia="Times New Roman" w:cs="Times New Roman"/>
                <w:b/>
                <w:color w:val="000000"/>
                <w:sz w:val="16"/>
              </w:rPr>
              <w:t>    </w:t>
            </w:r>
          </w:p>
        </w:tc>
        <w:tc>
          <w:tcPr>
            <w:tcW w:w="373"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On demand</w:t>
            </w:r>
          </w:p>
        </w:tc>
        <w:tc>
          <w:tcPr>
            <w:tcW w:w="89" w:type="pct"/>
            <w:tcBorders>
              <w:top w:val="nil"/>
              <w:left w:val="nil"/>
              <w:bottom w:val="nil"/>
              <w:right w:val="nil"/>
              <w:tl2br w:val="nil"/>
              <w:tr2bl w:val="nil"/>
            </w:tcBorders>
            <w:shd w:val="clear" w:color="auto" w:fill="auto"/>
            <w:noWrap/>
            <w:vAlign w:val="bottom"/>
          </w:tcPr>
          <w:p w:rsidR="009534E2" w:rsidRDefault="003369EB">
            <w:pPr>
              <w:spacing w:after="1"/>
              <w:rPr>
                <w:b/>
                <w:color w:val="000000"/>
                <w:sz w:val="16"/>
              </w:rPr>
            </w:pPr>
            <w:r>
              <w:rPr>
                <w:rFonts w:ascii="Times New Roman" w:hAnsi="Times New Roman" w:eastAsia="Times New Roman" w:cs="Times New Roman"/>
                <w:b/>
                <w:color w:val="000000"/>
                <w:sz w:val="16"/>
              </w:rPr>
              <w:t>    </w:t>
            </w:r>
          </w:p>
        </w:tc>
        <w:tc>
          <w:tcPr>
            <w:tcW w:w="524"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 year</w:t>
            </w:r>
          </w:p>
        </w:tc>
        <w:tc>
          <w:tcPr>
            <w:tcW w:w="89" w:type="pct"/>
            <w:tcBorders>
              <w:top w:val="nil"/>
              <w:left w:val="nil"/>
              <w:bottom w:val="nil"/>
              <w:right w:val="nil"/>
              <w:tl2br w:val="nil"/>
              <w:tr2bl w:val="nil"/>
            </w:tcBorders>
            <w:shd w:val="clear" w:color="auto" w:fill="auto"/>
            <w:noWrap/>
            <w:vAlign w:val="bottom"/>
          </w:tcPr>
          <w:p w:rsidR="009534E2" w:rsidRDefault="003369EB">
            <w:pPr>
              <w:spacing w:after="1"/>
              <w:rPr>
                <w:b/>
                <w:color w:val="000000"/>
                <w:sz w:val="16"/>
              </w:rPr>
            </w:pPr>
            <w:r>
              <w:rPr>
                <w:rFonts w:ascii="Times New Roman" w:hAnsi="Times New Roman" w:eastAsia="Times New Roman" w:cs="Times New Roman"/>
                <w:b/>
                <w:color w:val="000000"/>
                <w:sz w:val="16"/>
              </w:rPr>
              <w:t>    </w:t>
            </w:r>
          </w:p>
        </w:tc>
        <w:tc>
          <w:tcPr>
            <w:tcW w:w="523"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 year</w:t>
            </w:r>
          </w:p>
        </w:tc>
      </w:tr>
      <w:tr w:rsidR="003D0CAA" w:rsidTr="003D0CAA">
        <w:trPr>
          <w:jc w:val="center"/>
        </w:trPr>
        <w:tc>
          <w:tcPr>
            <w:tcW w:w="2867" w:type="pct"/>
            <w:tcBorders>
              <w:top w:val="nil"/>
              <w:left w:val="nil"/>
              <w:bottom w:val="nil"/>
              <w:right w:val="nil"/>
              <w:tl2br w:val="nil"/>
              <w:tr2bl w:val="nil"/>
            </w:tcBorders>
            <w:shd w:val="clear" w:color="auto" w:fill="CCEEFF"/>
            <w:vAlign w:val="bottom"/>
          </w:tcPr>
          <w:p w:rsidR="009534E2" w:rsidRDefault="003369EB">
            <w:pPr>
              <w:spacing w:after="1"/>
              <w:rPr>
                <w:color w:val="000000"/>
              </w:rPr>
            </w:pPr>
            <w:bookmarkStart w:name="_f487e358_087b_4786_ba66_399b6f51a6d3" w:id="2904"/>
            <w:bookmarkEnd w:id="2903"/>
            <w:r>
              <w:rPr>
                <w:rFonts w:ascii="Times New Roman" w:hAnsi="Times New Roman" w:eastAsia="Times New Roman" w:cs="Times New Roman"/>
                <w:color w:val="000000"/>
              </w:rPr>
              <w:t xml:space="preserve">Debt </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357"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4,251</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373"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524"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4,251</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523"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w:t>
            </w:r>
          </w:p>
        </w:tc>
      </w:tr>
      <w:tr w:rsidR="003D0CAA" w:rsidTr="003D0CAA">
        <w:trPr>
          <w:jc w:val="center"/>
        </w:trPr>
        <w:tc>
          <w:tcPr>
            <w:tcW w:w="2867" w:type="pct"/>
            <w:tcBorders>
              <w:top w:val="nil"/>
              <w:left w:val="nil"/>
              <w:bottom w:val="nil"/>
              <w:right w:val="nil"/>
              <w:tl2br w:val="nil"/>
              <w:tr2bl w:val="nil"/>
            </w:tcBorders>
            <w:vAlign w:val="bottom"/>
          </w:tcPr>
          <w:p w:rsidR="009534E2" w:rsidRDefault="003369EB">
            <w:pPr>
              <w:spacing w:after="1"/>
              <w:rPr>
                <w:color w:val="000000"/>
              </w:rPr>
            </w:pPr>
            <w:bookmarkStart w:name="_39328718_6401_4252_96b6_4203214a4e67" w:id="2905"/>
            <w:bookmarkEnd w:id="2904"/>
            <w:r>
              <w:rPr>
                <w:rFonts w:ascii="Times New Roman" w:hAnsi="Times New Roman" w:eastAsia="Times New Roman" w:cs="Times New Roman"/>
                <w:color w:val="000000"/>
              </w:rPr>
              <w:t xml:space="preserve">Lease liabilities </w:t>
            </w:r>
          </w:p>
        </w:tc>
        <w:tc>
          <w:tcPr>
            <w:tcW w:w="89" w:type="pct"/>
            <w:tcBorders>
              <w:top w:val="nil"/>
              <w:left w:val="nil"/>
              <w:bottom w:val="nil"/>
              <w:right w:val="nil"/>
              <w:tl2br w:val="nil"/>
              <w:tr2bl w:val="nil"/>
            </w:tcBorders>
            <w:noWrap/>
            <w:vAlign w:val="bottom"/>
          </w:tcPr>
          <w:p w:rsidR="009534E2" w:rsidRDefault="009534E2">
            <w:pPr>
              <w:spacing w:after="1"/>
              <w:rPr>
                <w:color w:val="000000"/>
              </w:rPr>
            </w:pPr>
          </w:p>
        </w:tc>
        <w:tc>
          <w:tcPr>
            <w:tcW w:w="357" w:type="pct"/>
            <w:tcBorders>
              <w:top w:val="nil"/>
              <w:left w:val="nil"/>
              <w:bottom w:val="nil"/>
              <w:right w:val="nil"/>
              <w:tl2br w:val="nil"/>
              <w:tr2bl w:val="nil"/>
            </w:tcBorders>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472</w:t>
            </w:r>
          </w:p>
        </w:tc>
        <w:tc>
          <w:tcPr>
            <w:tcW w:w="89" w:type="pct"/>
            <w:tcBorders>
              <w:top w:val="nil"/>
              <w:left w:val="nil"/>
              <w:bottom w:val="nil"/>
              <w:right w:val="nil"/>
              <w:tl2br w:val="nil"/>
              <w:tr2bl w:val="nil"/>
            </w:tcBorders>
            <w:noWrap/>
            <w:vAlign w:val="bottom"/>
          </w:tcPr>
          <w:p w:rsidR="009534E2" w:rsidRDefault="009534E2">
            <w:pPr>
              <w:spacing w:after="1"/>
              <w:rPr>
                <w:color w:val="000000"/>
              </w:rPr>
            </w:pPr>
          </w:p>
        </w:tc>
        <w:tc>
          <w:tcPr>
            <w:tcW w:w="373" w:type="pct"/>
            <w:tcBorders>
              <w:top w:val="nil"/>
              <w:left w:val="nil"/>
              <w:bottom w:val="nil"/>
              <w:right w:val="nil"/>
              <w:tl2br w:val="nil"/>
              <w:tr2bl w:val="nil"/>
            </w:tcBorders>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w:t>
            </w:r>
          </w:p>
        </w:tc>
        <w:tc>
          <w:tcPr>
            <w:tcW w:w="89" w:type="pct"/>
            <w:tcBorders>
              <w:top w:val="nil"/>
              <w:left w:val="nil"/>
              <w:bottom w:val="nil"/>
              <w:right w:val="nil"/>
              <w:tl2br w:val="nil"/>
              <w:tr2bl w:val="nil"/>
            </w:tcBorders>
            <w:noWrap/>
            <w:vAlign w:val="bottom"/>
          </w:tcPr>
          <w:p w:rsidR="009534E2" w:rsidRDefault="009534E2">
            <w:pPr>
              <w:spacing w:after="1"/>
              <w:rPr>
                <w:color w:val="000000"/>
              </w:rPr>
            </w:pPr>
          </w:p>
        </w:tc>
        <w:tc>
          <w:tcPr>
            <w:tcW w:w="524" w:type="pct"/>
            <w:tcBorders>
              <w:top w:val="nil"/>
              <w:left w:val="nil"/>
              <w:bottom w:val="nil"/>
              <w:right w:val="nil"/>
              <w:tl2br w:val="nil"/>
              <w:tr2bl w:val="nil"/>
            </w:tcBorders>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317</w:t>
            </w:r>
          </w:p>
        </w:tc>
        <w:tc>
          <w:tcPr>
            <w:tcW w:w="89" w:type="pct"/>
            <w:tcBorders>
              <w:top w:val="nil"/>
              <w:left w:val="nil"/>
              <w:bottom w:val="nil"/>
              <w:right w:val="nil"/>
              <w:tl2br w:val="nil"/>
              <w:tr2bl w:val="nil"/>
            </w:tcBorders>
            <w:noWrap/>
            <w:vAlign w:val="bottom"/>
          </w:tcPr>
          <w:p w:rsidR="009534E2" w:rsidRDefault="009534E2">
            <w:pPr>
              <w:spacing w:after="1"/>
              <w:rPr>
                <w:color w:val="000000"/>
              </w:rPr>
            </w:pPr>
          </w:p>
        </w:tc>
        <w:tc>
          <w:tcPr>
            <w:tcW w:w="523" w:type="pct"/>
            <w:tcBorders>
              <w:top w:val="nil"/>
              <w:left w:val="nil"/>
              <w:bottom w:val="nil"/>
              <w:right w:val="nil"/>
              <w:tl2br w:val="nil"/>
              <w:tr2bl w:val="nil"/>
            </w:tcBorders>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155</w:t>
            </w:r>
          </w:p>
        </w:tc>
      </w:tr>
      <w:tr w:rsidR="003D0CAA" w:rsidTr="003D0CAA">
        <w:trPr>
          <w:jc w:val="center"/>
        </w:trPr>
        <w:tc>
          <w:tcPr>
            <w:tcW w:w="2867" w:type="pct"/>
            <w:tcBorders>
              <w:top w:val="nil"/>
              <w:left w:val="nil"/>
              <w:bottom w:val="nil"/>
              <w:right w:val="nil"/>
              <w:tl2br w:val="nil"/>
              <w:tr2bl w:val="nil"/>
            </w:tcBorders>
            <w:shd w:val="clear" w:color="auto" w:fill="CCEEFF"/>
            <w:vAlign w:val="bottom"/>
          </w:tcPr>
          <w:p w:rsidR="009534E2" w:rsidRDefault="003369EB">
            <w:pPr>
              <w:spacing w:after="1"/>
              <w:rPr>
                <w:color w:val="000000"/>
              </w:rPr>
            </w:pPr>
            <w:bookmarkStart w:name="_fc2a872d_9fca_4679_81fd_4964912ab5fe" w:id="2906"/>
            <w:bookmarkEnd w:id="2905"/>
            <w:r>
              <w:rPr>
                <w:rFonts w:ascii="Times New Roman" w:hAnsi="Times New Roman" w:eastAsia="Times New Roman" w:cs="Times New Roman"/>
                <w:color w:val="000000"/>
              </w:rPr>
              <w:t>Trade and other payables</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b/>
                <w:color w:val="000000"/>
              </w:rPr>
            </w:pPr>
          </w:p>
        </w:tc>
        <w:tc>
          <w:tcPr>
            <w:tcW w:w="357"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33,048</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373"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33,048</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b/>
                <w:color w:val="000000"/>
              </w:rPr>
            </w:pPr>
          </w:p>
        </w:tc>
        <w:tc>
          <w:tcPr>
            <w:tcW w:w="524"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b/>
                <w:color w:val="000000"/>
              </w:rPr>
            </w:pPr>
          </w:p>
        </w:tc>
        <w:tc>
          <w:tcPr>
            <w:tcW w:w="523"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w:t>
            </w:r>
          </w:p>
        </w:tc>
      </w:tr>
      <w:tr w:rsidR="003D0CAA" w:rsidTr="003D0CAA">
        <w:trPr>
          <w:jc w:val="center"/>
        </w:trPr>
        <w:tc>
          <w:tcPr>
            <w:tcW w:w="2867" w:type="pct"/>
            <w:tcBorders>
              <w:top w:val="nil"/>
              <w:left w:val="nil"/>
              <w:bottom w:val="nil"/>
              <w:right w:val="nil"/>
              <w:tl2br w:val="nil"/>
              <w:tr2bl w:val="nil"/>
            </w:tcBorders>
            <w:noWrap/>
            <w:vAlign w:val="bottom"/>
          </w:tcPr>
          <w:p w:rsidR="009534E2" w:rsidRDefault="003369EB">
            <w:pPr>
              <w:spacing w:after="1"/>
              <w:rPr>
                <w:color w:val="000000"/>
              </w:rPr>
            </w:pPr>
            <w:bookmarkStart w:name="_5581317f_bf0b_44bc_b24c_03ed3d2491ae" w:id="2907"/>
            <w:bookmarkEnd w:id="2906"/>
            <w:r>
              <w:rPr>
                <w:rFonts w:ascii="Times New Roman" w:hAnsi="Times New Roman" w:eastAsia="Times New Roman" w:cs="Times New Roman"/>
                <w:color w:val="000000"/>
              </w:rPr>
              <w:t xml:space="preserve">Customer accounts and amounts due to banks </w:t>
            </w:r>
          </w:p>
        </w:tc>
        <w:tc>
          <w:tcPr>
            <w:tcW w:w="89" w:type="pct"/>
            <w:tcBorders>
              <w:top w:val="nil"/>
              <w:left w:val="nil"/>
              <w:bottom w:val="nil"/>
              <w:right w:val="nil"/>
              <w:tl2br w:val="nil"/>
              <w:tr2bl w:val="nil"/>
            </w:tcBorders>
            <w:noWrap/>
            <w:vAlign w:val="bottom"/>
          </w:tcPr>
          <w:p w:rsidR="009534E2" w:rsidRDefault="009534E2">
            <w:pPr>
              <w:spacing w:after="1"/>
              <w:rPr>
                <w:color w:val="000000"/>
              </w:rPr>
            </w:pPr>
          </w:p>
        </w:tc>
        <w:tc>
          <w:tcPr>
            <w:tcW w:w="357" w:type="pct"/>
            <w:tcBorders>
              <w:top w:val="nil"/>
              <w:left w:val="nil"/>
              <w:bottom w:val="nil"/>
              <w:right w:val="nil"/>
              <w:tl2br w:val="nil"/>
              <w:tr2bl w:val="nil"/>
            </w:tcBorders>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11,203</w:t>
            </w:r>
          </w:p>
        </w:tc>
        <w:tc>
          <w:tcPr>
            <w:tcW w:w="89" w:type="pct"/>
            <w:tcBorders>
              <w:top w:val="nil"/>
              <w:left w:val="nil"/>
              <w:bottom w:val="nil"/>
              <w:right w:val="nil"/>
              <w:tl2br w:val="nil"/>
              <w:tr2bl w:val="nil"/>
            </w:tcBorders>
            <w:noWrap/>
            <w:vAlign w:val="bottom"/>
          </w:tcPr>
          <w:p w:rsidR="009534E2" w:rsidRDefault="009534E2">
            <w:pPr>
              <w:spacing w:after="1"/>
              <w:rPr>
                <w:color w:val="000000"/>
              </w:rPr>
            </w:pPr>
          </w:p>
        </w:tc>
        <w:tc>
          <w:tcPr>
            <w:tcW w:w="373" w:type="pct"/>
            <w:tcBorders>
              <w:top w:val="nil"/>
              <w:left w:val="nil"/>
              <w:bottom w:val="nil"/>
              <w:right w:val="nil"/>
              <w:tl2br w:val="nil"/>
              <w:tr2bl w:val="nil"/>
            </w:tcBorders>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11,203</w:t>
            </w:r>
          </w:p>
        </w:tc>
        <w:tc>
          <w:tcPr>
            <w:tcW w:w="89" w:type="pct"/>
            <w:tcBorders>
              <w:top w:val="nil"/>
              <w:left w:val="nil"/>
              <w:bottom w:val="nil"/>
              <w:right w:val="nil"/>
              <w:tl2br w:val="nil"/>
              <w:tr2bl w:val="nil"/>
            </w:tcBorders>
            <w:noWrap/>
            <w:vAlign w:val="bottom"/>
          </w:tcPr>
          <w:p w:rsidR="009534E2" w:rsidRDefault="009534E2">
            <w:pPr>
              <w:spacing w:after="1"/>
              <w:rPr>
                <w:color w:val="000000"/>
              </w:rPr>
            </w:pPr>
          </w:p>
        </w:tc>
        <w:tc>
          <w:tcPr>
            <w:tcW w:w="524" w:type="pct"/>
            <w:tcBorders>
              <w:top w:val="nil"/>
              <w:left w:val="nil"/>
              <w:bottom w:val="nil"/>
              <w:right w:val="nil"/>
              <w:tl2br w:val="nil"/>
              <w:tr2bl w:val="nil"/>
            </w:tcBorders>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w:t>
            </w:r>
          </w:p>
        </w:tc>
        <w:tc>
          <w:tcPr>
            <w:tcW w:w="89" w:type="pct"/>
            <w:tcBorders>
              <w:top w:val="nil"/>
              <w:left w:val="nil"/>
              <w:bottom w:val="nil"/>
              <w:right w:val="nil"/>
              <w:tl2br w:val="nil"/>
              <w:tr2bl w:val="nil"/>
            </w:tcBorders>
            <w:noWrap/>
            <w:vAlign w:val="bottom"/>
          </w:tcPr>
          <w:p w:rsidR="009534E2" w:rsidRDefault="009534E2">
            <w:pPr>
              <w:spacing w:after="1"/>
              <w:rPr>
                <w:color w:val="000000"/>
              </w:rPr>
            </w:pPr>
          </w:p>
        </w:tc>
        <w:tc>
          <w:tcPr>
            <w:tcW w:w="523" w:type="pct"/>
            <w:tcBorders>
              <w:top w:val="nil"/>
              <w:left w:val="nil"/>
              <w:bottom w:val="nil"/>
              <w:right w:val="nil"/>
              <w:tl2br w:val="nil"/>
              <w:tr2bl w:val="nil"/>
            </w:tcBorders>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w:t>
            </w:r>
          </w:p>
        </w:tc>
      </w:tr>
      <w:tr w:rsidR="003D0CAA" w:rsidTr="003D0CAA">
        <w:trPr>
          <w:jc w:val="center"/>
        </w:trPr>
        <w:tc>
          <w:tcPr>
            <w:tcW w:w="2867" w:type="pct"/>
            <w:tcBorders>
              <w:top w:val="nil"/>
              <w:left w:val="nil"/>
              <w:bottom w:val="nil"/>
              <w:right w:val="nil"/>
              <w:tl2br w:val="nil"/>
              <w:tr2bl w:val="nil"/>
            </w:tcBorders>
            <w:shd w:val="clear" w:color="auto" w:fill="CCEEFF"/>
            <w:noWrap/>
            <w:vAlign w:val="bottom"/>
          </w:tcPr>
          <w:p w:rsidR="009534E2" w:rsidRDefault="003369EB">
            <w:pPr>
              <w:spacing w:after="1"/>
              <w:rPr>
                <w:color w:val="000000"/>
              </w:rPr>
            </w:pPr>
            <w:bookmarkStart w:name="_57912f91_a0d3_4c19_91bf_8c8e49c699ca" w:id="2908"/>
            <w:bookmarkEnd w:id="2907"/>
            <w:r>
              <w:rPr>
                <w:rFonts w:ascii="Times New Roman" w:hAnsi="Times New Roman" w:eastAsia="Times New Roman" w:cs="Times New Roman"/>
                <w:color w:val="000000"/>
              </w:rPr>
              <w:t>Financial guarantees</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357"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1,000</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373"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524"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500</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523"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500</w:t>
            </w:r>
          </w:p>
        </w:tc>
      </w:tr>
      <w:tr w:rsidR="003D0CAA" w:rsidTr="003D0CAA">
        <w:trPr>
          <w:jc w:val="center"/>
        </w:trPr>
        <w:tc>
          <w:tcPr>
            <w:tcW w:w="2867" w:type="pct"/>
            <w:tcBorders>
              <w:top w:val="nil"/>
              <w:left w:val="nil"/>
              <w:bottom w:val="nil"/>
              <w:right w:val="nil"/>
              <w:tl2br w:val="nil"/>
              <w:tr2bl w:val="nil"/>
            </w:tcBorders>
            <w:noWrap/>
            <w:vAlign w:val="bottom"/>
          </w:tcPr>
          <w:p w:rsidR="009534E2" w:rsidRDefault="003369EB">
            <w:pPr>
              <w:spacing w:after="1"/>
              <w:rPr>
                <w:color w:val="000000"/>
              </w:rPr>
            </w:pPr>
            <w:bookmarkStart w:name="_b70bbca6_8890_4db3_842d_2e5bfb3822f0" w:id="2909"/>
            <w:bookmarkEnd w:id="2908"/>
            <w:r>
              <w:rPr>
                <w:rFonts w:ascii="Times New Roman" w:hAnsi="Times New Roman" w:eastAsia="Times New Roman" w:cs="Times New Roman"/>
                <w:color w:val="000000"/>
              </w:rPr>
              <w:t>Undrawn credit commitments</w:t>
            </w:r>
          </w:p>
        </w:tc>
        <w:tc>
          <w:tcPr>
            <w:tcW w:w="89" w:type="pct"/>
            <w:tcBorders>
              <w:top w:val="nil"/>
              <w:left w:val="nil"/>
              <w:bottom w:val="nil"/>
              <w:right w:val="nil"/>
              <w:tl2br w:val="nil"/>
              <w:tr2bl w:val="nil"/>
            </w:tcBorders>
            <w:noWrap/>
            <w:vAlign w:val="bottom"/>
          </w:tcPr>
          <w:p w:rsidR="009534E2" w:rsidRDefault="009534E2">
            <w:pPr>
              <w:spacing w:after="1"/>
              <w:rPr>
                <w:color w:val="000000"/>
              </w:rPr>
            </w:pPr>
          </w:p>
        </w:tc>
        <w:tc>
          <w:tcPr>
            <w:tcW w:w="357" w:type="pct"/>
            <w:tcBorders>
              <w:top w:val="nil"/>
              <w:left w:val="nil"/>
              <w:bottom w:val="single" w:color="000000" w:sz="4" w:space="0"/>
              <w:right w:val="nil"/>
              <w:tl2br w:val="nil"/>
              <w:tr2bl w:val="nil"/>
            </w:tcBorders>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1,618</w:t>
            </w:r>
          </w:p>
        </w:tc>
        <w:tc>
          <w:tcPr>
            <w:tcW w:w="89" w:type="pct"/>
            <w:tcBorders>
              <w:top w:val="nil"/>
              <w:left w:val="nil"/>
              <w:bottom w:val="nil"/>
              <w:right w:val="nil"/>
              <w:tl2br w:val="nil"/>
              <w:tr2bl w:val="nil"/>
            </w:tcBorders>
            <w:noWrap/>
            <w:vAlign w:val="bottom"/>
          </w:tcPr>
          <w:p w:rsidR="009534E2" w:rsidRDefault="009534E2">
            <w:pPr>
              <w:spacing w:after="1"/>
              <w:rPr>
                <w:color w:val="000000"/>
              </w:rPr>
            </w:pPr>
          </w:p>
        </w:tc>
        <w:tc>
          <w:tcPr>
            <w:tcW w:w="373" w:type="pct"/>
            <w:tcBorders>
              <w:top w:val="nil"/>
              <w:left w:val="nil"/>
              <w:bottom w:val="single" w:color="000000" w:sz="4" w:space="0"/>
              <w:right w:val="nil"/>
              <w:tl2br w:val="nil"/>
              <w:tr2bl w:val="nil"/>
            </w:tcBorders>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1,618</w:t>
            </w:r>
          </w:p>
        </w:tc>
        <w:tc>
          <w:tcPr>
            <w:tcW w:w="89" w:type="pct"/>
            <w:tcBorders>
              <w:top w:val="nil"/>
              <w:left w:val="nil"/>
              <w:bottom w:val="nil"/>
              <w:right w:val="nil"/>
              <w:tl2br w:val="nil"/>
              <w:tr2bl w:val="nil"/>
            </w:tcBorders>
            <w:noWrap/>
            <w:vAlign w:val="bottom"/>
          </w:tcPr>
          <w:p w:rsidR="009534E2" w:rsidRDefault="009534E2">
            <w:pPr>
              <w:spacing w:after="1"/>
              <w:rPr>
                <w:color w:val="000000"/>
              </w:rPr>
            </w:pPr>
          </w:p>
        </w:tc>
        <w:tc>
          <w:tcPr>
            <w:tcW w:w="524" w:type="pct"/>
            <w:tcBorders>
              <w:top w:val="nil"/>
              <w:left w:val="nil"/>
              <w:bottom w:val="single" w:color="000000" w:sz="4" w:space="0"/>
              <w:right w:val="nil"/>
              <w:tl2br w:val="nil"/>
              <w:tr2bl w:val="nil"/>
            </w:tcBorders>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w:t>
            </w:r>
          </w:p>
        </w:tc>
        <w:tc>
          <w:tcPr>
            <w:tcW w:w="89" w:type="pct"/>
            <w:tcBorders>
              <w:top w:val="nil"/>
              <w:left w:val="nil"/>
              <w:bottom w:val="nil"/>
              <w:right w:val="nil"/>
              <w:tl2br w:val="nil"/>
              <w:tr2bl w:val="nil"/>
            </w:tcBorders>
            <w:noWrap/>
            <w:vAlign w:val="bottom"/>
          </w:tcPr>
          <w:p w:rsidR="009534E2" w:rsidRDefault="009534E2">
            <w:pPr>
              <w:spacing w:after="1"/>
              <w:rPr>
                <w:color w:val="000000"/>
              </w:rPr>
            </w:pPr>
          </w:p>
        </w:tc>
        <w:tc>
          <w:tcPr>
            <w:tcW w:w="523" w:type="pct"/>
            <w:tcBorders>
              <w:top w:val="nil"/>
              <w:left w:val="nil"/>
              <w:bottom w:val="single" w:color="000000" w:sz="4" w:space="0"/>
              <w:right w:val="nil"/>
              <w:tl2br w:val="nil"/>
              <w:tr2bl w:val="nil"/>
            </w:tcBorders>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w:t>
            </w:r>
          </w:p>
        </w:tc>
      </w:tr>
      <w:tr w:rsidR="003D0CAA" w:rsidTr="003D0CAA">
        <w:trPr>
          <w:jc w:val="center"/>
        </w:trPr>
        <w:tc>
          <w:tcPr>
            <w:tcW w:w="2867" w:type="pct"/>
            <w:tcBorders>
              <w:top w:val="nil"/>
              <w:left w:val="nil"/>
              <w:bottom w:val="nil"/>
              <w:right w:val="nil"/>
              <w:tl2br w:val="nil"/>
              <w:tr2bl w:val="nil"/>
            </w:tcBorders>
            <w:shd w:val="clear" w:color="auto" w:fill="CCEEFF"/>
            <w:noWrap/>
            <w:vAlign w:val="bottom"/>
          </w:tcPr>
          <w:p w:rsidR="009534E2" w:rsidRDefault="003369EB">
            <w:pPr>
              <w:spacing w:after="1"/>
              <w:rPr>
                <w:b/>
                <w:color w:val="000000"/>
              </w:rPr>
            </w:pPr>
            <w:bookmarkStart w:name="_e77fbf1b_643f_4ab7_affe_9464cc7caa45" w:id="2910"/>
            <w:bookmarkEnd w:id="2909"/>
            <w:r>
              <w:rPr>
                <w:rFonts w:ascii="Times New Roman" w:hAnsi="Times New Roman" w:eastAsia="Times New Roman" w:cs="Times New Roman"/>
                <w:b/>
                <w:color w:val="000000"/>
              </w:rPr>
              <w:t>Total as of December 31, 2022</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color w:val="000000"/>
              </w:rPr>
            </w:pPr>
          </w:p>
        </w:tc>
        <w:tc>
          <w:tcPr>
            <w:tcW w:w="357" w:type="pct"/>
            <w:tcBorders>
              <w:top w:val="nil"/>
              <w:left w:val="nil"/>
              <w:bottom w:val="double" w:color="000000" w:sz="4" w:space="0"/>
              <w:right w:val="nil"/>
              <w:tl2br w:val="nil"/>
              <w:tr2bl w:val="nil"/>
            </w:tcBorders>
            <w:shd w:val="clear" w:color="auto" w:fill="CCEEFF"/>
            <w:noWrap/>
            <w:vAlign w:val="bottom"/>
          </w:tcPr>
          <w:p w:rsidRPr="003D0CAA" w:rsidR="009534E2" w:rsidRDefault="003369EB">
            <w:pPr>
              <w:spacing w:after="1"/>
              <w:ind w:right="60"/>
              <w:jc w:val="right"/>
              <w:rPr>
                <w:b/>
                <w:color w:val="000000"/>
              </w:rPr>
            </w:pPr>
            <w:r w:rsidRPr="003D0CAA">
              <w:rPr>
                <w:rFonts w:ascii="Times New Roman" w:hAnsi="Times New Roman" w:eastAsia="Times New Roman" w:cs="Times New Roman"/>
                <w:b/>
                <w:color w:val="000000"/>
              </w:rPr>
              <w:t xml:space="preserve"> 51,592</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b/>
                <w:color w:val="000000"/>
              </w:rPr>
            </w:pPr>
          </w:p>
        </w:tc>
        <w:tc>
          <w:tcPr>
            <w:tcW w:w="373" w:type="pct"/>
            <w:tcBorders>
              <w:top w:val="nil"/>
              <w:left w:val="nil"/>
              <w:bottom w:val="double" w:color="000000" w:sz="4" w:space="0"/>
              <w:right w:val="nil"/>
              <w:tl2br w:val="nil"/>
              <w:tr2bl w:val="nil"/>
            </w:tcBorders>
            <w:shd w:val="clear" w:color="auto" w:fill="CCEEFF"/>
            <w:noWrap/>
            <w:vAlign w:val="bottom"/>
          </w:tcPr>
          <w:p w:rsidRPr="003D0CAA" w:rsidR="009534E2" w:rsidRDefault="003369EB">
            <w:pPr>
              <w:spacing w:after="1"/>
              <w:ind w:right="60"/>
              <w:jc w:val="right"/>
              <w:rPr>
                <w:b/>
                <w:color w:val="000000"/>
              </w:rPr>
            </w:pPr>
            <w:r w:rsidRPr="003D0CAA">
              <w:rPr>
                <w:rFonts w:ascii="Times New Roman" w:hAnsi="Times New Roman" w:eastAsia="Times New Roman" w:cs="Times New Roman"/>
                <w:b/>
                <w:color w:val="000000"/>
              </w:rPr>
              <w:t xml:space="preserve"> 45,869</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b/>
                <w:color w:val="000000"/>
              </w:rPr>
            </w:pPr>
          </w:p>
        </w:tc>
        <w:tc>
          <w:tcPr>
            <w:tcW w:w="524" w:type="pct"/>
            <w:tcBorders>
              <w:top w:val="nil"/>
              <w:left w:val="nil"/>
              <w:bottom w:val="double" w:color="000000" w:sz="4" w:space="0"/>
              <w:right w:val="nil"/>
              <w:tl2br w:val="nil"/>
              <w:tr2bl w:val="nil"/>
            </w:tcBorders>
            <w:shd w:val="clear" w:color="auto" w:fill="CCEEFF"/>
            <w:noWrap/>
            <w:vAlign w:val="bottom"/>
          </w:tcPr>
          <w:p w:rsidRPr="003D0CAA" w:rsidR="009534E2" w:rsidRDefault="003369EB">
            <w:pPr>
              <w:spacing w:after="1"/>
              <w:ind w:right="60"/>
              <w:jc w:val="right"/>
              <w:rPr>
                <w:b/>
                <w:color w:val="000000"/>
              </w:rPr>
            </w:pPr>
            <w:r w:rsidRPr="003D0CAA">
              <w:rPr>
                <w:rFonts w:ascii="Times New Roman" w:hAnsi="Times New Roman" w:eastAsia="Times New Roman" w:cs="Times New Roman"/>
                <w:b/>
                <w:color w:val="000000"/>
              </w:rPr>
              <w:t xml:space="preserve"> 5,068</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b/>
                <w:color w:val="000000"/>
              </w:rPr>
            </w:pPr>
          </w:p>
        </w:tc>
        <w:tc>
          <w:tcPr>
            <w:tcW w:w="523" w:type="pct"/>
            <w:tcBorders>
              <w:top w:val="nil"/>
              <w:left w:val="nil"/>
              <w:bottom w:val="double" w:color="000000" w:sz="4" w:space="0"/>
              <w:right w:val="nil"/>
              <w:tl2br w:val="nil"/>
              <w:tr2bl w:val="nil"/>
            </w:tcBorders>
            <w:shd w:val="clear" w:color="auto" w:fill="CCEEFF"/>
            <w:noWrap/>
            <w:vAlign w:val="bottom"/>
          </w:tcPr>
          <w:p w:rsidRPr="003D0CAA" w:rsidR="009534E2" w:rsidRDefault="003369EB">
            <w:pPr>
              <w:spacing w:after="1"/>
              <w:ind w:right="60"/>
              <w:jc w:val="right"/>
              <w:rPr>
                <w:b/>
                <w:color w:val="000000"/>
              </w:rPr>
            </w:pPr>
            <w:r w:rsidRPr="003D0CAA">
              <w:rPr>
                <w:rFonts w:ascii="Times New Roman" w:hAnsi="Times New Roman" w:eastAsia="Times New Roman" w:cs="Times New Roman"/>
                <w:b/>
                <w:color w:val="000000"/>
              </w:rPr>
              <w:t xml:space="preserve"> 655</w:t>
            </w:r>
          </w:p>
        </w:tc>
      </w:tr>
      <w:bookmarkEnd w:id="2900"/>
      <w:bookmarkEnd w:id="2910"/>
    </w:tbl>
    <w:p w:rsidR="009534E2" w:rsidRDefault="009534E2">
      <w:pPr>
        <w:pStyle w:val="BodyText"/>
        <w:keepNext/>
        <w:spacing w:after="0"/>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193"/>
        <w:gridCol w:w="192"/>
        <w:gridCol w:w="771"/>
        <w:gridCol w:w="192"/>
        <w:gridCol w:w="806"/>
        <w:gridCol w:w="192"/>
        <w:gridCol w:w="1132"/>
        <w:gridCol w:w="192"/>
        <w:gridCol w:w="1130"/>
      </w:tblGrid>
      <w:tr w:rsidR="003D0CAA" w:rsidTr="003D0CAA">
        <w:trPr>
          <w:trHeight w:val="20" w:hRule="exact"/>
          <w:jc w:val="center"/>
        </w:trPr>
        <w:tc>
          <w:tcPr>
            <w:tcW w:w="2867"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3e9f7d78_2307_4e32_ad4e_74892a731b65" w:colFirst="0" w:colLast="0" w:id="2911"/>
            <w:bookmarkStart w:name="_5bb1a93a_6de3_4817_ad3a_4cd498f1dc41" w:colFirst="1" w:colLast="1" w:id="2912"/>
            <w:bookmarkStart w:name="_c72115ab_f275_4163_b625_eb586e8ff601" w:colFirst="2" w:colLast="2" w:id="2913"/>
            <w:bookmarkStart w:name="_5b5fd448_d2fe_4531_9cef_44fa023f14a4" w:colFirst="3" w:colLast="3" w:id="2914"/>
            <w:bookmarkStart w:name="_c59fe7bb_5fbe_4268_919b_15756ee9d190" w:colFirst="4" w:colLast="4" w:id="2915"/>
            <w:bookmarkStart w:name="_3c8d25fa_4930_4603_89c9_003a6e39e9c3" w:colFirst="5" w:colLast="5" w:id="2916"/>
            <w:bookmarkStart w:name="_abe49a94_f0d2_48bd_a61e_9566e4be6f6b" w:colFirst="6" w:colLast="6" w:id="2917"/>
            <w:bookmarkStart w:name="_6ce1a33f_ee17_45b9_a11c_56abe7d56764" w:colFirst="7" w:colLast="7" w:id="2918"/>
            <w:bookmarkStart w:name="_4084ed58_556c_47de_bccb_3d947ec2b6c5" w:colFirst="8" w:colLast="8" w:id="2919"/>
            <w:bookmarkStart w:name="_ebc70ff0_2354_46c0_afbf_19ececa0e3d6" w:id="2920"/>
          </w:p>
        </w:tc>
        <w:tc>
          <w:tcPr>
            <w:tcW w:w="89"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57"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89"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7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89"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24"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89"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523"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3D0CAA" w:rsidTr="003D0CAA">
        <w:trPr>
          <w:jc w:val="center"/>
        </w:trPr>
        <w:tc>
          <w:tcPr>
            <w:tcW w:w="2867" w:type="pct"/>
            <w:tcBorders>
              <w:top w:val="nil"/>
              <w:left w:val="nil"/>
              <w:bottom w:val="nil"/>
              <w:right w:val="nil"/>
              <w:tl2br w:val="nil"/>
              <w:tr2bl w:val="nil"/>
            </w:tcBorders>
            <w:shd w:val="clear" w:color="auto" w:fill="auto"/>
            <w:vAlign w:val="bottom"/>
          </w:tcPr>
          <w:p w:rsidR="009534E2" w:rsidRDefault="009534E2">
            <w:pPr>
              <w:spacing w:after="1"/>
              <w:rPr>
                <w:rFonts w:asciiTheme="majorHAnsi" w:hAnsiTheme="majorHAnsi" w:cstheme="majorHAnsi"/>
                <w:b/>
                <w:color w:val="000000"/>
                <w:sz w:val="16"/>
              </w:rPr>
            </w:pPr>
            <w:bookmarkStart w:name="_6e103441_2381_4b23_9eff_a5989e9d652c" w:id="2921"/>
            <w:bookmarkEnd w:id="2911"/>
            <w:bookmarkEnd w:id="2912"/>
            <w:bookmarkEnd w:id="2913"/>
            <w:bookmarkEnd w:id="2914"/>
            <w:bookmarkEnd w:id="2915"/>
            <w:bookmarkEnd w:id="2916"/>
            <w:bookmarkEnd w:id="2917"/>
            <w:bookmarkEnd w:id="2918"/>
            <w:bookmarkEnd w:id="2919"/>
          </w:p>
        </w:tc>
        <w:tc>
          <w:tcPr>
            <w:tcW w:w="89" w:type="pct"/>
            <w:tcBorders>
              <w:top w:val="nil"/>
              <w:left w:val="nil"/>
              <w:bottom w:val="nil"/>
              <w:right w:val="nil"/>
              <w:tl2br w:val="nil"/>
              <w:tr2bl w:val="nil"/>
            </w:tcBorders>
            <w:shd w:val="clear" w:color="auto" w:fill="auto"/>
            <w:noWrap/>
            <w:vAlign w:val="bottom"/>
          </w:tcPr>
          <w:p w:rsidR="009534E2" w:rsidRDefault="009534E2">
            <w:pPr>
              <w:spacing w:after="1"/>
              <w:rPr>
                <w:rFonts w:asciiTheme="majorHAnsi" w:hAnsiTheme="majorHAnsi" w:cstheme="majorHAnsi"/>
                <w:b/>
                <w:color w:val="000000"/>
                <w:sz w:val="16"/>
              </w:rPr>
            </w:pPr>
          </w:p>
        </w:tc>
        <w:tc>
          <w:tcPr>
            <w:tcW w:w="357" w:type="pct"/>
            <w:tcBorders>
              <w:top w:val="nil"/>
              <w:left w:val="nil"/>
              <w:bottom w:val="nil"/>
              <w:right w:val="nil"/>
              <w:tl2br w:val="nil"/>
              <w:tr2bl w:val="nil"/>
            </w:tcBorders>
            <w:shd w:val="clear" w:color="auto" w:fill="auto"/>
            <w:noWrap/>
            <w:vAlign w:val="bottom"/>
          </w:tcPr>
          <w:p w:rsidR="009534E2" w:rsidRDefault="009534E2">
            <w:pPr>
              <w:spacing w:after="1"/>
              <w:jc w:val="right"/>
              <w:rPr>
                <w:rFonts w:asciiTheme="majorHAnsi" w:hAnsiTheme="majorHAnsi" w:cstheme="majorHAnsi"/>
                <w:b/>
                <w:color w:val="000000"/>
                <w:sz w:val="16"/>
              </w:rPr>
            </w:pPr>
          </w:p>
        </w:tc>
        <w:tc>
          <w:tcPr>
            <w:tcW w:w="89" w:type="pct"/>
            <w:tcBorders>
              <w:top w:val="nil"/>
              <w:left w:val="nil"/>
              <w:bottom w:val="nil"/>
              <w:right w:val="nil"/>
              <w:tl2br w:val="nil"/>
              <w:tr2bl w:val="nil"/>
            </w:tcBorders>
            <w:shd w:val="clear" w:color="auto" w:fill="auto"/>
            <w:noWrap/>
            <w:vAlign w:val="bottom"/>
          </w:tcPr>
          <w:p w:rsidR="009534E2" w:rsidRDefault="009534E2">
            <w:pPr>
              <w:spacing w:after="1"/>
              <w:rPr>
                <w:rFonts w:asciiTheme="majorHAnsi" w:hAnsiTheme="majorHAnsi" w:cstheme="majorHAnsi"/>
                <w:b/>
                <w:color w:val="000000"/>
                <w:sz w:val="16"/>
              </w:rPr>
            </w:pPr>
          </w:p>
        </w:tc>
        <w:tc>
          <w:tcPr>
            <w:tcW w:w="1598" w:type="pct"/>
            <w:gridSpan w:val="5"/>
            <w:tcBorders>
              <w:top w:val="nil"/>
              <w:left w:val="nil"/>
              <w:bottom w:val="single" w:color="000000" w:sz="4" w:space="0"/>
              <w:right w:val="nil"/>
              <w:tl2br w:val="nil"/>
              <w:tr2bl w:val="nil"/>
            </w:tcBorders>
            <w:shd w:val="clear" w:color="auto" w:fill="auto"/>
            <w:noWrap/>
            <w:vAlign w:val="bottom"/>
          </w:tcPr>
          <w:p w:rsidR="009534E2" w:rsidRDefault="003369EB">
            <w:pPr>
              <w:spacing w:after="1"/>
              <w:rPr>
                <w:rFonts w:asciiTheme="majorHAnsi" w:hAnsiTheme="majorHAnsi" w:cstheme="majorHAnsi"/>
                <w:b/>
                <w:color w:val="000000"/>
                <w:sz w:val="16"/>
              </w:rPr>
            </w:pPr>
            <w:r>
              <w:rPr>
                <w:rFonts w:eastAsia="Times New Roman" w:asciiTheme="majorHAnsi" w:hAnsiTheme="majorHAnsi" w:cstheme="majorHAnsi"/>
                <w:b/>
                <w:color w:val="000000"/>
                <w:sz w:val="16"/>
              </w:rPr>
              <w:t>Due:</w:t>
            </w:r>
          </w:p>
        </w:tc>
      </w:tr>
      <w:tr w:rsidR="003D0CAA" w:rsidTr="003D0CAA">
        <w:trPr>
          <w:jc w:val="center"/>
        </w:trPr>
        <w:tc>
          <w:tcPr>
            <w:tcW w:w="2867" w:type="pct"/>
            <w:tcBorders>
              <w:top w:val="nil"/>
              <w:left w:val="nil"/>
              <w:bottom w:val="nil"/>
              <w:right w:val="nil"/>
              <w:tl2br w:val="nil"/>
              <w:tr2bl w:val="nil"/>
            </w:tcBorders>
            <w:shd w:val="clear" w:color="auto" w:fill="auto"/>
            <w:vAlign w:val="bottom"/>
          </w:tcPr>
          <w:p w:rsidR="009534E2" w:rsidRDefault="009534E2">
            <w:pPr>
              <w:spacing w:after="1"/>
              <w:rPr>
                <w:rFonts w:asciiTheme="majorHAnsi" w:hAnsiTheme="majorHAnsi" w:cstheme="majorHAnsi"/>
                <w:b/>
                <w:color w:val="000000"/>
                <w:sz w:val="16"/>
              </w:rPr>
            </w:pPr>
            <w:bookmarkStart w:name="_566d3e6d_b58c_49c3_93fb_dbe063c7a568" w:id="2922"/>
            <w:bookmarkEnd w:id="2921"/>
          </w:p>
        </w:tc>
        <w:tc>
          <w:tcPr>
            <w:tcW w:w="89" w:type="pct"/>
            <w:tcBorders>
              <w:top w:val="nil"/>
              <w:left w:val="nil"/>
              <w:bottom w:val="nil"/>
              <w:right w:val="nil"/>
              <w:tl2br w:val="nil"/>
              <w:tr2bl w:val="nil"/>
            </w:tcBorders>
            <w:shd w:val="clear" w:color="auto" w:fill="auto"/>
            <w:noWrap/>
            <w:vAlign w:val="bottom"/>
          </w:tcPr>
          <w:p w:rsidR="009534E2" w:rsidRDefault="009534E2">
            <w:pPr>
              <w:spacing w:after="1"/>
              <w:rPr>
                <w:rFonts w:asciiTheme="majorHAnsi" w:hAnsiTheme="majorHAnsi" w:cstheme="majorHAnsi"/>
                <w:b/>
                <w:color w:val="000000"/>
                <w:sz w:val="16"/>
              </w:rPr>
            </w:pPr>
          </w:p>
        </w:tc>
        <w:tc>
          <w:tcPr>
            <w:tcW w:w="357" w:type="pct"/>
            <w:tcBorders>
              <w:top w:val="nil"/>
              <w:left w:val="nil"/>
              <w:bottom w:val="nil"/>
              <w:right w:val="nil"/>
              <w:tl2br w:val="nil"/>
              <w:tr2bl w:val="nil"/>
            </w:tcBorders>
            <w:shd w:val="clear" w:color="auto" w:fill="auto"/>
            <w:noWrap/>
            <w:vAlign w:val="bottom"/>
          </w:tcPr>
          <w:p w:rsidR="009534E2" w:rsidRDefault="009534E2">
            <w:pPr>
              <w:spacing w:after="1"/>
              <w:jc w:val="right"/>
              <w:rPr>
                <w:rFonts w:asciiTheme="majorHAnsi" w:hAnsiTheme="majorHAnsi" w:cstheme="majorHAnsi"/>
                <w:b/>
                <w:color w:val="000000"/>
                <w:sz w:val="16"/>
              </w:rPr>
            </w:pPr>
          </w:p>
        </w:tc>
        <w:tc>
          <w:tcPr>
            <w:tcW w:w="89" w:type="pct"/>
            <w:tcBorders>
              <w:top w:val="nil"/>
              <w:left w:val="nil"/>
              <w:bottom w:val="nil"/>
              <w:right w:val="nil"/>
              <w:tl2br w:val="nil"/>
              <w:tr2bl w:val="nil"/>
            </w:tcBorders>
            <w:shd w:val="clear" w:color="auto" w:fill="auto"/>
            <w:noWrap/>
            <w:vAlign w:val="bottom"/>
          </w:tcPr>
          <w:p w:rsidR="009534E2" w:rsidRDefault="009534E2">
            <w:pPr>
              <w:spacing w:after="1"/>
              <w:rPr>
                <w:rFonts w:asciiTheme="majorHAnsi" w:hAnsiTheme="majorHAnsi" w:cstheme="majorHAnsi"/>
                <w:b/>
                <w:color w:val="000000"/>
                <w:sz w:val="16"/>
              </w:rPr>
            </w:pPr>
          </w:p>
        </w:tc>
        <w:tc>
          <w:tcPr>
            <w:tcW w:w="373" w:type="pct"/>
            <w:tcBorders>
              <w:top w:val="nil"/>
              <w:left w:val="nil"/>
              <w:bottom w:val="nil"/>
              <w:right w:val="nil"/>
              <w:tl2br w:val="nil"/>
              <w:tr2bl w:val="nil"/>
            </w:tcBorders>
            <w:shd w:val="clear" w:color="auto" w:fill="auto"/>
            <w:noWrap/>
            <w:vAlign w:val="bottom"/>
          </w:tcPr>
          <w:p w:rsidR="009534E2" w:rsidRDefault="009534E2">
            <w:pPr>
              <w:spacing w:after="1"/>
              <w:jc w:val="center"/>
              <w:rPr>
                <w:rFonts w:asciiTheme="majorHAnsi" w:hAnsiTheme="majorHAnsi" w:cstheme="majorHAnsi"/>
                <w:b/>
                <w:color w:val="000000"/>
                <w:sz w:val="16"/>
              </w:rPr>
            </w:pPr>
          </w:p>
        </w:tc>
        <w:tc>
          <w:tcPr>
            <w:tcW w:w="89" w:type="pct"/>
            <w:tcBorders>
              <w:top w:val="nil"/>
              <w:left w:val="nil"/>
              <w:bottom w:val="nil"/>
              <w:right w:val="nil"/>
              <w:tl2br w:val="nil"/>
              <w:tr2bl w:val="nil"/>
            </w:tcBorders>
            <w:shd w:val="clear" w:color="auto" w:fill="auto"/>
            <w:noWrap/>
            <w:vAlign w:val="bottom"/>
          </w:tcPr>
          <w:p w:rsidR="009534E2" w:rsidRDefault="009534E2">
            <w:pPr>
              <w:spacing w:after="1"/>
              <w:rPr>
                <w:rFonts w:asciiTheme="majorHAnsi" w:hAnsiTheme="majorHAnsi" w:cstheme="majorHAnsi"/>
                <w:b/>
                <w:color w:val="000000"/>
                <w:sz w:val="16"/>
              </w:rPr>
            </w:pPr>
          </w:p>
        </w:tc>
        <w:tc>
          <w:tcPr>
            <w:tcW w:w="524" w:type="pct"/>
            <w:tcBorders>
              <w:top w:val="nil"/>
              <w:left w:val="nil"/>
              <w:bottom w:val="nil"/>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Within a</w:t>
            </w:r>
          </w:p>
        </w:tc>
        <w:tc>
          <w:tcPr>
            <w:tcW w:w="89" w:type="pct"/>
            <w:tcBorders>
              <w:top w:val="nil"/>
              <w:left w:val="nil"/>
              <w:bottom w:val="nil"/>
              <w:right w:val="nil"/>
              <w:tl2br w:val="nil"/>
              <w:tr2bl w:val="nil"/>
            </w:tcBorders>
            <w:shd w:val="clear" w:color="auto" w:fill="auto"/>
            <w:noWrap/>
            <w:vAlign w:val="bottom"/>
          </w:tcPr>
          <w:p w:rsidR="009534E2" w:rsidRDefault="009534E2">
            <w:pPr>
              <w:spacing w:after="1"/>
              <w:rPr>
                <w:rFonts w:asciiTheme="majorHAnsi" w:hAnsiTheme="majorHAnsi" w:cstheme="majorHAnsi"/>
                <w:b/>
                <w:color w:val="000000"/>
                <w:sz w:val="16"/>
              </w:rPr>
            </w:pPr>
          </w:p>
        </w:tc>
        <w:tc>
          <w:tcPr>
            <w:tcW w:w="523" w:type="pct"/>
            <w:tcBorders>
              <w:top w:val="nil"/>
              <w:left w:val="nil"/>
              <w:bottom w:val="nil"/>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More than a</w:t>
            </w:r>
          </w:p>
        </w:tc>
      </w:tr>
      <w:tr w:rsidR="003D0CAA" w:rsidTr="003D0CAA">
        <w:trPr>
          <w:jc w:val="center"/>
        </w:trPr>
        <w:tc>
          <w:tcPr>
            <w:tcW w:w="2867" w:type="pct"/>
            <w:tcBorders>
              <w:top w:val="nil"/>
              <w:left w:val="nil"/>
              <w:bottom w:val="nil"/>
              <w:right w:val="nil"/>
              <w:tl2br w:val="nil"/>
              <w:tr2bl w:val="nil"/>
            </w:tcBorders>
            <w:shd w:val="clear" w:color="auto" w:fill="auto"/>
            <w:vAlign w:val="bottom"/>
          </w:tcPr>
          <w:p w:rsidR="009534E2" w:rsidRDefault="009534E2">
            <w:pPr>
              <w:spacing w:after="1"/>
              <w:rPr>
                <w:rFonts w:asciiTheme="majorHAnsi" w:hAnsiTheme="majorHAnsi" w:cstheme="majorHAnsi"/>
                <w:color w:val="000000"/>
                <w:sz w:val="16"/>
              </w:rPr>
            </w:pPr>
            <w:bookmarkStart w:name="_f2e145bd_a4d7_444a_82c1_fe96d7843b7e" w:id="2923"/>
            <w:bookmarkEnd w:id="2922"/>
          </w:p>
        </w:tc>
        <w:tc>
          <w:tcPr>
            <w:tcW w:w="89" w:type="pct"/>
            <w:tcBorders>
              <w:top w:val="nil"/>
              <w:left w:val="nil"/>
              <w:bottom w:val="nil"/>
              <w:right w:val="nil"/>
              <w:tl2br w:val="nil"/>
              <w:tr2bl w:val="nil"/>
            </w:tcBorders>
            <w:shd w:val="clear" w:color="auto" w:fill="auto"/>
            <w:noWrap/>
            <w:vAlign w:val="bottom"/>
          </w:tcPr>
          <w:p w:rsidR="009534E2" w:rsidRDefault="003369EB">
            <w:pPr>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57"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Total</w:t>
            </w:r>
          </w:p>
        </w:tc>
        <w:tc>
          <w:tcPr>
            <w:tcW w:w="89" w:type="pct"/>
            <w:tcBorders>
              <w:top w:val="nil"/>
              <w:left w:val="nil"/>
              <w:bottom w:val="nil"/>
              <w:right w:val="nil"/>
              <w:tl2br w:val="nil"/>
              <w:tr2bl w:val="nil"/>
            </w:tcBorders>
            <w:shd w:val="clear" w:color="auto" w:fill="auto"/>
            <w:noWrap/>
            <w:vAlign w:val="bottom"/>
          </w:tcPr>
          <w:p w:rsidR="009534E2" w:rsidRDefault="003369EB">
            <w:pPr>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73"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On demand</w:t>
            </w:r>
          </w:p>
        </w:tc>
        <w:tc>
          <w:tcPr>
            <w:tcW w:w="89" w:type="pct"/>
            <w:tcBorders>
              <w:top w:val="nil"/>
              <w:left w:val="nil"/>
              <w:bottom w:val="nil"/>
              <w:right w:val="nil"/>
              <w:tl2br w:val="nil"/>
              <w:tr2bl w:val="nil"/>
            </w:tcBorders>
            <w:shd w:val="clear" w:color="auto" w:fill="auto"/>
            <w:noWrap/>
            <w:vAlign w:val="bottom"/>
          </w:tcPr>
          <w:p w:rsidR="009534E2" w:rsidRDefault="003369EB">
            <w:pPr>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24"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xml:space="preserve"> year</w:t>
            </w:r>
          </w:p>
        </w:tc>
        <w:tc>
          <w:tcPr>
            <w:tcW w:w="89" w:type="pct"/>
            <w:tcBorders>
              <w:top w:val="nil"/>
              <w:left w:val="nil"/>
              <w:bottom w:val="nil"/>
              <w:right w:val="nil"/>
              <w:tl2br w:val="nil"/>
              <w:tr2bl w:val="nil"/>
            </w:tcBorders>
            <w:shd w:val="clear" w:color="auto" w:fill="auto"/>
            <w:noWrap/>
            <w:vAlign w:val="bottom"/>
          </w:tcPr>
          <w:p w:rsidR="009534E2" w:rsidRDefault="003369EB">
            <w:pPr>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523"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xml:space="preserve"> year</w:t>
            </w:r>
          </w:p>
        </w:tc>
      </w:tr>
      <w:tr w:rsidR="003D0CAA" w:rsidTr="003D0CAA">
        <w:trPr>
          <w:jc w:val="center"/>
        </w:trPr>
        <w:tc>
          <w:tcPr>
            <w:tcW w:w="2867" w:type="pct"/>
            <w:tcBorders>
              <w:top w:val="nil"/>
              <w:left w:val="nil"/>
              <w:bottom w:val="nil"/>
              <w:right w:val="nil"/>
              <w:tl2br w:val="nil"/>
              <w:tr2bl w:val="nil"/>
            </w:tcBorders>
            <w:shd w:val="clear" w:color="auto" w:fill="CCEEFF"/>
            <w:vAlign w:val="bottom"/>
          </w:tcPr>
          <w:p w:rsidR="009534E2" w:rsidRDefault="003369EB">
            <w:pPr>
              <w:spacing w:after="1"/>
              <w:rPr>
                <w:rFonts w:asciiTheme="majorHAnsi" w:hAnsiTheme="majorHAnsi" w:cstheme="majorHAnsi"/>
                <w:color w:val="000000"/>
              </w:rPr>
            </w:pPr>
            <w:bookmarkStart w:name="_490e96c9_8d74_442e_8169_590e0872df72" w:id="2924"/>
            <w:bookmarkEnd w:id="2923"/>
            <w:r>
              <w:rPr>
                <w:rFonts w:eastAsia="Times New Roman" w:asciiTheme="majorHAnsi" w:hAnsiTheme="majorHAnsi" w:cstheme="majorHAnsi"/>
                <w:color w:val="000000"/>
              </w:rPr>
              <w:t>Debt</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rFonts w:asciiTheme="majorHAnsi" w:hAnsiTheme="majorHAnsi" w:cstheme="majorHAnsi"/>
                <w:b/>
                <w:color w:val="000000"/>
                <w:sz w:val="16"/>
              </w:rPr>
            </w:pPr>
          </w:p>
        </w:tc>
        <w:tc>
          <w:tcPr>
            <w:tcW w:w="357"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4,772</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rFonts w:asciiTheme="majorHAnsi" w:hAnsiTheme="majorHAnsi" w:cstheme="majorHAnsi"/>
                <w:color w:val="000000"/>
              </w:rPr>
            </w:pPr>
          </w:p>
        </w:tc>
        <w:tc>
          <w:tcPr>
            <w:tcW w:w="373"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rFonts w:asciiTheme="majorHAnsi" w:hAnsiTheme="majorHAnsi" w:cstheme="majorHAnsi"/>
                <w:color w:val="000000"/>
              </w:rPr>
            </w:pPr>
          </w:p>
        </w:tc>
        <w:tc>
          <w:tcPr>
            <w:tcW w:w="524"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86</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rFonts w:asciiTheme="majorHAnsi" w:hAnsiTheme="majorHAnsi" w:cstheme="majorHAnsi"/>
                <w:color w:val="000000"/>
              </w:rPr>
            </w:pPr>
          </w:p>
        </w:tc>
        <w:tc>
          <w:tcPr>
            <w:tcW w:w="523"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4,686</w:t>
            </w:r>
          </w:p>
        </w:tc>
      </w:tr>
      <w:tr w:rsidR="003D0CAA" w:rsidTr="003D0CAA">
        <w:trPr>
          <w:jc w:val="center"/>
        </w:trPr>
        <w:tc>
          <w:tcPr>
            <w:tcW w:w="2867" w:type="pct"/>
            <w:tcBorders>
              <w:top w:val="nil"/>
              <w:left w:val="nil"/>
              <w:bottom w:val="nil"/>
              <w:right w:val="nil"/>
              <w:tl2br w:val="nil"/>
              <w:tr2bl w:val="nil"/>
            </w:tcBorders>
            <w:vAlign w:val="bottom"/>
          </w:tcPr>
          <w:p w:rsidR="009534E2" w:rsidRDefault="003369EB">
            <w:pPr>
              <w:spacing w:after="1"/>
              <w:rPr>
                <w:rFonts w:asciiTheme="majorHAnsi" w:hAnsiTheme="majorHAnsi" w:cstheme="majorHAnsi"/>
                <w:color w:val="000000"/>
              </w:rPr>
            </w:pPr>
            <w:bookmarkStart w:name="_4115a547_3cbc_4c19_a3f0_32cd73435191" w:id="2925"/>
            <w:bookmarkEnd w:id="2924"/>
            <w:r>
              <w:rPr>
                <w:rFonts w:eastAsia="Times New Roman" w:asciiTheme="majorHAnsi" w:hAnsiTheme="majorHAnsi" w:cstheme="majorHAnsi"/>
                <w:color w:val="000000"/>
              </w:rPr>
              <w:t xml:space="preserve">Lease liabilities </w:t>
            </w:r>
          </w:p>
        </w:tc>
        <w:tc>
          <w:tcPr>
            <w:tcW w:w="89" w:type="pct"/>
            <w:tcBorders>
              <w:top w:val="nil"/>
              <w:left w:val="nil"/>
              <w:bottom w:val="nil"/>
              <w:right w:val="nil"/>
              <w:tl2br w:val="nil"/>
              <w:tr2bl w:val="nil"/>
            </w:tcBorders>
            <w:noWrap/>
            <w:vAlign w:val="bottom"/>
          </w:tcPr>
          <w:p w:rsidR="009534E2" w:rsidRDefault="009534E2">
            <w:pPr>
              <w:spacing w:after="1"/>
              <w:rPr>
                <w:rFonts w:asciiTheme="majorHAnsi" w:hAnsiTheme="majorHAnsi" w:cstheme="majorHAnsi"/>
                <w:b/>
                <w:color w:val="000000"/>
                <w:sz w:val="16"/>
              </w:rPr>
            </w:pPr>
          </w:p>
        </w:tc>
        <w:tc>
          <w:tcPr>
            <w:tcW w:w="357" w:type="pct"/>
            <w:tcBorders>
              <w:top w:val="nil"/>
              <w:left w:val="nil"/>
              <w:bottom w:val="nil"/>
              <w:right w:val="nil"/>
              <w:tl2br w:val="nil"/>
              <w:tr2bl w:val="nil"/>
            </w:tcBorders>
            <w:noWrap/>
            <w:vAlign w:val="bottom"/>
          </w:tcPr>
          <w:p w:rsidRPr="003D0CAA" w:rsidR="009534E2" w:rsidRDefault="003369EB">
            <w:pPr>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710</w:t>
            </w:r>
          </w:p>
        </w:tc>
        <w:tc>
          <w:tcPr>
            <w:tcW w:w="89" w:type="pct"/>
            <w:tcBorders>
              <w:top w:val="nil"/>
              <w:left w:val="nil"/>
              <w:bottom w:val="nil"/>
              <w:right w:val="nil"/>
              <w:tl2br w:val="nil"/>
              <w:tr2bl w:val="nil"/>
            </w:tcBorders>
            <w:noWrap/>
            <w:vAlign w:val="bottom"/>
          </w:tcPr>
          <w:p w:rsidR="009534E2" w:rsidRDefault="009534E2">
            <w:pPr>
              <w:spacing w:after="1"/>
              <w:rPr>
                <w:rFonts w:asciiTheme="majorHAnsi" w:hAnsiTheme="majorHAnsi" w:cstheme="majorHAnsi"/>
                <w:color w:val="000000"/>
              </w:rPr>
            </w:pPr>
          </w:p>
        </w:tc>
        <w:tc>
          <w:tcPr>
            <w:tcW w:w="373" w:type="pct"/>
            <w:tcBorders>
              <w:top w:val="nil"/>
              <w:left w:val="nil"/>
              <w:bottom w:val="nil"/>
              <w:right w:val="nil"/>
              <w:tl2br w:val="nil"/>
              <w:tr2bl w:val="nil"/>
            </w:tcBorders>
            <w:noWrap/>
            <w:vAlign w:val="bottom"/>
          </w:tcPr>
          <w:p w:rsidRPr="003D0CAA" w:rsidR="009534E2" w:rsidRDefault="003369EB">
            <w:pPr>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w:t>
            </w:r>
          </w:p>
        </w:tc>
        <w:tc>
          <w:tcPr>
            <w:tcW w:w="89" w:type="pct"/>
            <w:tcBorders>
              <w:top w:val="nil"/>
              <w:left w:val="nil"/>
              <w:bottom w:val="nil"/>
              <w:right w:val="nil"/>
              <w:tl2br w:val="nil"/>
              <w:tr2bl w:val="nil"/>
            </w:tcBorders>
            <w:noWrap/>
            <w:vAlign w:val="bottom"/>
          </w:tcPr>
          <w:p w:rsidR="009534E2" w:rsidRDefault="009534E2">
            <w:pPr>
              <w:spacing w:after="1"/>
              <w:rPr>
                <w:rFonts w:asciiTheme="majorHAnsi" w:hAnsiTheme="majorHAnsi" w:cstheme="majorHAnsi"/>
                <w:color w:val="000000"/>
              </w:rPr>
            </w:pPr>
          </w:p>
        </w:tc>
        <w:tc>
          <w:tcPr>
            <w:tcW w:w="524" w:type="pct"/>
            <w:tcBorders>
              <w:top w:val="nil"/>
              <w:left w:val="nil"/>
              <w:bottom w:val="nil"/>
              <w:right w:val="nil"/>
              <w:tl2br w:val="nil"/>
              <w:tr2bl w:val="nil"/>
            </w:tcBorders>
            <w:noWrap/>
            <w:vAlign w:val="bottom"/>
          </w:tcPr>
          <w:p w:rsidRPr="003D0CAA" w:rsidR="009534E2" w:rsidRDefault="003369EB">
            <w:pPr>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324</w:t>
            </w:r>
          </w:p>
        </w:tc>
        <w:tc>
          <w:tcPr>
            <w:tcW w:w="89" w:type="pct"/>
            <w:tcBorders>
              <w:top w:val="nil"/>
              <w:left w:val="nil"/>
              <w:bottom w:val="nil"/>
              <w:right w:val="nil"/>
              <w:tl2br w:val="nil"/>
              <w:tr2bl w:val="nil"/>
            </w:tcBorders>
            <w:noWrap/>
            <w:vAlign w:val="bottom"/>
          </w:tcPr>
          <w:p w:rsidR="009534E2" w:rsidRDefault="009534E2">
            <w:pPr>
              <w:spacing w:after="1"/>
              <w:rPr>
                <w:rFonts w:asciiTheme="majorHAnsi" w:hAnsiTheme="majorHAnsi" w:cstheme="majorHAnsi"/>
                <w:color w:val="000000"/>
              </w:rPr>
            </w:pPr>
          </w:p>
        </w:tc>
        <w:tc>
          <w:tcPr>
            <w:tcW w:w="523" w:type="pct"/>
            <w:tcBorders>
              <w:top w:val="nil"/>
              <w:left w:val="nil"/>
              <w:bottom w:val="nil"/>
              <w:right w:val="nil"/>
              <w:tl2br w:val="nil"/>
              <w:tr2bl w:val="nil"/>
            </w:tcBorders>
            <w:noWrap/>
            <w:vAlign w:val="bottom"/>
          </w:tcPr>
          <w:p w:rsidRPr="003D0CAA" w:rsidR="009534E2" w:rsidRDefault="003369EB">
            <w:pPr>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386</w:t>
            </w:r>
          </w:p>
        </w:tc>
      </w:tr>
      <w:tr w:rsidR="003D0CAA" w:rsidTr="003D0CAA">
        <w:trPr>
          <w:jc w:val="center"/>
        </w:trPr>
        <w:tc>
          <w:tcPr>
            <w:tcW w:w="2867" w:type="pct"/>
            <w:tcBorders>
              <w:top w:val="nil"/>
              <w:left w:val="nil"/>
              <w:bottom w:val="nil"/>
              <w:right w:val="nil"/>
              <w:tl2br w:val="nil"/>
              <w:tr2bl w:val="nil"/>
            </w:tcBorders>
            <w:shd w:val="clear" w:color="auto" w:fill="CCEEFF"/>
            <w:vAlign w:val="bottom"/>
          </w:tcPr>
          <w:p w:rsidR="009534E2" w:rsidRDefault="003369EB">
            <w:pPr>
              <w:spacing w:after="1"/>
              <w:rPr>
                <w:rFonts w:asciiTheme="majorHAnsi" w:hAnsiTheme="majorHAnsi" w:cstheme="majorHAnsi"/>
                <w:color w:val="000000"/>
              </w:rPr>
            </w:pPr>
            <w:bookmarkStart w:name="_5d6d3fcb_e3e2_4a2d_b5d8_82903d88d83b" w:id="2926"/>
            <w:bookmarkEnd w:id="2925"/>
            <w:r>
              <w:rPr>
                <w:rFonts w:eastAsia="Times New Roman" w:asciiTheme="majorHAnsi" w:hAnsiTheme="majorHAnsi" w:cstheme="majorHAnsi"/>
                <w:color w:val="000000"/>
              </w:rPr>
              <w:t>Trade and other payables</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rFonts w:asciiTheme="majorHAnsi" w:hAnsiTheme="majorHAnsi" w:cstheme="majorHAnsi"/>
                <w:color w:val="000000"/>
              </w:rPr>
            </w:pPr>
          </w:p>
        </w:tc>
        <w:tc>
          <w:tcPr>
            <w:tcW w:w="357"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23,365</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rFonts w:asciiTheme="majorHAnsi" w:hAnsiTheme="majorHAnsi" w:cstheme="majorHAnsi"/>
                <w:color w:val="000000"/>
              </w:rPr>
            </w:pPr>
          </w:p>
        </w:tc>
        <w:tc>
          <w:tcPr>
            <w:tcW w:w="373"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23,365</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rFonts w:asciiTheme="majorHAnsi" w:hAnsiTheme="majorHAnsi" w:cstheme="majorHAnsi"/>
                <w:b/>
                <w:color w:val="000000"/>
              </w:rPr>
            </w:pPr>
          </w:p>
        </w:tc>
        <w:tc>
          <w:tcPr>
            <w:tcW w:w="524"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rFonts w:asciiTheme="majorHAnsi" w:hAnsiTheme="majorHAnsi" w:cstheme="majorHAnsi"/>
                <w:b/>
                <w:color w:val="000000"/>
              </w:rPr>
            </w:pPr>
          </w:p>
        </w:tc>
        <w:tc>
          <w:tcPr>
            <w:tcW w:w="523" w:type="pct"/>
            <w:tcBorders>
              <w:top w:val="nil"/>
              <w:left w:val="nil"/>
              <w:bottom w:val="nil"/>
              <w:right w:val="nil"/>
              <w:tl2br w:val="nil"/>
              <w:tr2bl w:val="nil"/>
            </w:tcBorders>
            <w:shd w:val="clear" w:color="auto" w:fill="CCEEFF"/>
            <w:noWrap/>
            <w:vAlign w:val="bottom"/>
          </w:tcPr>
          <w:p w:rsidRPr="003D0CAA" w:rsidR="009534E2" w:rsidRDefault="003369EB">
            <w:pPr>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w:t>
            </w:r>
          </w:p>
        </w:tc>
      </w:tr>
      <w:tr w:rsidR="003D0CAA" w:rsidTr="003D0CAA">
        <w:trPr>
          <w:jc w:val="center"/>
        </w:trPr>
        <w:tc>
          <w:tcPr>
            <w:tcW w:w="2867" w:type="pct"/>
            <w:tcBorders>
              <w:top w:val="nil"/>
              <w:left w:val="nil"/>
              <w:bottom w:val="nil"/>
              <w:right w:val="nil"/>
              <w:tl2br w:val="nil"/>
              <w:tr2bl w:val="nil"/>
            </w:tcBorders>
            <w:vAlign w:val="bottom"/>
          </w:tcPr>
          <w:p w:rsidR="009534E2" w:rsidRDefault="003369EB">
            <w:pPr>
              <w:spacing w:after="1"/>
              <w:rPr>
                <w:rFonts w:asciiTheme="majorHAnsi" w:hAnsiTheme="majorHAnsi" w:cstheme="majorHAnsi"/>
                <w:color w:val="000000"/>
              </w:rPr>
            </w:pPr>
            <w:bookmarkStart w:name="_fc8234b7_ce5d_482a_b6e4_e14bbf4113b0" w:id="2927"/>
            <w:bookmarkEnd w:id="2926"/>
            <w:r>
              <w:rPr>
                <w:rFonts w:eastAsia="Times New Roman" w:asciiTheme="majorHAnsi" w:hAnsiTheme="majorHAnsi" w:cstheme="majorHAnsi"/>
                <w:color w:val="000000"/>
              </w:rPr>
              <w:t>Customer accounts and amounts due to banks</w:t>
            </w:r>
          </w:p>
        </w:tc>
        <w:tc>
          <w:tcPr>
            <w:tcW w:w="89" w:type="pct"/>
            <w:tcBorders>
              <w:top w:val="nil"/>
              <w:left w:val="nil"/>
              <w:bottom w:val="nil"/>
              <w:right w:val="nil"/>
              <w:tl2br w:val="nil"/>
              <w:tr2bl w:val="nil"/>
            </w:tcBorders>
            <w:noWrap/>
            <w:vAlign w:val="bottom"/>
          </w:tcPr>
          <w:p w:rsidR="009534E2" w:rsidRDefault="009534E2">
            <w:pPr>
              <w:spacing w:after="1"/>
              <w:rPr>
                <w:rFonts w:asciiTheme="majorHAnsi" w:hAnsiTheme="majorHAnsi" w:cstheme="majorHAnsi"/>
                <w:color w:val="000000"/>
              </w:rPr>
            </w:pPr>
          </w:p>
        </w:tc>
        <w:tc>
          <w:tcPr>
            <w:tcW w:w="357" w:type="pct"/>
            <w:tcBorders>
              <w:top w:val="nil"/>
              <w:left w:val="nil"/>
              <w:bottom w:val="single" w:color="000000" w:sz="4" w:space="0"/>
              <w:right w:val="nil"/>
              <w:tl2br w:val="nil"/>
              <w:tr2bl w:val="nil"/>
            </w:tcBorders>
            <w:noWrap/>
            <w:vAlign w:val="bottom"/>
          </w:tcPr>
          <w:p w:rsidRPr="003D0CAA" w:rsidR="009534E2" w:rsidRDefault="003369EB">
            <w:pPr>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7,635</w:t>
            </w:r>
          </w:p>
        </w:tc>
        <w:tc>
          <w:tcPr>
            <w:tcW w:w="89" w:type="pct"/>
            <w:tcBorders>
              <w:top w:val="nil"/>
              <w:left w:val="nil"/>
              <w:bottom w:val="nil"/>
              <w:right w:val="nil"/>
              <w:tl2br w:val="nil"/>
              <w:tr2bl w:val="nil"/>
            </w:tcBorders>
            <w:noWrap/>
            <w:vAlign w:val="bottom"/>
          </w:tcPr>
          <w:p w:rsidR="009534E2" w:rsidRDefault="009534E2">
            <w:pPr>
              <w:spacing w:after="1"/>
              <w:rPr>
                <w:rFonts w:asciiTheme="majorHAnsi" w:hAnsiTheme="majorHAnsi" w:cstheme="majorHAnsi"/>
                <w:color w:val="000000"/>
              </w:rPr>
            </w:pPr>
          </w:p>
        </w:tc>
        <w:tc>
          <w:tcPr>
            <w:tcW w:w="373" w:type="pct"/>
            <w:tcBorders>
              <w:top w:val="nil"/>
              <w:left w:val="nil"/>
              <w:bottom w:val="single" w:color="000000" w:sz="4" w:space="0"/>
              <w:right w:val="nil"/>
              <w:tl2br w:val="nil"/>
              <w:tr2bl w:val="nil"/>
            </w:tcBorders>
            <w:noWrap/>
            <w:vAlign w:val="bottom"/>
          </w:tcPr>
          <w:p w:rsidRPr="003D0CAA" w:rsidR="009534E2" w:rsidRDefault="003369EB">
            <w:pPr>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6,801</w:t>
            </w:r>
          </w:p>
        </w:tc>
        <w:tc>
          <w:tcPr>
            <w:tcW w:w="89" w:type="pct"/>
            <w:tcBorders>
              <w:top w:val="nil"/>
              <w:left w:val="nil"/>
              <w:bottom w:val="nil"/>
              <w:right w:val="nil"/>
              <w:tl2br w:val="nil"/>
              <w:tr2bl w:val="nil"/>
            </w:tcBorders>
            <w:noWrap/>
            <w:vAlign w:val="bottom"/>
          </w:tcPr>
          <w:p w:rsidR="009534E2" w:rsidRDefault="009534E2">
            <w:pPr>
              <w:spacing w:after="1"/>
              <w:rPr>
                <w:rFonts w:asciiTheme="majorHAnsi" w:hAnsiTheme="majorHAnsi" w:cstheme="majorHAnsi"/>
                <w:color w:val="000000"/>
              </w:rPr>
            </w:pPr>
          </w:p>
        </w:tc>
        <w:tc>
          <w:tcPr>
            <w:tcW w:w="524" w:type="pct"/>
            <w:tcBorders>
              <w:top w:val="nil"/>
              <w:left w:val="nil"/>
              <w:bottom w:val="single" w:color="000000" w:sz="4" w:space="0"/>
              <w:right w:val="nil"/>
              <w:tl2br w:val="nil"/>
              <w:tr2bl w:val="nil"/>
            </w:tcBorders>
            <w:noWrap/>
            <w:vAlign w:val="bottom"/>
          </w:tcPr>
          <w:p w:rsidRPr="003D0CAA" w:rsidR="009534E2" w:rsidRDefault="003369EB">
            <w:pPr>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834</w:t>
            </w:r>
          </w:p>
        </w:tc>
        <w:tc>
          <w:tcPr>
            <w:tcW w:w="89" w:type="pct"/>
            <w:tcBorders>
              <w:top w:val="nil"/>
              <w:left w:val="nil"/>
              <w:bottom w:val="nil"/>
              <w:right w:val="nil"/>
              <w:tl2br w:val="nil"/>
              <w:tr2bl w:val="nil"/>
            </w:tcBorders>
            <w:noWrap/>
            <w:vAlign w:val="bottom"/>
          </w:tcPr>
          <w:p w:rsidR="009534E2" w:rsidRDefault="009534E2">
            <w:pPr>
              <w:spacing w:after="1"/>
              <w:rPr>
                <w:rFonts w:asciiTheme="majorHAnsi" w:hAnsiTheme="majorHAnsi" w:cstheme="majorHAnsi"/>
                <w:color w:val="000000"/>
              </w:rPr>
            </w:pPr>
          </w:p>
        </w:tc>
        <w:tc>
          <w:tcPr>
            <w:tcW w:w="523" w:type="pct"/>
            <w:tcBorders>
              <w:top w:val="nil"/>
              <w:left w:val="nil"/>
              <w:bottom w:val="single" w:color="000000" w:sz="4" w:space="0"/>
              <w:right w:val="nil"/>
              <w:tl2br w:val="nil"/>
              <w:tr2bl w:val="nil"/>
            </w:tcBorders>
            <w:noWrap/>
            <w:vAlign w:val="bottom"/>
          </w:tcPr>
          <w:p w:rsidRPr="003D0CAA" w:rsidR="009534E2" w:rsidRDefault="003369EB">
            <w:pPr>
              <w:spacing w:after="1"/>
              <w:ind w:right="60"/>
              <w:jc w:val="right"/>
              <w:rPr>
                <w:rFonts w:asciiTheme="majorHAnsi" w:hAnsiTheme="majorHAnsi" w:cstheme="majorHAnsi"/>
                <w:color w:val="000000"/>
              </w:rPr>
            </w:pPr>
            <w:r w:rsidRPr="003D0CAA">
              <w:rPr>
                <w:rFonts w:eastAsia="Times New Roman" w:asciiTheme="majorHAnsi" w:hAnsiTheme="majorHAnsi" w:cstheme="majorHAnsi"/>
                <w:color w:val="000000"/>
              </w:rPr>
              <w:t xml:space="preserve"> —</w:t>
            </w:r>
          </w:p>
        </w:tc>
      </w:tr>
      <w:tr w:rsidR="003D0CAA" w:rsidTr="003D0CAA">
        <w:trPr>
          <w:jc w:val="center"/>
        </w:trPr>
        <w:tc>
          <w:tcPr>
            <w:tcW w:w="2867" w:type="pct"/>
            <w:tcBorders>
              <w:top w:val="nil"/>
              <w:left w:val="nil"/>
              <w:bottom w:val="nil"/>
              <w:right w:val="nil"/>
              <w:tl2br w:val="nil"/>
              <w:tr2bl w:val="nil"/>
            </w:tcBorders>
            <w:shd w:val="clear" w:color="auto" w:fill="CCEEFF"/>
            <w:vAlign w:val="bottom"/>
          </w:tcPr>
          <w:p w:rsidR="009534E2" w:rsidRDefault="003369EB">
            <w:pPr>
              <w:spacing w:after="1"/>
              <w:rPr>
                <w:rFonts w:asciiTheme="majorHAnsi" w:hAnsiTheme="majorHAnsi" w:cstheme="majorHAnsi"/>
                <w:b/>
                <w:color w:val="000000"/>
              </w:rPr>
            </w:pPr>
            <w:bookmarkStart w:name="_09f0afae_6d84_48f8_9030_cefc2a61fee5" w:id="2928"/>
            <w:bookmarkEnd w:id="2927"/>
            <w:r>
              <w:rPr>
                <w:rFonts w:eastAsia="Times New Roman" w:asciiTheme="majorHAnsi" w:hAnsiTheme="majorHAnsi" w:cstheme="majorHAnsi"/>
                <w:b/>
                <w:color w:val="000000"/>
              </w:rPr>
              <w:t>Total as of December 31, 2021</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rFonts w:asciiTheme="majorHAnsi" w:hAnsiTheme="majorHAnsi" w:cstheme="majorHAnsi"/>
                <w:b/>
                <w:color w:val="000000"/>
              </w:rPr>
            </w:pPr>
          </w:p>
        </w:tc>
        <w:tc>
          <w:tcPr>
            <w:tcW w:w="357" w:type="pct"/>
            <w:tcBorders>
              <w:top w:val="nil"/>
              <w:left w:val="nil"/>
              <w:bottom w:val="double" w:color="000000" w:sz="4" w:space="0"/>
              <w:right w:val="nil"/>
              <w:tl2br w:val="nil"/>
              <w:tr2bl w:val="nil"/>
            </w:tcBorders>
            <w:shd w:val="clear" w:color="auto" w:fill="CCEEFF"/>
            <w:noWrap/>
            <w:vAlign w:val="bottom"/>
          </w:tcPr>
          <w:p w:rsidRPr="003D0CAA" w:rsidR="009534E2" w:rsidRDefault="003369EB">
            <w:pPr>
              <w:spacing w:after="1"/>
              <w:ind w:right="60"/>
              <w:jc w:val="right"/>
              <w:rPr>
                <w:rFonts w:asciiTheme="majorHAnsi" w:hAnsiTheme="majorHAnsi" w:cstheme="majorHAnsi"/>
                <w:b/>
                <w:color w:val="000000"/>
              </w:rPr>
            </w:pPr>
            <w:r w:rsidRPr="003D0CAA">
              <w:rPr>
                <w:rFonts w:eastAsia="Times New Roman" w:asciiTheme="majorHAnsi" w:hAnsiTheme="majorHAnsi" w:cstheme="majorHAnsi"/>
                <w:b/>
                <w:color w:val="000000"/>
              </w:rPr>
              <w:t xml:space="preserve"> 36,482</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rFonts w:asciiTheme="majorHAnsi" w:hAnsiTheme="majorHAnsi" w:cstheme="majorHAnsi"/>
                <w:b/>
                <w:color w:val="000000"/>
              </w:rPr>
            </w:pPr>
          </w:p>
        </w:tc>
        <w:tc>
          <w:tcPr>
            <w:tcW w:w="373" w:type="pct"/>
            <w:tcBorders>
              <w:top w:val="nil"/>
              <w:left w:val="nil"/>
              <w:bottom w:val="double" w:color="000000" w:sz="4" w:space="0"/>
              <w:right w:val="nil"/>
              <w:tl2br w:val="nil"/>
              <w:tr2bl w:val="nil"/>
            </w:tcBorders>
            <w:shd w:val="clear" w:color="auto" w:fill="CCEEFF"/>
            <w:noWrap/>
            <w:vAlign w:val="bottom"/>
          </w:tcPr>
          <w:p w:rsidRPr="003D0CAA" w:rsidR="009534E2" w:rsidRDefault="003369EB">
            <w:pPr>
              <w:spacing w:after="1"/>
              <w:ind w:right="60"/>
              <w:jc w:val="right"/>
              <w:rPr>
                <w:rFonts w:asciiTheme="majorHAnsi" w:hAnsiTheme="majorHAnsi" w:cstheme="majorHAnsi"/>
                <w:b/>
                <w:color w:val="000000"/>
              </w:rPr>
            </w:pPr>
            <w:r w:rsidRPr="003D0CAA">
              <w:rPr>
                <w:rFonts w:eastAsia="Times New Roman" w:asciiTheme="majorHAnsi" w:hAnsiTheme="majorHAnsi" w:cstheme="majorHAnsi"/>
                <w:b/>
                <w:color w:val="000000"/>
              </w:rPr>
              <w:t xml:space="preserve"> 30,166</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rFonts w:asciiTheme="majorHAnsi" w:hAnsiTheme="majorHAnsi" w:cstheme="majorHAnsi"/>
                <w:b/>
                <w:color w:val="000000"/>
              </w:rPr>
            </w:pPr>
          </w:p>
        </w:tc>
        <w:tc>
          <w:tcPr>
            <w:tcW w:w="524" w:type="pct"/>
            <w:tcBorders>
              <w:top w:val="nil"/>
              <w:left w:val="nil"/>
              <w:bottom w:val="double" w:color="000000" w:sz="4" w:space="0"/>
              <w:right w:val="nil"/>
              <w:tl2br w:val="nil"/>
              <w:tr2bl w:val="nil"/>
            </w:tcBorders>
            <w:shd w:val="clear" w:color="auto" w:fill="CCEEFF"/>
            <w:noWrap/>
            <w:vAlign w:val="bottom"/>
          </w:tcPr>
          <w:p w:rsidRPr="003D0CAA" w:rsidR="009534E2" w:rsidRDefault="003369EB">
            <w:pPr>
              <w:spacing w:after="1"/>
              <w:ind w:right="60"/>
              <w:jc w:val="right"/>
              <w:rPr>
                <w:rFonts w:asciiTheme="majorHAnsi" w:hAnsiTheme="majorHAnsi" w:cstheme="majorHAnsi"/>
                <w:b/>
                <w:color w:val="000000"/>
              </w:rPr>
            </w:pPr>
            <w:r w:rsidRPr="003D0CAA">
              <w:rPr>
                <w:rFonts w:eastAsia="Times New Roman" w:asciiTheme="majorHAnsi" w:hAnsiTheme="majorHAnsi" w:cstheme="majorHAnsi"/>
                <w:b/>
                <w:color w:val="000000"/>
              </w:rPr>
              <w:t xml:space="preserve"> 1,244</w:t>
            </w:r>
          </w:p>
        </w:tc>
        <w:tc>
          <w:tcPr>
            <w:tcW w:w="89" w:type="pct"/>
            <w:tcBorders>
              <w:top w:val="nil"/>
              <w:left w:val="nil"/>
              <w:bottom w:val="nil"/>
              <w:right w:val="nil"/>
              <w:tl2br w:val="nil"/>
              <w:tr2bl w:val="nil"/>
            </w:tcBorders>
            <w:shd w:val="clear" w:color="auto" w:fill="CCEEFF"/>
            <w:noWrap/>
            <w:vAlign w:val="bottom"/>
          </w:tcPr>
          <w:p w:rsidR="009534E2" w:rsidRDefault="009534E2">
            <w:pPr>
              <w:spacing w:after="1"/>
              <w:rPr>
                <w:rFonts w:asciiTheme="majorHAnsi" w:hAnsiTheme="majorHAnsi" w:cstheme="majorHAnsi"/>
                <w:b/>
                <w:color w:val="000000"/>
              </w:rPr>
            </w:pPr>
          </w:p>
        </w:tc>
        <w:tc>
          <w:tcPr>
            <w:tcW w:w="523" w:type="pct"/>
            <w:tcBorders>
              <w:top w:val="nil"/>
              <w:left w:val="nil"/>
              <w:bottom w:val="double" w:color="000000" w:sz="4" w:space="0"/>
              <w:right w:val="nil"/>
              <w:tl2br w:val="nil"/>
              <w:tr2bl w:val="nil"/>
            </w:tcBorders>
            <w:shd w:val="clear" w:color="auto" w:fill="CCEEFF"/>
            <w:noWrap/>
            <w:vAlign w:val="bottom"/>
          </w:tcPr>
          <w:p w:rsidRPr="003D0CAA" w:rsidR="009534E2" w:rsidRDefault="003369EB">
            <w:pPr>
              <w:spacing w:after="1"/>
              <w:ind w:right="60"/>
              <w:jc w:val="right"/>
              <w:rPr>
                <w:rFonts w:asciiTheme="majorHAnsi" w:hAnsiTheme="majorHAnsi" w:cstheme="majorHAnsi"/>
                <w:b/>
                <w:color w:val="000000"/>
              </w:rPr>
            </w:pPr>
            <w:r w:rsidRPr="003D0CAA">
              <w:rPr>
                <w:rFonts w:eastAsia="Times New Roman" w:asciiTheme="majorHAnsi" w:hAnsiTheme="majorHAnsi" w:cstheme="majorHAnsi"/>
                <w:b/>
                <w:color w:val="000000"/>
              </w:rPr>
              <w:t xml:space="preserve"> 5,072</w:t>
            </w:r>
          </w:p>
        </w:tc>
      </w:tr>
      <w:bookmarkEnd w:id="2890"/>
      <w:bookmarkEnd w:id="2920"/>
      <w:bookmarkEnd w:id="2928"/>
    </w:tbl>
    <w:p w:rsidR="009534E2" w:rsidRDefault="009534E2">
      <w:pPr>
        <w:pStyle w:val="BodyText"/>
        <w:tabs>
          <w:tab w:val="left" w:pos="4025"/>
        </w:tabs>
        <w:spacing w:after="0"/>
        <w:rPr>
          <w:rFonts w:eastAsia="Times New Roman" w:asciiTheme="majorHAnsi" w:hAnsiTheme="majorHAnsi" w:cstheme="majorHAnsi"/>
          <w:lang w:eastAsia="ru-RU"/>
        </w:rPr>
      </w:pPr>
    </w:p>
    <w:p w:rsidR="009534E2" w:rsidRDefault="003369EB">
      <w:pPr>
        <w:rPr>
          <w:rFonts w:asciiTheme="majorHAnsi" w:hAnsiTheme="majorHAnsi" w:eastAsiaTheme="majorEastAsia" w:cstheme="majorHAnsi"/>
          <w:b/>
          <w:bCs/>
          <w:iCs/>
        </w:rPr>
      </w:pPr>
      <w:bookmarkStart w:name="_9b5cd887_9b09_4da6_a91d_7fea50fb5ab1" w:id="2929"/>
      <w:bookmarkEnd w:id="2929"/>
      <w:r>
        <w:rPr>
          <w:rFonts w:asciiTheme="majorHAnsi" w:hAnsiTheme="majorHAnsi" w:cstheme="majorHAnsi"/>
          <w:bCs/>
        </w:rPr>
        <w:br w:type="page"/>
      </w:r>
    </w:p>
    <w:p w:rsidR="009534E2" w:rsidRDefault="003369EB">
      <w:pPr>
        <w:pStyle w:val="BodyText"/>
        <w:keepNext/>
        <w:keepLines/>
        <w:ind w:left="360" w:hanging="360"/>
        <w:outlineLvl w:val="0"/>
        <w:rPr>
          <w:rFonts w:eastAsia="Times New Roman" w:asciiTheme="majorHAnsi" w:hAnsiTheme="majorHAnsi" w:cstheme="majorHAnsi"/>
          <w:b/>
          <w:bCs/>
          <w:lang w:eastAsia="ru-RU"/>
        </w:rPr>
      </w:pPr>
      <w:r>
        <w:rPr>
          <w:rFonts w:eastAsia="Times New Roman" w:asciiTheme="majorHAnsi" w:hAnsiTheme="majorHAnsi" w:cstheme="majorHAnsi"/>
          <w:b/>
          <w:bCs/>
          <w:lang w:eastAsia="ru-RU"/>
        </w:rPr>
        <w:t>30.</w:t>
      </w:r>
      <w:r>
        <w:rPr>
          <w:rFonts w:eastAsia="Times New Roman" w:asciiTheme="majorHAnsi" w:hAnsiTheme="majorHAnsi" w:cstheme="majorHAnsi"/>
          <w:b/>
          <w:bCs/>
          <w:lang w:eastAsia="ru-RU"/>
        </w:rPr>
        <w:tab/>
        <w:t>Risk management (continued)</w:t>
      </w:r>
    </w:p>
    <w:p w:rsidR="009534E2" w:rsidRDefault="003369EB">
      <w:pPr>
        <w:pStyle w:val="Heading4"/>
        <w:rPr>
          <w:bCs/>
        </w:rPr>
      </w:pPr>
      <w:r>
        <w:rPr>
          <w:bCs/>
        </w:rPr>
        <w:t>Credit risk</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Financial assets of the Group, which potentially subject </w:t>
      </w:r>
      <w:r w:rsidR="007A1879">
        <w:rPr>
          <w:rFonts w:eastAsia="Times New Roman" w:asciiTheme="majorHAnsi" w:hAnsiTheme="majorHAnsi" w:cstheme="majorHAnsi"/>
          <w:lang w:eastAsia="ru-RU"/>
        </w:rPr>
        <w:t>it</w:t>
      </w:r>
      <w:r>
        <w:rPr>
          <w:rFonts w:eastAsia="Times New Roman" w:asciiTheme="majorHAnsi" w:hAnsiTheme="majorHAnsi" w:cstheme="majorHAnsi"/>
          <w:lang w:eastAsia="ru-RU"/>
        </w:rPr>
        <w:t xml:space="preserve"> to credit risk, co</w:t>
      </w:r>
      <w:r w:rsidR="007A1879">
        <w:rPr>
          <w:rFonts w:eastAsia="Times New Roman" w:asciiTheme="majorHAnsi" w:hAnsiTheme="majorHAnsi" w:cstheme="majorHAnsi"/>
          <w:lang w:eastAsia="ru-RU"/>
        </w:rPr>
        <w:t xml:space="preserve">mprise </w:t>
      </w:r>
      <w:r>
        <w:rPr>
          <w:rFonts w:eastAsia="Times New Roman" w:asciiTheme="majorHAnsi" w:hAnsiTheme="majorHAnsi" w:cstheme="majorHAnsi"/>
          <w:lang w:eastAsia="ru-RU"/>
        </w:rPr>
        <w:t xml:space="preserve">principally trade receivables, loans issued, cash and debt securities. The Group sells services on a prepayment basis or ensures that its receivables are from large merchants and agents with sufficient and appropriate credit history. The Group’s receivables from merchants and others, except for agents, are generally non-interest-bearing and do not require collateral. Receivables from agents are interest-bearing and unsecured. The Group holds cash primarily with reputable Russian and international banks, including CBR, which management considers having minimal risk of default, although credit ratings of Russian and Kazakh banks are generally lower than </w:t>
      </w:r>
      <w:r w:rsidR="007A1879">
        <w:rPr>
          <w:rFonts w:eastAsia="Times New Roman" w:asciiTheme="majorHAnsi" w:hAnsiTheme="majorHAnsi" w:cstheme="majorHAnsi"/>
          <w:lang w:eastAsia="ru-RU"/>
        </w:rPr>
        <w:t>of</w:t>
      </w:r>
      <w:r>
        <w:rPr>
          <w:rFonts w:eastAsia="Times New Roman" w:asciiTheme="majorHAnsi" w:hAnsiTheme="majorHAnsi" w:cstheme="majorHAnsi"/>
          <w:lang w:eastAsia="ru-RU"/>
        </w:rPr>
        <w:t xml:space="preserve"> banks in more developed markets. Debt securities include corporate and government bonds.</w:t>
      </w:r>
      <w:bookmarkStart w:name="_bdb4833d_29b6_481d_9ae0_5503e29abb61" w:id="2930"/>
      <w:r>
        <w:rPr>
          <w:rFonts w:eastAsia="Times New Roman" w:asciiTheme="majorHAnsi" w:hAnsiTheme="majorHAnsi" w:cstheme="majorHAnsi"/>
          <w:lang w:eastAsia="ru-RU"/>
        </w:rPr>
        <w:t xml:space="preserve"> </w:t>
      </w:r>
      <w:bookmarkEnd w:id="2930"/>
    </w:p>
    <w:p w:rsidR="009534E2" w:rsidRDefault="003369EB">
      <w:pPr>
        <w:keepNext/>
        <w:rPr>
          <w:rFonts w:eastAsia="Times New Roman" w:asciiTheme="majorHAnsi" w:hAnsiTheme="majorHAnsi" w:cstheme="majorHAnsi"/>
          <w:lang w:eastAsia="ru-RU"/>
        </w:rPr>
      </w:pPr>
      <w:r>
        <w:rPr>
          <w:rFonts w:eastAsia="Times New Roman" w:asciiTheme="majorHAnsi" w:hAnsiTheme="majorHAnsi" w:cstheme="majorHAnsi"/>
          <w:lang w:eastAsia="ru-RU"/>
        </w:rPr>
        <w:t>The Group evaluates the concentration of risk with respect to trade and other receivables on a regular basis. The customers are located in several jurisdictions and industries and operate in largely independent markets. The table below demonstrates the largest counterparties’ balances, as a percentage of respective totals:</w:t>
      </w:r>
    </w:p>
    <w:p w:rsidR="009534E2" w:rsidRDefault="009534E2">
      <w:pPr>
        <w:keepNext/>
        <w:rPr>
          <w:rFonts w:eastAsia="Times New Roman" w:asciiTheme="majorHAnsi" w:hAnsiTheme="majorHAnsi" w:cstheme="majorHAnsi"/>
          <w:lang w:eastAsia="ru-RU"/>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477"/>
        <w:gridCol w:w="160"/>
        <w:gridCol w:w="1364"/>
        <w:gridCol w:w="267"/>
        <w:gridCol w:w="1365"/>
        <w:gridCol w:w="167"/>
      </w:tblGrid>
      <w:tr w:rsidR="009534E2" w:rsidTr="003D0CAA">
        <w:trPr>
          <w:trHeight w:val="20" w:hRule="exact"/>
          <w:jc w:val="center"/>
        </w:trPr>
        <w:tc>
          <w:tcPr>
            <w:tcW w:w="3462" w:type="pct"/>
            <w:tcBorders>
              <w:top w:val="nil"/>
              <w:left w:val="nil"/>
              <w:bottom w:val="nil"/>
              <w:right w:val="nil"/>
            </w:tcBorders>
            <w:vAlign w:val="bottom"/>
          </w:tcPr>
          <w:p w:rsidR="009534E2" w:rsidRDefault="009534E2">
            <w:pPr>
              <w:keepNext/>
              <w:rPr>
                <w:rFonts w:asciiTheme="majorHAnsi" w:hAnsiTheme="majorHAnsi" w:cstheme="majorHAnsi"/>
                <w:sz w:val="2"/>
              </w:rPr>
            </w:pPr>
            <w:bookmarkStart w:name="_c35507d9_920c_4af1_af08_24d41ebce2f6" w:colFirst="0" w:colLast="0" w:id="2931"/>
            <w:bookmarkStart w:name="_65a07c1c_b85c_44b8_b5b3_63db5fed7d1b" w:colFirst="1" w:colLast="1" w:id="2932"/>
            <w:bookmarkStart w:name="_dafe5b1b_7706_471d_ac32_fb9779ebc9b0" w:colFirst="2" w:colLast="2" w:id="2933"/>
            <w:bookmarkStart w:name="_c3864336_d6b5_4571_b210_3fb5e277fe65" w:colFirst="3" w:colLast="3" w:id="2934"/>
            <w:bookmarkStart w:name="_24697ad2_8b44_48a6_9faf_4aedae6fb727" w:colFirst="4" w:colLast="4" w:id="2935"/>
            <w:bookmarkStart w:name="_50307b51_70d0_4430_b752_f8057cb443e7" w:colFirst="5" w:colLast="5" w:id="2936"/>
            <w:bookmarkStart w:name="_4318a3c5_2283_4e43_be48_5924a48bda54" w:id="2937"/>
          </w:p>
        </w:tc>
        <w:tc>
          <w:tcPr>
            <w:tcW w:w="7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631"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124"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632"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c>
          <w:tcPr>
            <w:tcW w:w="77" w:type="pct"/>
            <w:tcBorders>
              <w:top w:val="nil"/>
              <w:left w:val="nil"/>
              <w:bottom w:val="nil"/>
              <w:right w:val="nil"/>
            </w:tcBorders>
            <w:noWrap/>
            <w:vAlign w:val="bottom"/>
          </w:tcPr>
          <w:p w:rsidR="009534E2" w:rsidRDefault="009534E2">
            <w:pPr>
              <w:keepNext/>
              <w:rPr>
                <w:rFonts w:asciiTheme="majorHAnsi" w:hAnsiTheme="majorHAnsi" w:cstheme="majorHAnsi"/>
                <w:sz w:val="2"/>
              </w:rPr>
            </w:pPr>
          </w:p>
        </w:tc>
      </w:tr>
      <w:tr w:rsidR="009534E2" w:rsidTr="003D0CAA">
        <w:trPr>
          <w:jc w:val="center"/>
        </w:trPr>
        <w:tc>
          <w:tcPr>
            <w:tcW w:w="346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709fc004_5770_4ea2_84ab_79ca7a71faf0" w:id="2938"/>
            <w:bookmarkEnd w:id="2931"/>
            <w:bookmarkEnd w:id="2932"/>
            <w:bookmarkEnd w:id="2933"/>
            <w:bookmarkEnd w:id="2934"/>
            <w:bookmarkEnd w:id="2935"/>
            <w:bookmarkEnd w:id="2936"/>
          </w:p>
        </w:tc>
        <w:tc>
          <w:tcPr>
            <w:tcW w:w="74"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1387"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Trade and other receivables</w:t>
            </w:r>
          </w:p>
        </w:tc>
        <w:tc>
          <w:tcPr>
            <w:tcW w:w="77"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color w:val="000000"/>
                <w:sz w:val="16"/>
              </w:rPr>
            </w:pPr>
            <w:r>
              <w:rPr>
                <w:rFonts w:eastAsia="Times New Roman" w:asciiTheme="majorHAnsi" w:hAnsiTheme="majorHAnsi" w:cstheme="majorHAnsi"/>
                <w:color w:val="000000"/>
                <w:sz w:val="16"/>
              </w:rPr>
              <w:t> </w:t>
            </w:r>
          </w:p>
        </w:tc>
      </w:tr>
      <w:tr w:rsidR="009534E2" w:rsidTr="003D0CAA">
        <w:trPr>
          <w:jc w:val="center"/>
        </w:trPr>
        <w:tc>
          <w:tcPr>
            <w:tcW w:w="346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6bb36e60_46a5_4786_865d_6e2737bd3107" w:id="2939"/>
            <w:bookmarkEnd w:id="2938"/>
          </w:p>
        </w:tc>
        <w:tc>
          <w:tcPr>
            <w:tcW w:w="74"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631"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 December 31, </w:t>
            </w:r>
          </w:p>
        </w:tc>
        <w:tc>
          <w:tcPr>
            <w:tcW w:w="124"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b/>
                <w:color w:val="000000"/>
                <w:sz w:val="16"/>
              </w:rPr>
            </w:pPr>
          </w:p>
        </w:tc>
        <w:tc>
          <w:tcPr>
            <w:tcW w:w="63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 December 31, </w:t>
            </w:r>
          </w:p>
        </w:tc>
        <w:tc>
          <w:tcPr>
            <w:tcW w:w="77"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r>
      <w:tr w:rsidR="009534E2" w:rsidTr="003D0CAA">
        <w:trPr>
          <w:jc w:val="center"/>
        </w:trPr>
        <w:tc>
          <w:tcPr>
            <w:tcW w:w="3462"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rPr>
            </w:pPr>
            <w:bookmarkStart w:name="_60544b64_62ca_4dd2_9ac7_2f5d2daa529a" w:id="2940"/>
            <w:bookmarkEnd w:id="2939"/>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31"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2021</w:t>
            </w:r>
          </w:p>
        </w:tc>
        <w:tc>
          <w:tcPr>
            <w:tcW w:w="12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632"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2022</w:t>
            </w:r>
          </w:p>
        </w:tc>
        <w:tc>
          <w:tcPr>
            <w:tcW w:w="77"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r>
      <w:tr w:rsidR="009534E2" w:rsidTr="003D0CAA">
        <w:trPr>
          <w:jc w:val="center"/>
        </w:trPr>
        <w:tc>
          <w:tcPr>
            <w:tcW w:w="346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b/>
                <w:color w:val="000000"/>
              </w:rPr>
            </w:pPr>
            <w:bookmarkStart w:name="_0c9d7f36_3980_439d_be16_af5044832e1a" w:id="2941"/>
            <w:bookmarkEnd w:id="2940"/>
            <w:r>
              <w:rPr>
                <w:rFonts w:eastAsia="Times New Roman" w:asciiTheme="majorHAnsi" w:hAnsiTheme="majorHAnsi" w:cstheme="majorHAnsi"/>
                <w:b/>
                <w:color w:val="000000"/>
              </w:rPr>
              <w:t>Concentration of credit risks by main counterparties, % from total amount</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631" w:type="pct"/>
            <w:tcBorders>
              <w:top w:val="nil"/>
              <w:left w:val="nil"/>
              <w:bottom w:val="nil"/>
              <w:right w:val="nil"/>
              <w:tl2br w:val="nil"/>
              <w:tr2bl w:val="nil"/>
            </w:tcBorders>
            <w:shd w:val="clear" w:color="auto" w:fill="CCEEFF"/>
            <w:noWrap/>
            <w:vAlign w:val="bottom"/>
          </w:tcPr>
          <w:p w:rsidR="009534E2" w:rsidRDefault="009534E2">
            <w:pPr>
              <w:keepNext/>
              <w:jc w:val="center"/>
              <w:rPr>
                <w:rFonts w:asciiTheme="majorHAnsi" w:hAnsiTheme="majorHAnsi" w:cstheme="majorHAnsi"/>
                <w:color w:val="000000"/>
              </w:rPr>
            </w:pPr>
          </w:p>
        </w:tc>
        <w:tc>
          <w:tcPr>
            <w:tcW w:w="12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632" w:type="pct"/>
            <w:tcBorders>
              <w:top w:val="nil"/>
              <w:left w:val="nil"/>
              <w:bottom w:val="nil"/>
              <w:right w:val="nil"/>
              <w:tl2br w:val="nil"/>
              <w:tr2bl w:val="nil"/>
            </w:tcBorders>
            <w:shd w:val="clear" w:color="auto" w:fill="CCEEFF"/>
            <w:noWrap/>
            <w:vAlign w:val="bottom"/>
          </w:tcPr>
          <w:p w:rsidR="009534E2" w:rsidRDefault="009534E2">
            <w:pPr>
              <w:keepNext/>
              <w:jc w:val="center"/>
              <w:rPr>
                <w:rFonts w:asciiTheme="majorHAnsi" w:hAnsiTheme="majorHAnsi" w:cstheme="majorHAnsi"/>
                <w:color w:val="000000"/>
              </w:rPr>
            </w:pPr>
          </w:p>
        </w:tc>
        <w:tc>
          <w:tcPr>
            <w:tcW w:w="77"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r>
      <w:tr w:rsidR="009534E2" w:rsidTr="003D0CAA">
        <w:trPr>
          <w:jc w:val="center"/>
        </w:trPr>
        <w:tc>
          <w:tcPr>
            <w:tcW w:w="3462" w:type="pct"/>
            <w:tcBorders>
              <w:top w:val="nil"/>
              <w:left w:val="nil"/>
              <w:bottom w:val="nil"/>
              <w:right w:val="nil"/>
              <w:tl2br w:val="nil"/>
              <w:tr2bl w:val="nil"/>
            </w:tcBorders>
            <w:vAlign w:val="bottom"/>
          </w:tcPr>
          <w:p w:rsidR="009534E2" w:rsidRDefault="003369EB">
            <w:pPr>
              <w:keepNext/>
              <w:rPr>
                <w:rFonts w:asciiTheme="majorHAnsi" w:hAnsiTheme="majorHAnsi" w:cstheme="majorHAnsi"/>
                <w:color w:val="000000"/>
              </w:rPr>
            </w:pPr>
            <w:bookmarkStart w:name="_8ebd05be_f9c4_48cc_845d_747942a18c89" w:id="2942"/>
            <w:bookmarkStart w:name="_420009d9_95be_4944_9ba0_bcde4456579e" w:colFirst="2" w:colLast="2" w:id="2943"/>
            <w:bookmarkStart w:name="_e16f4ce2_97f3_4fda_881c_53a43c8ea573" w:colFirst="4" w:colLast="4" w:id="2944"/>
            <w:bookmarkEnd w:id="2941"/>
            <w:r>
              <w:rPr>
                <w:rFonts w:eastAsia="Times New Roman" w:asciiTheme="majorHAnsi" w:hAnsiTheme="majorHAnsi" w:cstheme="majorHAnsi"/>
                <w:color w:val="000000"/>
              </w:rPr>
              <w:t>Top 5 counterparties</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rPr>
            </w:pPr>
          </w:p>
        </w:tc>
        <w:tc>
          <w:tcPr>
            <w:tcW w:w="631" w:type="pct"/>
            <w:tcBorders>
              <w:top w:val="nil"/>
              <w:left w:val="nil"/>
              <w:bottom w:val="nil"/>
              <w:right w:val="nil"/>
              <w:tl2br w:val="nil"/>
              <w:tr2bl w:val="nil"/>
            </w:tcBorders>
            <w:noWrap/>
            <w:vAlign w:val="bottom"/>
          </w:tcPr>
          <w:p w:rsidRPr="003D0CAA" w:rsidR="009534E2" w:rsidRDefault="003369EB">
            <w:pPr>
              <w:keepNext/>
              <w:jc w:val="center"/>
              <w:rPr>
                <w:rFonts w:asciiTheme="majorHAnsi" w:hAnsiTheme="majorHAnsi" w:cstheme="majorHAnsi"/>
                <w:color w:val="000000"/>
              </w:rPr>
            </w:pPr>
            <w:r w:rsidRPr="003D0CAA">
              <w:rPr>
                <w:rFonts w:eastAsia="Times New Roman" w:asciiTheme="majorHAnsi" w:hAnsiTheme="majorHAnsi" w:cstheme="majorHAnsi"/>
                <w:color w:val="000000"/>
              </w:rPr>
              <w:t xml:space="preserve"> 64</w:t>
            </w:r>
          </w:p>
        </w:tc>
        <w:tc>
          <w:tcPr>
            <w:tcW w:w="124"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32" w:type="pct"/>
            <w:tcBorders>
              <w:top w:val="nil"/>
              <w:left w:val="nil"/>
              <w:bottom w:val="nil"/>
              <w:right w:val="nil"/>
              <w:tl2br w:val="nil"/>
              <w:tr2bl w:val="nil"/>
            </w:tcBorders>
            <w:noWrap/>
            <w:vAlign w:val="bottom"/>
          </w:tcPr>
          <w:p w:rsidRPr="003D0CAA" w:rsidR="009534E2" w:rsidRDefault="003369EB">
            <w:pPr>
              <w:keepNext/>
              <w:jc w:val="center"/>
              <w:rPr>
                <w:rFonts w:asciiTheme="majorHAnsi" w:hAnsiTheme="majorHAnsi" w:cstheme="majorHAnsi"/>
                <w:color w:val="000000"/>
              </w:rPr>
            </w:pPr>
            <w:r w:rsidRPr="003D0CAA">
              <w:rPr>
                <w:rFonts w:eastAsia="Times New Roman" w:asciiTheme="majorHAnsi" w:hAnsiTheme="majorHAnsi" w:cstheme="majorHAnsi"/>
                <w:color w:val="000000"/>
              </w:rPr>
              <w:t xml:space="preserve"> 31</w:t>
            </w:r>
          </w:p>
        </w:tc>
        <w:tc>
          <w:tcPr>
            <w:tcW w:w="77"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w:t>
            </w:r>
          </w:p>
        </w:tc>
      </w:tr>
      <w:tr w:rsidR="009534E2" w:rsidTr="003D0CAA">
        <w:trPr>
          <w:jc w:val="center"/>
        </w:trPr>
        <w:tc>
          <w:tcPr>
            <w:tcW w:w="3462" w:type="pct"/>
            <w:tcBorders>
              <w:top w:val="nil"/>
              <w:left w:val="nil"/>
              <w:bottom w:val="nil"/>
              <w:right w:val="nil"/>
              <w:tl2br w:val="nil"/>
              <w:tr2bl w:val="nil"/>
            </w:tcBorders>
            <w:shd w:val="clear" w:color="auto" w:fill="CCEEFF"/>
            <w:vAlign w:val="bottom"/>
          </w:tcPr>
          <w:p w:rsidR="009534E2" w:rsidRDefault="003369EB">
            <w:pPr>
              <w:keepNext/>
              <w:rPr>
                <w:rFonts w:asciiTheme="majorHAnsi" w:hAnsiTheme="majorHAnsi" w:cstheme="majorHAnsi"/>
                <w:color w:val="000000"/>
              </w:rPr>
            </w:pPr>
            <w:bookmarkStart w:name="_d6bf9c6f_aeab_48d6_bb32_d074ba33b48a" w:id="2945"/>
            <w:bookmarkStart w:name="_72913ca5_35dc_4fdd_a500_c048a5f35024" w:colFirst="2" w:colLast="2" w:id="2946"/>
            <w:bookmarkStart w:name="_af17a6df_6d95_4a59_917a_a2c93cf357c8" w:colFirst="4" w:colLast="4" w:id="2947"/>
            <w:bookmarkEnd w:id="2942"/>
            <w:bookmarkEnd w:id="2943"/>
            <w:bookmarkEnd w:id="2944"/>
            <w:r>
              <w:rPr>
                <w:rFonts w:eastAsia="Times New Roman" w:asciiTheme="majorHAnsi" w:hAnsiTheme="majorHAnsi" w:cstheme="majorHAnsi"/>
                <w:color w:val="000000"/>
              </w:rPr>
              <w:t>Others</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rPr>
            </w:pPr>
          </w:p>
        </w:tc>
        <w:tc>
          <w:tcPr>
            <w:tcW w:w="631" w:type="pct"/>
            <w:tcBorders>
              <w:top w:val="nil"/>
              <w:left w:val="nil"/>
              <w:bottom w:val="nil"/>
              <w:right w:val="nil"/>
              <w:tl2br w:val="nil"/>
              <w:tr2bl w:val="nil"/>
            </w:tcBorders>
            <w:shd w:val="clear" w:color="auto" w:fill="CCEEFF"/>
            <w:noWrap/>
            <w:vAlign w:val="bottom"/>
          </w:tcPr>
          <w:p w:rsidRPr="003D0CAA" w:rsidR="009534E2" w:rsidRDefault="003369EB">
            <w:pPr>
              <w:keepNext/>
              <w:jc w:val="center"/>
              <w:rPr>
                <w:rFonts w:asciiTheme="majorHAnsi" w:hAnsiTheme="majorHAnsi" w:cstheme="majorHAnsi"/>
                <w:color w:val="000000"/>
              </w:rPr>
            </w:pPr>
            <w:r w:rsidRPr="003D0CAA">
              <w:rPr>
                <w:rFonts w:eastAsia="Times New Roman" w:asciiTheme="majorHAnsi" w:hAnsiTheme="majorHAnsi" w:cstheme="majorHAnsi"/>
                <w:color w:val="000000"/>
              </w:rPr>
              <w:t xml:space="preserve"> 36</w:t>
            </w:r>
          </w:p>
        </w:tc>
        <w:tc>
          <w:tcPr>
            <w:tcW w:w="12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  </w:t>
            </w:r>
          </w:p>
        </w:tc>
        <w:tc>
          <w:tcPr>
            <w:tcW w:w="632" w:type="pct"/>
            <w:tcBorders>
              <w:top w:val="nil"/>
              <w:left w:val="nil"/>
              <w:bottom w:val="nil"/>
              <w:right w:val="nil"/>
              <w:tl2br w:val="nil"/>
              <w:tr2bl w:val="nil"/>
            </w:tcBorders>
            <w:shd w:val="clear" w:color="auto" w:fill="CCEEFF"/>
            <w:noWrap/>
            <w:vAlign w:val="bottom"/>
          </w:tcPr>
          <w:p w:rsidRPr="003D0CAA" w:rsidR="009534E2" w:rsidRDefault="003369EB">
            <w:pPr>
              <w:keepNext/>
              <w:jc w:val="center"/>
              <w:rPr>
                <w:rFonts w:asciiTheme="majorHAnsi" w:hAnsiTheme="majorHAnsi" w:cstheme="majorHAnsi"/>
                <w:color w:val="000000"/>
              </w:rPr>
            </w:pPr>
            <w:r w:rsidRPr="003D0CAA">
              <w:rPr>
                <w:rFonts w:eastAsia="Times New Roman" w:asciiTheme="majorHAnsi" w:hAnsiTheme="majorHAnsi" w:cstheme="majorHAnsi"/>
                <w:color w:val="000000"/>
              </w:rPr>
              <w:t xml:space="preserve"> 69</w:t>
            </w:r>
          </w:p>
        </w:tc>
        <w:tc>
          <w:tcPr>
            <w:tcW w:w="77"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rPr>
            </w:pPr>
            <w:r>
              <w:rPr>
                <w:rFonts w:eastAsia="Times New Roman" w:asciiTheme="majorHAnsi" w:hAnsiTheme="majorHAnsi" w:cstheme="majorHAnsi"/>
                <w:color w:val="000000"/>
              </w:rPr>
              <w:t>%</w:t>
            </w:r>
          </w:p>
        </w:tc>
      </w:tr>
      <w:bookmarkEnd w:id="2937"/>
      <w:bookmarkEnd w:id="2945"/>
      <w:bookmarkEnd w:id="2946"/>
      <w:bookmarkEnd w:id="2947"/>
    </w:tbl>
    <w:p w:rsidR="009534E2" w:rsidRDefault="009534E2">
      <w:pPr>
        <w:rPr>
          <w:rFonts w:eastAsia="Times New Roman" w:asciiTheme="majorHAnsi" w:hAnsiTheme="majorHAnsi" w:cstheme="majorHAnsi"/>
          <w:lang w:eastAsia="ru-RU"/>
        </w:rPr>
      </w:pPr>
    </w:p>
    <w:p w:rsidR="009534E2" w:rsidRDefault="007A1879">
      <w:pPr>
        <w:pStyle w:val="BodyText"/>
        <w:rPr>
          <w:rFonts w:eastAsia="Times New Roman" w:asciiTheme="majorHAnsi" w:hAnsiTheme="majorHAnsi" w:cstheme="majorHAnsi"/>
          <w:lang w:eastAsia="ru-RU"/>
        </w:rPr>
      </w:pPr>
      <w:r w:rsidRPr="007A1879">
        <w:rPr>
          <w:rFonts w:eastAsia="Times New Roman" w:asciiTheme="majorHAnsi" w:hAnsiTheme="majorHAnsi" w:cstheme="majorHAnsi"/>
          <w:lang w:eastAsia="ru-RU"/>
        </w:rPr>
        <w:t xml:space="preserve">The Group is also exposed to substantial risk through loans and financial and performance guarantees issued to small and medium enterprises, where Qiwi Bank serves as the lender or issuer of the guarantees and bears the credit risk. When granting these loans and guarantees, the Group uses automated scoring solvency models and evaluates individually each application as to the probability of fraud and of default. It uses information from external sourсes as well as an internally established methodology in order to approve or reject each application. Qiwi Bank also uses manual verification for determining the credit limit for the approved </w:t>
      </w:r>
      <w:r w:rsidR="003369EB">
        <w:rPr>
          <w:rFonts w:eastAsia="Times New Roman" w:asciiTheme="majorHAnsi" w:hAnsiTheme="majorHAnsi" w:cstheme="majorHAnsi"/>
          <w:lang w:eastAsia="ru-RU"/>
        </w:rPr>
        <w:t>app</w:t>
      </w:r>
      <w:r>
        <w:rPr>
          <w:rFonts w:eastAsia="Times New Roman" w:asciiTheme="majorHAnsi" w:hAnsiTheme="majorHAnsi" w:cstheme="majorHAnsi"/>
          <w:lang w:eastAsia="ru-RU"/>
        </w:rPr>
        <w:t>li</w:t>
      </w:r>
      <w:r w:rsidR="003369EB">
        <w:rPr>
          <w:rFonts w:eastAsia="Times New Roman" w:asciiTheme="majorHAnsi" w:hAnsiTheme="majorHAnsi" w:cstheme="majorHAnsi"/>
          <w:lang w:eastAsia="ru-RU"/>
        </w:rPr>
        <w:t>cants.</w:t>
      </w: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BodyText"/>
        <w:keepNext/>
        <w:keepLines/>
        <w:ind w:left="360" w:hanging="360"/>
        <w:rPr>
          <w:rFonts w:eastAsia="Times New Roman" w:asciiTheme="majorHAnsi" w:hAnsiTheme="majorHAnsi" w:cstheme="majorHAnsi"/>
          <w:b/>
          <w:bCs/>
          <w:lang w:eastAsia="ru-RU"/>
        </w:rPr>
      </w:pPr>
      <w:r>
        <w:rPr>
          <w:rFonts w:eastAsia="Times New Roman" w:asciiTheme="majorHAnsi" w:hAnsiTheme="majorHAnsi" w:cstheme="majorHAnsi"/>
          <w:b/>
          <w:bCs/>
          <w:lang w:eastAsia="ru-RU"/>
        </w:rPr>
        <w:t>30.</w:t>
      </w:r>
      <w:r>
        <w:rPr>
          <w:rFonts w:eastAsia="Times New Roman" w:asciiTheme="majorHAnsi" w:hAnsiTheme="majorHAnsi" w:cstheme="majorHAnsi"/>
          <w:b/>
          <w:bCs/>
          <w:lang w:eastAsia="ru-RU"/>
        </w:rPr>
        <w:tab/>
        <w:t>Risk management (continued)</w:t>
      </w:r>
    </w:p>
    <w:p w:rsidR="009534E2" w:rsidRDefault="003369EB">
      <w:pPr>
        <w:pStyle w:val="BodyText"/>
        <w:keepNext/>
        <w:keepLines/>
        <w:ind w:left="360" w:hanging="360"/>
        <w:rPr>
          <w:rFonts w:eastAsia="Times New Roman" w:asciiTheme="majorHAnsi" w:hAnsiTheme="majorHAnsi" w:cstheme="majorHAnsi"/>
          <w:b/>
          <w:lang w:eastAsia="ru-RU"/>
        </w:rPr>
      </w:pPr>
      <w:r>
        <w:rPr>
          <w:rFonts w:asciiTheme="majorHAnsi" w:hAnsiTheme="majorHAnsi" w:cstheme="majorHAnsi"/>
          <w:b/>
        </w:rPr>
        <w:t xml:space="preserve">Credit risk </w:t>
      </w:r>
      <w:r>
        <w:rPr>
          <w:rFonts w:eastAsia="Times New Roman" w:asciiTheme="majorHAnsi" w:hAnsiTheme="majorHAnsi" w:cstheme="majorHAnsi"/>
          <w:b/>
          <w:lang w:eastAsia="ru-RU"/>
        </w:rPr>
        <w:t>(continued)</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As part of the credit risk assessment of factoring transactions, the Group evaluates the credit risk of an individual client as well as of the debtor. Management believes that debtor risk assessment is an important source of additional security and credit quality guarantee. Procedures and responsibilities for assessing and managing </w:t>
      </w:r>
      <w:r w:rsidR="007A1879">
        <w:rPr>
          <w:rFonts w:eastAsia="Times New Roman" w:asciiTheme="majorHAnsi" w:hAnsiTheme="majorHAnsi" w:cstheme="majorHAnsi"/>
          <w:lang w:eastAsia="ru-RU"/>
        </w:rPr>
        <w:t xml:space="preserve">the </w:t>
      </w:r>
      <w:r>
        <w:rPr>
          <w:rFonts w:eastAsia="Times New Roman" w:asciiTheme="majorHAnsi" w:hAnsiTheme="majorHAnsi" w:cstheme="majorHAnsi"/>
          <w:lang w:eastAsia="ru-RU"/>
        </w:rPr>
        <w:t xml:space="preserve">credit risks of clients and debtors are clearly stipulated in the Group internal risk policy. To assess </w:t>
      </w:r>
      <w:r w:rsidR="007A1879">
        <w:rPr>
          <w:rFonts w:eastAsia="Times New Roman" w:asciiTheme="majorHAnsi" w:hAnsiTheme="majorHAnsi" w:cstheme="majorHAnsi"/>
          <w:lang w:eastAsia="ru-RU"/>
        </w:rPr>
        <w:t xml:space="preserve">the </w:t>
      </w:r>
      <w:r>
        <w:rPr>
          <w:rFonts w:eastAsia="Times New Roman" w:asciiTheme="majorHAnsi" w:hAnsiTheme="majorHAnsi" w:cstheme="majorHAnsi"/>
          <w:lang w:eastAsia="ru-RU"/>
        </w:rPr>
        <w:t>clients’ accounts receivable as a form of collateral, management analyzes each debtor individually and collectively at the portfolio level (risk concentration, turnover ratios and other parameters). The Group also makes allowances for the dual structure of collateral for the assets placed under factoring operations. According to such structure, the debtor whose receivables are assigned to the Group must fulfill its obligations and in case the debtor fails to fulfill its contractual liabilities, the liabilities are transferred to the client under recourse. Compared with traditional lending, therefore, the assets are better collateralized and the credit risk is lower.</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The management established a credit committee that develops and approves general principles for lending and takes special measures to mitigate credit risk such as a reduction of the credit limits for unreliable clients and more advanced scoring models for the new borrowers. See Note 12 for the carrying amount of loans issued and the maximum amount exposed to the credit risk for these type of assets.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 calculation of ECLs incorporates forward-looking information. The Group performes historical analysis and identifies the key economic variables impacting credit risk and ECLs for each portfolio. The impact of these economic variables on the ECL is determined by performing statistical regression analysis in order to understand the way how changes in these variables historically impacted default rates. Having performed this analysis, management believes that </w:t>
      </w:r>
      <w:r w:rsidR="003D0CAA">
        <w:rPr>
          <w:rFonts w:eastAsia="Times New Roman" w:asciiTheme="majorHAnsi" w:hAnsiTheme="majorHAnsi" w:cstheme="majorHAnsi"/>
          <w:lang w:eastAsia="ru-RU"/>
        </w:rPr>
        <w:t>such</w:t>
      </w:r>
      <w:r>
        <w:rPr>
          <w:rFonts w:eastAsia="Times New Roman" w:asciiTheme="majorHAnsi" w:hAnsiTheme="majorHAnsi" w:cstheme="majorHAnsi"/>
          <w:lang w:eastAsia="ru-RU"/>
        </w:rPr>
        <w:t xml:space="preserve"> forward-looking information does not significantly affect the amount of E</w:t>
      </w:r>
      <w:r w:rsidR="003D0CAA">
        <w:rPr>
          <w:rFonts w:eastAsia="Times New Roman" w:asciiTheme="majorHAnsi" w:hAnsiTheme="majorHAnsi" w:cstheme="majorHAnsi"/>
          <w:lang w:eastAsia="ru-RU"/>
        </w:rPr>
        <w:t>CLs</w:t>
      </w:r>
      <w:r>
        <w:rPr>
          <w:rFonts w:eastAsia="Times New Roman" w:asciiTheme="majorHAnsi" w:hAnsiTheme="majorHAnsi" w:cstheme="majorHAnsi"/>
          <w:lang w:eastAsia="ru-RU"/>
        </w:rPr>
        <w:t xml:space="preserve"> recognized in the consolidated financial statements.</w:t>
      </w:r>
    </w:p>
    <w:p w:rsidR="009534E2" w:rsidRDefault="003369EB">
      <w:pPr>
        <w:pStyle w:val="BodyText"/>
        <w:keepNext/>
        <w:keepLines/>
        <w:rPr>
          <w:rFonts w:eastAsia="Times New Roman" w:asciiTheme="majorHAnsi" w:hAnsiTheme="majorHAnsi" w:cstheme="majorHAnsi"/>
          <w:b/>
          <w:bCs/>
          <w:lang w:eastAsia="ru-RU"/>
        </w:rPr>
      </w:pPr>
      <w:r>
        <w:rPr>
          <w:rFonts w:eastAsia="Times New Roman" w:asciiTheme="majorHAnsi" w:hAnsiTheme="majorHAnsi" w:cstheme="majorHAnsi"/>
          <w:b/>
          <w:bCs/>
          <w:lang w:eastAsia="ru-RU"/>
        </w:rPr>
        <w:t>Market risk</w:t>
      </w:r>
    </w:p>
    <w:p w:rsidR="009534E2" w:rsidRDefault="003369EB">
      <w:pPr>
        <w:pStyle w:val="BodyT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The Group is exposed to market risks by holding the trading portfolio of bonds. The market risk management is aimed to keep the level of market risk assumed by the Group in accordance with the Group’s strategy. The Group manages its market risks both on a portfolio and individual basis. The most commonly used tools are VAR (value at risk) and stop-loss limits, which are set by the Group’s risk appetite and Group’s portfolio investment guidelines approved by the BOD.</w:t>
      </w:r>
    </w:p>
    <w:p w:rsidR="009534E2" w:rsidRDefault="009534E2">
      <w:pPr>
        <w:pStyle w:val="BodyText"/>
        <w:spacing w:after="0"/>
        <w:rPr>
          <w:rFonts w:eastAsia="Times New Roman" w:asciiTheme="majorHAnsi" w:hAnsiTheme="majorHAnsi" w:cstheme="majorHAnsi"/>
          <w:lang w:eastAsia="ru-RU"/>
        </w:rPr>
      </w:pPr>
    </w:p>
    <w:p w:rsidR="009534E2" w:rsidRDefault="003369EB">
      <w:pPr>
        <w:pStyle w:val="BodyT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An analysis of the sensitivity of changes in the fair value of financial instruments at fair value th</w:t>
      </w:r>
      <w:r w:rsidR="003D0CAA">
        <w:rPr>
          <w:rFonts w:eastAsia="Times New Roman" w:asciiTheme="majorHAnsi" w:hAnsiTheme="majorHAnsi" w:cstheme="majorHAnsi"/>
          <w:lang w:eastAsia="ru-RU"/>
        </w:rPr>
        <w:t>r</w:t>
      </w:r>
      <w:r>
        <w:rPr>
          <w:rFonts w:eastAsia="Times New Roman" w:asciiTheme="majorHAnsi" w:hAnsiTheme="majorHAnsi" w:cstheme="majorHAnsi"/>
          <w:lang w:eastAsia="ru-RU"/>
        </w:rPr>
        <w:t>ough other comprehensive income due to changes in the interest rates, based on positions existing as of December 31, 2022 and 2021 and a simplified scenario of a 100 bp symmetrical fall or rise in all yield curves, is as follows:</w:t>
      </w:r>
    </w:p>
    <w:p w:rsidR="009534E2" w:rsidRDefault="009534E2">
      <w:pPr>
        <w:pStyle w:val="BodyText"/>
        <w:spacing w:after="0"/>
        <w:rPr>
          <w:rFonts w:eastAsia="Times New Roman" w:asciiTheme="majorHAnsi" w:hAnsiTheme="majorHAnsi" w:cstheme="majorHAnsi"/>
          <w:lang w:eastAsia="ru-R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920"/>
        <w:gridCol w:w="285"/>
        <w:gridCol w:w="1655"/>
        <w:gridCol w:w="285"/>
        <w:gridCol w:w="1655"/>
      </w:tblGrid>
      <w:tr w:rsidR="003D0CAA" w:rsidTr="003D0CAA">
        <w:trPr>
          <w:trHeight w:val="20" w:hRule="exact"/>
        </w:trPr>
        <w:tc>
          <w:tcPr>
            <w:tcW w:w="3204" w:type="pct"/>
            <w:tcBorders>
              <w:top w:val="nil"/>
              <w:left w:val="nil"/>
              <w:bottom w:val="nil"/>
              <w:right w:val="nil"/>
            </w:tcBorders>
            <w:vAlign w:val="bottom"/>
          </w:tcPr>
          <w:p w:rsidR="009534E2" w:rsidRDefault="009534E2">
            <w:pPr>
              <w:keepNext/>
              <w:spacing w:after="1"/>
              <w:rPr>
                <w:sz w:val="2"/>
              </w:rPr>
            </w:pPr>
            <w:bookmarkStart w:name="_60aa95ea_0b6c_4fa8_a56d_f2f708068bf2" w:colFirst="0" w:colLast="0" w:id="2948"/>
            <w:bookmarkStart w:name="_d120f7bb_c616_4943_93df_a955e2288876" w:colFirst="1" w:colLast="1" w:id="2949"/>
            <w:bookmarkStart w:name="_ecea3478_b8ab_4a4b_a5c2_b8a35dc7a03c" w:colFirst="2" w:colLast="2" w:id="2950"/>
            <w:bookmarkStart w:name="_c91a8d75_fcdf_46de_b23d_a0b7b267a7e5" w:colFirst="3" w:colLast="3" w:id="2951"/>
            <w:bookmarkStart w:name="_560f0e84_f4e4_4f83_9bea_ce505721a496" w:colFirst="4" w:colLast="4" w:id="2952"/>
            <w:bookmarkStart w:name="_44bdfd20_952b_4f25_832a_665bdf484025" w:id="2953"/>
          </w:p>
        </w:tc>
        <w:tc>
          <w:tcPr>
            <w:tcW w:w="132" w:type="pct"/>
            <w:tcBorders>
              <w:top w:val="nil"/>
              <w:left w:val="nil"/>
              <w:bottom w:val="nil"/>
              <w:right w:val="nil"/>
            </w:tcBorders>
            <w:noWrap/>
            <w:vAlign w:val="bottom"/>
          </w:tcPr>
          <w:p w:rsidR="009534E2" w:rsidRDefault="009534E2">
            <w:pPr>
              <w:keepNext/>
              <w:spacing w:after="1"/>
              <w:rPr>
                <w:sz w:val="2"/>
              </w:rPr>
            </w:pPr>
          </w:p>
        </w:tc>
        <w:tc>
          <w:tcPr>
            <w:tcW w:w="766" w:type="pct"/>
            <w:tcBorders>
              <w:top w:val="nil"/>
              <w:left w:val="nil"/>
              <w:bottom w:val="nil"/>
              <w:right w:val="nil"/>
            </w:tcBorders>
            <w:noWrap/>
            <w:vAlign w:val="bottom"/>
          </w:tcPr>
          <w:p w:rsidR="009534E2" w:rsidRDefault="009534E2">
            <w:pPr>
              <w:keepNext/>
              <w:spacing w:after="1"/>
              <w:rPr>
                <w:sz w:val="2"/>
              </w:rPr>
            </w:pPr>
          </w:p>
        </w:tc>
        <w:tc>
          <w:tcPr>
            <w:tcW w:w="132" w:type="pct"/>
            <w:tcBorders>
              <w:top w:val="nil"/>
              <w:left w:val="nil"/>
              <w:bottom w:val="nil"/>
              <w:right w:val="nil"/>
            </w:tcBorders>
            <w:noWrap/>
            <w:vAlign w:val="bottom"/>
          </w:tcPr>
          <w:p w:rsidR="009534E2" w:rsidRDefault="009534E2">
            <w:pPr>
              <w:keepNext/>
              <w:spacing w:after="1"/>
              <w:rPr>
                <w:sz w:val="2"/>
              </w:rPr>
            </w:pPr>
          </w:p>
        </w:tc>
        <w:tc>
          <w:tcPr>
            <w:tcW w:w="766" w:type="pct"/>
            <w:tcBorders>
              <w:top w:val="nil"/>
              <w:left w:val="nil"/>
              <w:bottom w:val="nil"/>
              <w:right w:val="nil"/>
            </w:tcBorders>
            <w:noWrap/>
            <w:vAlign w:val="bottom"/>
          </w:tcPr>
          <w:p w:rsidR="009534E2" w:rsidRDefault="009534E2">
            <w:pPr>
              <w:keepNext/>
              <w:spacing w:after="1"/>
              <w:rPr>
                <w:sz w:val="2"/>
              </w:rPr>
            </w:pPr>
          </w:p>
        </w:tc>
      </w:tr>
      <w:tr w:rsidR="009534E2" w:rsidTr="003D0CAA">
        <w:tc>
          <w:tcPr>
            <w:tcW w:w="3204" w:type="pct"/>
            <w:tcBorders>
              <w:top w:val="nil"/>
              <w:left w:val="nil"/>
              <w:bottom w:val="nil"/>
              <w:right w:val="nil"/>
              <w:tl2br w:val="nil"/>
              <w:tr2bl w:val="nil"/>
            </w:tcBorders>
            <w:shd w:val="clear" w:color="auto" w:fill="auto"/>
            <w:vAlign w:val="bottom"/>
          </w:tcPr>
          <w:p w:rsidR="009534E2" w:rsidRDefault="009534E2">
            <w:pPr>
              <w:spacing w:after="1"/>
              <w:rPr>
                <w:b/>
                <w:color w:val="000000"/>
                <w:sz w:val="16"/>
              </w:rPr>
            </w:pPr>
            <w:bookmarkStart w:name="_3bc37aef_6143_4a86_b075_82fd80ddba4c" w:id="2954"/>
            <w:bookmarkStart w:name="_6ee7c787_c76e_4e2d_aa46_8db8fd6a78de" w:colFirst="0" w:colLast="4" w:id="2955"/>
            <w:bookmarkStart w:name="_a8f4655b_4f04_4955_88f8_66c69e7c6ad4" w:colFirst="0" w:colLast="4" w:id="2956"/>
            <w:bookmarkEnd w:id="2948"/>
            <w:bookmarkEnd w:id="2949"/>
            <w:bookmarkEnd w:id="2950"/>
            <w:bookmarkEnd w:id="2951"/>
            <w:bookmarkEnd w:id="2952"/>
          </w:p>
        </w:tc>
        <w:tc>
          <w:tcPr>
            <w:tcW w:w="132" w:type="pct"/>
            <w:tcBorders>
              <w:top w:val="nil"/>
              <w:left w:val="nil"/>
              <w:bottom w:val="nil"/>
              <w:right w:val="nil"/>
              <w:tl2br w:val="nil"/>
              <w:tr2bl w:val="nil"/>
            </w:tcBorders>
            <w:shd w:val="clear" w:color="auto" w:fill="auto"/>
            <w:noWrap/>
            <w:vAlign w:val="bottom"/>
          </w:tcPr>
          <w:p w:rsidR="009534E2" w:rsidRDefault="003369EB">
            <w:pPr>
              <w:spacing w:after="1"/>
              <w:jc w:val="center"/>
              <w:rPr>
                <w:rFonts w:ascii="Calibri" w:hAnsi="Calibri" w:eastAsia="Calibri" w:cs="Calibri"/>
                <w:b/>
                <w:color w:val="000000"/>
                <w:sz w:val="16"/>
              </w:rPr>
            </w:pPr>
            <w:r>
              <w:rPr>
                <w:rFonts w:ascii="Calibri" w:hAnsi="Calibri" w:eastAsia="Calibri" w:cs="Calibri"/>
                <w:b/>
                <w:color w:val="000000"/>
                <w:sz w:val="16"/>
              </w:rPr>
              <w:t>    </w:t>
            </w:r>
          </w:p>
        </w:tc>
        <w:tc>
          <w:tcPr>
            <w:tcW w:w="1664"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Other comprehensive income/(loss)</w:t>
            </w:r>
          </w:p>
        </w:tc>
      </w:tr>
      <w:tr w:rsidR="003D0CAA" w:rsidTr="003D0CAA">
        <w:tc>
          <w:tcPr>
            <w:tcW w:w="3204" w:type="pct"/>
            <w:tcBorders>
              <w:top w:val="nil"/>
              <w:left w:val="nil"/>
              <w:bottom w:val="nil"/>
              <w:right w:val="nil"/>
              <w:tl2br w:val="nil"/>
              <w:tr2bl w:val="nil"/>
            </w:tcBorders>
            <w:shd w:val="clear" w:color="auto" w:fill="auto"/>
            <w:vAlign w:val="bottom"/>
          </w:tcPr>
          <w:p w:rsidR="009534E2" w:rsidRDefault="009534E2">
            <w:pPr>
              <w:spacing w:after="1"/>
              <w:rPr>
                <w:b/>
                <w:color w:val="000000"/>
                <w:sz w:val="16"/>
              </w:rPr>
            </w:pPr>
            <w:bookmarkStart w:name="_995c88d2_7c4c_46f2_9439_ee5294d97db5" w:id="2957"/>
            <w:bookmarkEnd w:id="2954"/>
          </w:p>
        </w:tc>
        <w:tc>
          <w:tcPr>
            <w:tcW w:w="132" w:type="pct"/>
            <w:tcBorders>
              <w:top w:val="nil"/>
              <w:left w:val="nil"/>
              <w:bottom w:val="nil"/>
              <w:right w:val="nil"/>
              <w:tl2br w:val="nil"/>
              <w:tr2bl w:val="nil"/>
            </w:tcBorders>
            <w:shd w:val="clear" w:color="auto" w:fill="auto"/>
            <w:noWrap/>
            <w:vAlign w:val="bottom"/>
          </w:tcPr>
          <w:p w:rsidR="009534E2" w:rsidRDefault="009534E2">
            <w:pPr>
              <w:spacing w:after="1"/>
              <w:jc w:val="center"/>
              <w:rPr>
                <w:b/>
                <w:color w:val="000000"/>
                <w:sz w:val="16"/>
              </w:rPr>
            </w:pPr>
          </w:p>
        </w:tc>
        <w:tc>
          <w:tcPr>
            <w:tcW w:w="766"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As of December 31,</w:t>
            </w:r>
          </w:p>
        </w:tc>
        <w:tc>
          <w:tcPr>
            <w:tcW w:w="132" w:type="pct"/>
            <w:tcBorders>
              <w:top w:val="nil"/>
              <w:left w:val="nil"/>
              <w:bottom w:val="nil"/>
              <w:right w:val="nil"/>
              <w:tl2br w:val="nil"/>
              <w:tr2bl w:val="nil"/>
            </w:tcBorders>
            <w:shd w:val="clear" w:color="auto" w:fill="auto"/>
            <w:noWrap/>
            <w:vAlign w:val="bottom"/>
          </w:tcPr>
          <w:p w:rsidR="009534E2" w:rsidRDefault="003369EB">
            <w:pPr>
              <w:spacing w:after="1"/>
              <w:jc w:val="center"/>
              <w:rPr>
                <w:rFonts w:ascii="Calibri" w:hAnsi="Calibri" w:eastAsia="Calibri" w:cs="Calibri"/>
                <w:b/>
                <w:color w:val="000000"/>
                <w:sz w:val="16"/>
              </w:rPr>
            </w:pPr>
            <w:r>
              <w:rPr>
                <w:rFonts w:ascii="Calibri" w:hAnsi="Calibri" w:eastAsia="Calibri" w:cs="Calibri"/>
                <w:b/>
                <w:color w:val="000000"/>
                <w:sz w:val="16"/>
              </w:rPr>
              <w:t>    </w:t>
            </w:r>
          </w:p>
        </w:tc>
        <w:tc>
          <w:tcPr>
            <w:tcW w:w="766" w:type="pct"/>
            <w:tcBorders>
              <w:top w:val="nil"/>
              <w:left w:val="nil"/>
              <w:bottom w:val="nil"/>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As of December 31,</w:t>
            </w:r>
          </w:p>
        </w:tc>
      </w:tr>
      <w:tr w:rsidR="003D0CAA" w:rsidTr="003D0CAA">
        <w:tc>
          <w:tcPr>
            <w:tcW w:w="3204" w:type="pct"/>
            <w:tcBorders>
              <w:top w:val="nil"/>
              <w:left w:val="nil"/>
              <w:bottom w:val="nil"/>
              <w:right w:val="nil"/>
              <w:tl2br w:val="nil"/>
              <w:tr2bl w:val="nil"/>
            </w:tcBorders>
            <w:shd w:val="clear" w:color="auto" w:fill="auto"/>
            <w:vAlign w:val="bottom"/>
          </w:tcPr>
          <w:p w:rsidR="009534E2" w:rsidRDefault="009534E2">
            <w:pPr>
              <w:spacing w:after="1"/>
              <w:rPr>
                <w:b/>
                <w:color w:val="000000"/>
                <w:sz w:val="16"/>
              </w:rPr>
            </w:pPr>
            <w:bookmarkStart w:name="_aa1e8e99_e7a3_44db_8b11_e25f2a9e0666" w:id="2958"/>
            <w:bookmarkEnd w:id="2957"/>
          </w:p>
        </w:tc>
        <w:tc>
          <w:tcPr>
            <w:tcW w:w="132" w:type="pct"/>
            <w:tcBorders>
              <w:top w:val="nil"/>
              <w:left w:val="nil"/>
              <w:bottom w:val="nil"/>
              <w:right w:val="nil"/>
              <w:tl2br w:val="nil"/>
              <w:tr2bl w:val="nil"/>
            </w:tcBorders>
            <w:shd w:val="clear" w:color="auto" w:fill="auto"/>
            <w:noWrap/>
            <w:vAlign w:val="bottom"/>
          </w:tcPr>
          <w:p w:rsidR="009534E2" w:rsidRDefault="009534E2">
            <w:pPr>
              <w:spacing w:after="1"/>
              <w:jc w:val="center"/>
              <w:rPr>
                <w:b/>
                <w:color w:val="000000"/>
                <w:sz w:val="16"/>
              </w:rPr>
            </w:pPr>
          </w:p>
        </w:tc>
        <w:tc>
          <w:tcPr>
            <w:tcW w:w="766"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2021</w:t>
            </w:r>
          </w:p>
        </w:tc>
        <w:tc>
          <w:tcPr>
            <w:tcW w:w="132" w:type="pct"/>
            <w:tcBorders>
              <w:top w:val="nil"/>
              <w:left w:val="nil"/>
              <w:bottom w:val="nil"/>
              <w:right w:val="nil"/>
              <w:tl2br w:val="nil"/>
              <w:tr2bl w:val="nil"/>
            </w:tcBorders>
            <w:shd w:val="clear" w:color="auto" w:fill="auto"/>
            <w:noWrap/>
            <w:vAlign w:val="bottom"/>
          </w:tcPr>
          <w:p w:rsidR="009534E2" w:rsidRDefault="009534E2">
            <w:pPr>
              <w:spacing w:after="1"/>
              <w:jc w:val="center"/>
              <w:rPr>
                <w:b/>
                <w:color w:val="000000"/>
                <w:sz w:val="16"/>
              </w:rPr>
            </w:pPr>
          </w:p>
        </w:tc>
        <w:tc>
          <w:tcPr>
            <w:tcW w:w="766" w:type="pct"/>
            <w:tcBorders>
              <w:top w:val="nil"/>
              <w:left w:val="nil"/>
              <w:bottom w:val="single" w:color="000000" w:sz="4" w:space="0"/>
              <w:right w:val="nil"/>
              <w:tl2br w:val="nil"/>
              <w:tr2bl w:val="nil"/>
            </w:tcBorders>
            <w:shd w:val="clear" w:color="auto" w:fill="auto"/>
            <w:noWrap/>
            <w:vAlign w:val="bottom"/>
          </w:tcPr>
          <w:p w:rsidR="009534E2" w:rsidRDefault="003369EB">
            <w:pPr>
              <w:spacing w:after="1"/>
              <w:jc w:val="center"/>
              <w:rPr>
                <w:b/>
                <w:color w:val="000000"/>
                <w:sz w:val="16"/>
              </w:rPr>
            </w:pPr>
            <w:r>
              <w:rPr>
                <w:rFonts w:ascii="Times New Roman" w:hAnsi="Times New Roman" w:eastAsia="Times New Roman" w:cs="Times New Roman"/>
                <w:b/>
                <w:color w:val="000000"/>
                <w:sz w:val="16"/>
              </w:rPr>
              <w:t>2022</w:t>
            </w:r>
          </w:p>
        </w:tc>
      </w:tr>
      <w:tr w:rsidR="003D0CAA" w:rsidTr="003D0CAA">
        <w:tc>
          <w:tcPr>
            <w:tcW w:w="3204" w:type="pct"/>
            <w:tcBorders>
              <w:top w:val="nil"/>
              <w:left w:val="nil"/>
              <w:bottom w:val="nil"/>
              <w:right w:val="nil"/>
              <w:tl2br w:val="nil"/>
              <w:tr2bl w:val="nil"/>
            </w:tcBorders>
            <w:shd w:val="clear" w:color="auto" w:fill="CCEEFF"/>
            <w:vAlign w:val="bottom"/>
          </w:tcPr>
          <w:p w:rsidR="009534E2" w:rsidRDefault="003369EB">
            <w:pPr>
              <w:spacing w:after="1"/>
              <w:rPr>
                <w:color w:val="000000"/>
              </w:rPr>
            </w:pPr>
            <w:bookmarkStart w:name="_e838a155_e356_49e0_b56d_9f9a2d8f5d2b" w:id="2959"/>
            <w:bookmarkStart w:name="_a7effbfc_43fc_438e_a405_77bca6c152da" w:id="2960"/>
            <w:bookmarkEnd w:id="2958"/>
            <w:r w:rsidRPr="003D0CAA">
              <w:rPr>
                <w:rFonts w:ascii="Times New Roman" w:hAnsi="Times New Roman" w:eastAsia="Times New Roman" w:cs="Times New Roman"/>
                <w:color w:val="000000"/>
              </w:rPr>
              <w:t>100</w:t>
            </w:r>
            <w:bookmarkEnd w:id="2959"/>
            <w:r>
              <w:rPr>
                <w:rFonts w:ascii="Times New Roman" w:hAnsi="Times New Roman" w:eastAsia="Times New Roman" w:cs="Times New Roman"/>
                <w:color w:val="000000"/>
              </w:rPr>
              <w:t xml:space="preserve"> bp rise of interest rate</w:t>
            </w:r>
          </w:p>
        </w:tc>
        <w:tc>
          <w:tcPr>
            <w:tcW w:w="132" w:type="pct"/>
            <w:tcBorders>
              <w:top w:val="nil"/>
              <w:left w:val="nil"/>
              <w:bottom w:val="nil"/>
              <w:right w:val="nil"/>
              <w:tl2br w:val="nil"/>
              <w:tr2bl w:val="nil"/>
            </w:tcBorders>
            <w:shd w:val="clear" w:color="auto" w:fill="CCEEFF"/>
            <w:noWrap/>
            <w:vAlign w:val="bottom"/>
          </w:tcPr>
          <w:p w:rsidR="009534E2" w:rsidRDefault="009534E2">
            <w:pPr>
              <w:spacing w:after="1"/>
              <w:jc w:val="center"/>
              <w:rPr>
                <w:color w:val="000000"/>
              </w:rPr>
            </w:pPr>
          </w:p>
        </w:tc>
        <w:tc>
          <w:tcPr>
            <w:tcW w:w="766" w:type="pct"/>
            <w:tcBorders>
              <w:top w:val="single" w:color="000000" w:sz="4" w:space="0"/>
              <w:left w:val="nil"/>
              <w:bottom w:val="nil"/>
              <w:right w:val="nil"/>
              <w:tl2br w:val="nil"/>
              <w:tr2bl w:val="nil"/>
            </w:tcBorders>
            <w:shd w:val="clear" w:color="auto" w:fill="CCEEFF"/>
            <w:noWrap/>
            <w:vAlign w:val="bottom"/>
          </w:tcPr>
          <w:p w:rsidRPr="003D0CAA" w:rsidR="009534E2" w:rsidRDefault="003369EB">
            <w:pPr>
              <w:spacing w:after="1"/>
              <w:jc w:val="right"/>
              <w:rPr>
                <w:color w:val="000000"/>
              </w:rPr>
            </w:pPr>
            <w:r w:rsidRPr="003D0CAA">
              <w:rPr>
                <w:rFonts w:ascii="Times New Roman" w:hAnsi="Times New Roman" w:eastAsia="Times New Roman" w:cs="Times New Roman"/>
                <w:color w:val="000000"/>
              </w:rPr>
              <w:t xml:space="preserve"> (252)</w:t>
            </w:r>
          </w:p>
        </w:tc>
        <w:tc>
          <w:tcPr>
            <w:tcW w:w="132" w:type="pct"/>
            <w:tcBorders>
              <w:top w:val="nil"/>
              <w:left w:val="nil"/>
              <w:bottom w:val="nil"/>
              <w:right w:val="nil"/>
              <w:tl2br w:val="nil"/>
              <w:tr2bl w:val="nil"/>
            </w:tcBorders>
            <w:shd w:val="clear" w:color="auto" w:fill="CCEEFF"/>
            <w:noWrap/>
            <w:vAlign w:val="bottom"/>
          </w:tcPr>
          <w:p w:rsidR="009534E2" w:rsidRDefault="009534E2">
            <w:pPr>
              <w:spacing w:after="1"/>
              <w:jc w:val="center"/>
              <w:rPr>
                <w:color w:val="000000"/>
              </w:rPr>
            </w:pPr>
          </w:p>
        </w:tc>
        <w:tc>
          <w:tcPr>
            <w:tcW w:w="766" w:type="pct"/>
            <w:tcBorders>
              <w:top w:val="single" w:color="000000" w:sz="4" w:space="0"/>
              <w:left w:val="nil"/>
              <w:bottom w:val="nil"/>
              <w:right w:val="nil"/>
              <w:tl2br w:val="nil"/>
              <w:tr2bl w:val="nil"/>
            </w:tcBorders>
            <w:shd w:val="clear" w:color="auto" w:fill="CCEEFF"/>
            <w:noWrap/>
            <w:vAlign w:val="bottom"/>
          </w:tcPr>
          <w:p w:rsidRPr="003D0CAA" w:rsidR="009534E2" w:rsidRDefault="003369EB">
            <w:pPr>
              <w:spacing w:after="1"/>
              <w:jc w:val="right"/>
              <w:rPr>
                <w:color w:val="000000"/>
              </w:rPr>
            </w:pPr>
            <w:r w:rsidRPr="003D0CAA">
              <w:rPr>
                <w:rFonts w:ascii="Times New Roman" w:hAnsi="Times New Roman" w:eastAsia="Times New Roman" w:cs="Times New Roman"/>
                <w:color w:val="000000"/>
              </w:rPr>
              <w:t xml:space="preserve"> (242)</w:t>
            </w:r>
          </w:p>
        </w:tc>
      </w:tr>
      <w:tr w:rsidR="003D0CAA" w:rsidTr="003D0CAA">
        <w:tc>
          <w:tcPr>
            <w:tcW w:w="3204" w:type="pct"/>
            <w:tcBorders>
              <w:top w:val="nil"/>
              <w:left w:val="nil"/>
              <w:bottom w:val="nil"/>
              <w:right w:val="nil"/>
              <w:tl2br w:val="nil"/>
              <w:tr2bl w:val="nil"/>
            </w:tcBorders>
            <w:shd w:val="clear" w:color="auto" w:fill="auto"/>
            <w:vAlign w:val="bottom"/>
          </w:tcPr>
          <w:p w:rsidR="009534E2" w:rsidRDefault="003369EB">
            <w:pPr>
              <w:spacing w:after="1"/>
              <w:rPr>
                <w:color w:val="000000"/>
              </w:rPr>
            </w:pPr>
            <w:bookmarkStart w:name="_552863fc_b1ad_430b_aef0_89621df02ee3" w:id="2961"/>
            <w:bookmarkStart w:name="_93a272a9_338e_4c5b_ba06_e78c1d9e61a6" w:id="2962"/>
            <w:bookmarkEnd w:id="2960"/>
            <w:r w:rsidRPr="003D0CAA">
              <w:rPr>
                <w:rFonts w:ascii="Times New Roman" w:hAnsi="Times New Roman" w:eastAsia="Times New Roman" w:cs="Times New Roman"/>
                <w:color w:val="000000"/>
              </w:rPr>
              <w:t>100</w:t>
            </w:r>
            <w:bookmarkEnd w:id="2961"/>
            <w:r>
              <w:rPr>
                <w:rFonts w:ascii="Times New Roman" w:hAnsi="Times New Roman" w:eastAsia="Times New Roman" w:cs="Times New Roman"/>
                <w:color w:val="000000"/>
              </w:rPr>
              <w:t xml:space="preserve"> bp fall of interest rate</w:t>
            </w:r>
          </w:p>
        </w:tc>
        <w:tc>
          <w:tcPr>
            <w:tcW w:w="132" w:type="pct"/>
            <w:tcBorders>
              <w:top w:val="nil"/>
              <w:left w:val="nil"/>
              <w:bottom w:val="nil"/>
              <w:right w:val="nil"/>
              <w:tl2br w:val="nil"/>
              <w:tr2bl w:val="nil"/>
            </w:tcBorders>
            <w:shd w:val="clear" w:color="auto" w:fill="auto"/>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766" w:type="pct"/>
            <w:tcBorders>
              <w:top w:val="nil"/>
              <w:left w:val="nil"/>
              <w:bottom w:val="nil"/>
              <w:right w:val="nil"/>
              <w:tl2br w:val="nil"/>
              <w:tr2bl w:val="nil"/>
            </w:tcBorders>
            <w:shd w:val="clear" w:color="auto" w:fill="auto"/>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252</w:t>
            </w:r>
          </w:p>
        </w:tc>
        <w:tc>
          <w:tcPr>
            <w:tcW w:w="132" w:type="pct"/>
            <w:tcBorders>
              <w:top w:val="nil"/>
              <w:left w:val="nil"/>
              <w:bottom w:val="nil"/>
              <w:right w:val="nil"/>
              <w:tl2br w:val="nil"/>
              <w:tr2bl w:val="nil"/>
            </w:tcBorders>
            <w:shd w:val="clear" w:color="auto" w:fill="auto"/>
            <w:noWrap/>
            <w:vAlign w:val="bottom"/>
          </w:tcPr>
          <w:p w:rsidR="009534E2" w:rsidRDefault="003369EB">
            <w:pPr>
              <w:spacing w:after="1"/>
              <w:rPr>
                <w:color w:val="000000"/>
              </w:rPr>
            </w:pPr>
            <w:r>
              <w:rPr>
                <w:rFonts w:ascii="Times New Roman" w:hAnsi="Times New Roman" w:eastAsia="Times New Roman" w:cs="Times New Roman"/>
                <w:color w:val="000000"/>
              </w:rPr>
              <w:t> </w:t>
            </w:r>
          </w:p>
        </w:tc>
        <w:tc>
          <w:tcPr>
            <w:tcW w:w="766" w:type="pct"/>
            <w:tcBorders>
              <w:top w:val="nil"/>
              <w:left w:val="nil"/>
              <w:bottom w:val="nil"/>
              <w:right w:val="nil"/>
              <w:tl2br w:val="nil"/>
              <w:tr2bl w:val="nil"/>
            </w:tcBorders>
            <w:shd w:val="clear" w:color="auto" w:fill="auto"/>
            <w:noWrap/>
            <w:vAlign w:val="bottom"/>
          </w:tcPr>
          <w:p w:rsidRPr="003D0CAA" w:rsidR="009534E2" w:rsidRDefault="003369EB">
            <w:pPr>
              <w:spacing w:after="1"/>
              <w:ind w:right="60"/>
              <w:jc w:val="right"/>
              <w:rPr>
                <w:color w:val="000000"/>
              </w:rPr>
            </w:pPr>
            <w:r w:rsidRPr="003D0CAA">
              <w:rPr>
                <w:rFonts w:ascii="Times New Roman" w:hAnsi="Times New Roman" w:eastAsia="Times New Roman" w:cs="Times New Roman"/>
                <w:color w:val="000000"/>
              </w:rPr>
              <w:t xml:space="preserve"> 242</w:t>
            </w:r>
          </w:p>
        </w:tc>
      </w:tr>
      <w:bookmarkEnd w:id="2953"/>
      <w:bookmarkEnd w:id="2955"/>
      <w:bookmarkEnd w:id="2956"/>
      <w:bookmarkEnd w:id="2962"/>
    </w:tbl>
    <w:p w:rsidR="009534E2" w:rsidRDefault="009534E2">
      <w:pPr>
        <w:pStyle w:val="BodyText"/>
        <w:spacing w:after="0"/>
        <w:rPr>
          <w:rFonts w:eastAsia="Times New Roman" w:asciiTheme="majorHAnsi" w:hAnsiTheme="majorHAnsi" w:cstheme="majorHAnsi"/>
          <w:sz w:val="2"/>
          <w:lang w:eastAsia="ru-RU"/>
        </w:rPr>
      </w:pPr>
    </w:p>
    <w:p w:rsidR="009534E2" w:rsidRDefault="00EC0AE1">
      <w:pPr>
        <w:pStyle w:val="BodyText"/>
        <w:spacing w:after="0"/>
        <w:rPr>
          <w:rFonts w:eastAsia="Times New Roman" w:asciiTheme="majorHAnsi" w:hAnsiTheme="majorHAnsi" w:cstheme="majorHAnsi"/>
          <w:sz w:val="2"/>
          <w:lang w:eastAsia="ru-RU"/>
        </w:rPr>
      </w:pPr>
    </w:p>
    <w:p w:rsidR="009534E2" w:rsidRDefault="009534E2">
      <w:pPr>
        <w:pStyle w:val="BodyText"/>
        <w:spacing w:after="0"/>
        <w:rPr>
          <w:rFonts w:eastAsia="Times New Roman" w:asciiTheme="majorHAnsi" w:hAnsiTheme="majorHAnsi" w:cstheme="majorHAnsi"/>
          <w:sz w:val="2"/>
          <w:lang w:eastAsia="ru-RU"/>
        </w:rPr>
      </w:pP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Heading1"/>
        <w:ind w:left="360" w:hanging="360"/>
      </w:pPr>
      <w:r>
        <w:t>31.</w:t>
      </w:r>
      <w:r>
        <w:tab/>
        <w:t>Financial instruments</w:t>
      </w:r>
    </w:p>
    <w:p w:rsidR="009534E2" w:rsidRDefault="003369EB">
      <w:pPr>
        <w:pStyle w:val="BodyText"/>
        <w:keepNext/>
        <w:rPr>
          <w:rFonts w:eastAsia="Times New Roman" w:asciiTheme="majorHAnsi" w:hAnsiTheme="majorHAnsi" w:cstheme="majorHAnsi"/>
          <w:lang w:eastAsia="ru-RU"/>
        </w:rPr>
      </w:pPr>
      <w:r>
        <w:rPr>
          <w:rFonts w:eastAsia="Times New Roman" w:asciiTheme="majorHAnsi" w:hAnsiTheme="majorHAnsi" w:cstheme="majorHAnsi"/>
          <w:lang w:eastAsia="ru-RU"/>
        </w:rPr>
        <w:t>The Group’s principal financial instruments co</w:t>
      </w:r>
      <w:r w:rsidR="003D0CAA">
        <w:rPr>
          <w:rFonts w:eastAsia="Times New Roman" w:asciiTheme="majorHAnsi" w:hAnsiTheme="majorHAnsi" w:cstheme="majorHAnsi"/>
          <w:lang w:eastAsia="ru-RU"/>
        </w:rPr>
        <w:t xml:space="preserve">mprise </w:t>
      </w:r>
      <w:r>
        <w:rPr>
          <w:rFonts w:eastAsia="Times New Roman" w:asciiTheme="majorHAnsi" w:hAnsiTheme="majorHAnsi" w:cstheme="majorHAnsi"/>
          <w:lang w:eastAsia="ru-RU"/>
        </w:rPr>
        <w:t>loans receivable, trade and other receivables, customer accounts and amounts due to banks, trade and other payables, cash and cash equivalents, long</w:t>
      </w:r>
      <w:r w:rsidR="003D0CAA">
        <w:rPr>
          <w:rFonts w:eastAsia="Times New Roman" w:asciiTheme="majorHAnsi" w:hAnsiTheme="majorHAnsi" w:cstheme="majorHAnsi"/>
          <w:lang w:eastAsia="ru-RU"/>
        </w:rPr>
        <w:t>-</w:t>
      </w:r>
      <w:r>
        <w:rPr>
          <w:rFonts w:eastAsia="Times New Roman" w:asciiTheme="majorHAnsi" w:hAnsiTheme="majorHAnsi" w:cstheme="majorHAnsi"/>
          <w:lang w:eastAsia="ru-RU"/>
        </w:rPr>
        <w:t xml:space="preserve"> and short-term debt instruments and reserves at CBR. The Group has various financial assets and liabilities which arise directly from its operations. During the year, the Group did not undertake trading in financial instruments.</w:t>
      </w:r>
    </w:p>
    <w:p w:rsidR="009534E2" w:rsidRDefault="003369EB">
      <w:pPr>
        <w:pStyle w:val="BodyText"/>
        <w:keepNext/>
        <w:spacing w:after="0"/>
        <w:rPr>
          <w:rFonts w:eastAsia="Times New Roman" w:asciiTheme="majorHAnsi" w:hAnsiTheme="majorHAnsi" w:cstheme="majorHAnsi"/>
          <w:lang w:eastAsia="ru-RU"/>
        </w:rPr>
      </w:pPr>
      <w:r>
        <w:rPr>
          <w:rFonts w:eastAsia="Times New Roman" w:asciiTheme="majorHAnsi" w:hAnsiTheme="majorHAnsi" w:cstheme="majorHAnsi"/>
          <w:lang w:eastAsia="ru-RU"/>
        </w:rPr>
        <w:t>The fair value of the Group’s financial instruments as of December 31, 2022 and 2021 is presented by type of the financial instrument in the table below:</w:t>
      </w:r>
    </w:p>
    <w:p w:rsidR="009534E2" w:rsidRDefault="009534E2">
      <w:pPr>
        <w:pStyle w:val="BodyText"/>
        <w:keepNext/>
        <w:spacing w:after="0"/>
        <w:rPr>
          <w:rFonts w:eastAsia="Times New Roman" w:asciiTheme="majorHAnsi" w:hAnsiTheme="majorHAnsi" w:cstheme="majorHAnsi"/>
          <w:lang w:eastAsia="ru-RU"/>
        </w:rPr>
      </w:pPr>
      <w:bookmarkStart w:name="_b2aaa386_ad9e_42a7_816e_5e4fbd2f279b" w:id="2963"/>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062"/>
        <w:gridCol w:w="192"/>
        <w:gridCol w:w="756"/>
        <w:gridCol w:w="192"/>
        <w:gridCol w:w="756"/>
        <w:gridCol w:w="192"/>
        <w:gridCol w:w="758"/>
        <w:gridCol w:w="192"/>
        <w:gridCol w:w="756"/>
        <w:gridCol w:w="192"/>
        <w:gridCol w:w="752"/>
      </w:tblGrid>
      <w:tr w:rsidR="002931B3" w:rsidTr="002931B3">
        <w:trPr>
          <w:trHeight w:val="20" w:hRule="exact"/>
          <w:jc w:val="center"/>
        </w:trPr>
        <w:tc>
          <w:tcPr>
            <w:tcW w:w="2806" w:type="pct"/>
            <w:tcBorders>
              <w:top w:val="nil"/>
              <w:left w:val="nil"/>
              <w:bottom w:val="nil"/>
              <w:right w:val="nil"/>
            </w:tcBorders>
            <w:vAlign w:val="bottom"/>
          </w:tcPr>
          <w:p w:rsidR="009534E2" w:rsidRDefault="009534E2">
            <w:pPr>
              <w:keepNext/>
              <w:spacing w:after="1"/>
              <w:rPr>
                <w:rFonts w:asciiTheme="majorHAnsi" w:hAnsiTheme="majorHAnsi" w:cstheme="majorHAnsi"/>
                <w:sz w:val="2"/>
              </w:rPr>
            </w:pPr>
            <w:bookmarkStart w:name="_42cef861_c4ee_4e1a_8ca3_87f8ea40f31a" w:id="2964"/>
            <w:bookmarkStart w:name="_26a1796c_ca27_4ae4_a57b_55eec23cbfb1" w:colFirst="0" w:colLast="0" w:id="2965"/>
            <w:bookmarkStart w:name="_2cdd2adb_501f_4767_b37b_7f06d2e3e313" w:colFirst="1" w:colLast="1" w:id="2966"/>
            <w:bookmarkStart w:name="_59456bd9_5faa_4204_abfe_01b49f5d6054" w:colFirst="2" w:colLast="2" w:id="2967"/>
            <w:bookmarkStart w:name="_78abc572_ba31_41ab_b354_517db6b1af76" w:colFirst="3" w:colLast="3" w:id="2968"/>
            <w:bookmarkStart w:name="_3c04056d_6bc8_48cc_be1b_3a5505634c32" w:colFirst="4" w:colLast="4" w:id="2969"/>
            <w:bookmarkStart w:name="_81346134_7177_4d0e_b9f1_715f80907d80" w:colFirst="5" w:colLast="5" w:id="2970"/>
            <w:bookmarkStart w:name="_dc7a9c85_016b_4301_a6b1_57296257c9f9" w:colFirst="6" w:colLast="6" w:id="2971"/>
            <w:bookmarkStart w:name="_5aae08cf_49ef_41a3_aa6f_a4b49ee847aa" w:colFirst="7" w:colLast="7" w:id="2972"/>
            <w:bookmarkStart w:name="_badfb1cb_425e_4503_9b15_33a9af68cdd7" w:colFirst="8" w:colLast="8" w:id="2973"/>
            <w:bookmarkStart w:name="_fa0e1cc6_becf_4cca_ae92_8e84969606a2" w:colFirst="9" w:colLast="9" w:id="2974"/>
            <w:bookmarkStart w:name="_10812a55_d954_4754_ac6d_59dfa0f13c87" w:colFirst="10" w:colLast="10" w:id="2975"/>
            <w:bookmarkStart w:name="_0b013c01_e45c_49c7_87bd_076dfc294c96" w:id="2976"/>
            <w:bookmarkEnd w:id="2964"/>
          </w:p>
        </w:tc>
        <w:tc>
          <w:tcPr>
            <w:tcW w:w="89"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50"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89"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50"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89"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51"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89"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50"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89"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c>
          <w:tcPr>
            <w:tcW w:w="348" w:type="pct"/>
            <w:tcBorders>
              <w:top w:val="nil"/>
              <w:left w:val="nil"/>
              <w:bottom w:val="nil"/>
              <w:right w:val="nil"/>
            </w:tcBorders>
            <w:noWrap/>
            <w:vAlign w:val="bottom"/>
          </w:tcPr>
          <w:p w:rsidR="009534E2" w:rsidRDefault="009534E2">
            <w:pPr>
              <w:keepNext/>
              <w:spacing w:after="1"/>
              <w:rPr>
                <w:rFonts w:asciiTheme="majorHAnsi" w:hAnsiTheme="majorHAnsi" w:cstheme="majorHAnsi"/>
                <w:sz w:val="2"/>
              </w:rPr>
            </w:pPr>
          </w:p>
        </w:tc>
      </w:tr>
      <w:tr w:rsidR="002931B3" w:rsidTr="002931B3">
        <w:trPr>
          <w:jc w:val="center"/>
        </w:trPr>
        <w:tc>
          <w:tcPr>
            <w:tcW w:w="2806"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f16589cb_af4d_49be_8bea_dee7b4703a5a" w:id="2977"/>
            <w:bookmarkEnd w:id="2965"/>
            <w:bookmarkEnd w:id="2966"/>
            <w:bookmarkEnd w:id="2967"/>
            <w:bookmarkEnd w:id="2968"/>
            <w:bookmarkEnd w:id="2969"/>
            <w:bookmarkEnd w:id="2970"/>
            <w:bookmarkEnd w:id="2971"/>
            <w:bookmarkEnd w:id="2972"/>
            <w:bookmarkEnd w:id="2973"/>
            <w:bookmarkEnd w:id="2974"/>
            <w:bookmarkEnd w:id="2975"/>
          </w:p>
        </w:tc>
        <w:tc>
          <w:tcPr>
            <w:tcW w:w="89"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350"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89"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790"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 December 31, 2021</w:t>
            </w:r>
          </w:p>
        </w:tc>
        <w:tc>
          <w:tcPr>
            <w:tcW w:w="89"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787" w:type="pct"/>
            <w:gridSpan w:val="3"/>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As of December 31, 2022</w:t>
            </w:r>
          </w:p>
        </w:tc>
      </w:tr>
      <w:tr w:rsidR="002931B3" w:rsidTr="002931B3">
        <w:trPr>
          <w:jc w:val="center"/>
        </w:trPr>
        <w:tc>
          <w:tcPr>
            <w:tcW w:w="2806"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b8af1d85_00d4_4de0_adf8_fae5de42ba73" w:id="2978"/>
            <w:bookmarkEnd w:id="2977"/>
          </w:p>
        </w:tc>
        <w:tc>
          <w:tcPr>
            <w:tcW w:w="89"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50"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89"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50"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Carrying</w:t>
            </w:r>
          </w:p>
        </w:tc>
        <w:tc>
          <w:tcPr>
            <w:tcW w:w="89"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51"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Fair</w:t>
            </w:r>
          </w:p>
        </w:tc>
        <w:tc>
          <w:tcPr>
            <w:tcW w:w="89"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50"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Carrying</w:t>
            </w:r>
          </w:p>
        </w:tc>
        <w:tc>
          <w:tcPr>
            <w:tcW w:w="89"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48"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Fair</w:t>
            </w:r>
          </w:p>
        </w:tc>
      </w:tr>
      <w:tr w:rsidR="002931B3" w:rsidTr="002931B3">
        <w:trPr>
          <w:jc w:val="center"/>
        </w:trPr>
        <w:tc>
          <w:tcPr>
            <w:tcW w:w="2806" w:type="pct"/>
            <w:tcBorders>
              <w:top w:val="nil"/>
              <w:left w:val="nil"/>
              <w:bottom w:val="nil"/>
              <w:right w:val="nil"/>
              <w:tl2br w:val="nil"/>
              <w:tr2bl w:val="nil"/>
            </w:tcBorders>
            <w:shd w:val="clear" w:color="auto" w:fill="auto"/>
            <w:vAlign w:val="bottom"/>
          </w:tcPr>
          <w:p w:rsidR="009534E2" w:rsidRDefault="009534E2">
            <w:pPr>
              <w:keepNext/>
              <w:spacing w:after="1"/>
              <w:rPr>
                <w:rFonts w:asciiTheme="majorHAnsi" w:hAnsiTheme="majorHAnsi" w:cstheme="majorHAnsi"/>
                <w:b/>
                <w:color w:val="000000"/>
                <w:sz w:val="16"/>
              </w:rPr>
            </w:pPr>
            <w:bookmarkStart w:name="_49579c27_49b6_4c06_a1e0_16cb9d4e11da" w:id="2979"/>
            <w:bookmarkEnd w:id="2978"/>
          </w:p>
        </w:tc>
        <w:tc>
          <w:tcPr>
            <w:tcW w:w="89" w:type="pct"/>
            <w:tcBorders>
              <w:top w:val="nil"/>
              <w:left w:val="nil"/>
              <w:bottom w:val="nil"/>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50" w:type="pct"/>
            <w:tcBorders>
              <w:top w:val="nil"/>
              <w:left w:val="nil"/>
              <w:bottom w:val="nil"/>
              <w:right w:val="nil"/>
              <w:tl2br w:val="nil"/>
              <w:tr2bl w:val="nil"/>
            </w:tcBorders>
            <w:shd w:val="clear" w:color="auto" w:fill="auto"/>
            <w:noWrap/>
            <w:vAlign w:val="bottom"/>
          </w:tcPr>
          <w:p w:rsidR="009534E2" w:rsidRDefault="009534E2">
            <w:pPr>
              <w:keepNext/>
              <w:spacing w:after="1"/>
              <w:jc w:val="center"/>
              <w:rPr>
                <w:rFonts w:asciiTheme="majorHAnsi" w:hAnsiTheme="majorHAnsi" w:cstheme="majorHAnsi"/>
                <w:b/>
                <w:color w:val="000000"/>
                <w:sz w:val="16"/>
              </w:rPr>
            </w:pPr>
          </w:p>
        </w:tc>
        <w:tc>
          <w:tcPr>
            <w:tcW w:w="89"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50"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amount</w:t>
            </w:r>
          </w:p>
        </w:tc>
        <w:tc>
          <w:tcPr>
            <w:tcW w:w="89"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51"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value</w:t>
            </w:r>
          </w:p>
        </w:tc>
        <w:tc>
          <w:tcPr>
            <w:tcW w:w="89"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50"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amount</w:t>
            </w:r>
          </w:p>
        </w:tc>
        <w:tc>
          <w:tcPr>
            <w:tcW w:w="89" w:type="pct"/>
            <w:tcBorders>
              <w:top w:val="nil"/>
              <w:left w:val="nil"/>
              <w:bottom w:val="nil"/>
              <w:right w:val="nil"/>
              <w:tl2br w:val="nil"/>
              <w:tr2bl w:val="nil"/>
            </w:tcBorders>
            <w:shd w:val="clear" w:color="auto" w:fill="auto"/>
            <w:noWrap/>
            <w:vAlign w:val="bottom"/>
          </w:tcPr>
          <w:p w:rsidR="009534E2" w:rsidRDefault="003369EB">
            <w:pPr>
              <w:keepNext/>
              <w:spacing w:after="1"/>
              <w:rPr>
                <w:rFonts w:asciiTheme="majorHAnsi" w:hAnsiTheme="majorHAnsi" w:cstheme="majorHAnsi"/>
                <w:b/>
                <w:color w:val="000000"/>
                <w:sz w:val="16"/>
              </w:rPr>
            </w:pPr>
            <w:r>
              <w:rPr>
                <w:rFonts w:eastAsia="Times New Roman" w:asciiTheme="majorHAnsi" w:hAnsiTheme="majorHAnsi" w:cstheme="majorHAnsi"/>
                <w:b/>
                <w:color w:val="000000"/>
                <w:sz w:val="16"/>
              </w:rPr>
              <w:t>    </w:t>
            </w:r>
          </w:p>
        </w:tc>
        <w:tc>
          <w:tcPr>
            <w:tcW w:w="348" w:type="pct"/>
            <w:tcBorders>
              <w:top w:val="nil"/>
              <w:left w:val="nil"/>
              <w:bottom w:val="single" w:color="000000" w:sz="4" w:space="0"/>
              <w:right w:val="nil"/>
              <w:tl2br w:val="nil"/>
              <w:tr2bl w:val="nil"/>
            </w:tcBorders>
            <w:shd w:val="clear" w:color="auto" w:fill="auto"/>
            <w:noWrap/>
            <w:vAlign w:val="bottom"/>
          </w:tcPr>
          <w:p w:rsidR="009534E2" w:rsidRDefault="003369EB">
            <w:pPr>
              <w:keepNext/>
              <w:spacing w:after="1"/>
              <w:jc w:val="center"/>
              <w:rPr>
                <w:rFonts w:asciiTheme="majorHAnsi" w:hAnsiTheme="majorHAnsi" w:cstheme="majorHAnsi"/>
                <w:b/>
                <w:color w:val="000000"/>
                <w:sz w:val="16"/>
              </w:rPr>
            </w:pPr>
            <w:r>
              <w:rPr>
                <w:rFonts w:eastAsia="Times New Roman" w:asciiTheme="majorHAnsi" w:hAnsiTheme="majorHAnsi" w:cstheme="majorHAnsi"/>
                <w:b/>
                <w:color w:val="000000"/>
                <w:sz w:val="16"/>
              </w:rPr>
              <w:t>value</w:t>
            </w:r>
          </w:p>
        </w:tc>
      </w:tr>
      <w:tr w:rsidR="002931B3" w:rsidTr="002931B3">
        <w:trPr>
          <w:jc w:val="center"/>
        </w:trPr>
        <w:tc>
          <w:tcPr>
            <w:tcW w:w="2806"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b/>
                <w:color w:val="000000"/>
              </w:rPr>
            </w:pPr>
            <w:bookmarkStart w:name="_cf643467_0022_45c1_a86c_e6e7f978f539" w:id="2980"/>
            <w:bookmarkEnd w:id="2979"/>
            <w:r>
              <w:rPr>
                <w:rFonts w:eastAsia="Times New Roman" w:asciiTheme="majorHAnsi" w:hAnsiTheme="majorHAnsi" w:cstheme="majorHAnsi"/>
                <w:b/>
                <w:color w:val="000000"/>
              </w:rPr>
              <w:t>Financial assets</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rFonts w:asciiTheme="majorHAnsi" w:hAnsiTheme="majorHAnsi" w:cstheme="majorHAnsi"/>
                <w:color w:val="000000"/>
              </w:rPr>
            </w:pPr>
          </w:p>
        </w:tc>
        <w:tc>
          <w:tcPr>
            <w:tcW w:w="350"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rFonts w:asciiTheme="majorHAnsi" w:hAnsiTheme="majorHAnsi" w:cstheme="majorHAnsi"/>
                <w:color w:val="000000"/>
              </w:rPr>
            </w:pPr>
            <w:r>
              <w:rPr>
                <w:rFonts w:eastAsia="Times New Roman" w:asciiTheme="majorHAnsi" w:hAnsiTheme="majorHAnsi" w:cstheme="majorHAnsi"/>
                <w:color w:val="000000"/>
              </w:rPr>
              <w:t>  </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rFonts w:asciiTheme="majorHAnsi" w:hAnsiTheme="majorHAnsi" w:cstheme="majorHAnsi"/>
                <w:color w:val="000000"/>
              </w:rPr>
            </w:pPr>
          </w:p>
        </w:tc>
        <w:tc>
          <w:tcPr>
            <w:tcW w:w="350"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rFonts w:asciiTheme="majorHAnsi" w:hAnsiTheme="majorHAnsi" w:cstheme="majorHAnsi"/>
                <w:color w:val="000000"/>
              </w:rPr>
            </w:pPr>
            <w:r>
              <w:rPr>
                <w:rFonts w:eastAsia="Times New Roman" w:asciiTheme="majorHAnsi" w:hAnsiTheme="majorHAnsi" w:cstheme="majorHAnsi"/>
                <w:color w:val="000000"/>
              </w:rPr>
              <w:t>  </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rFonts w:asciiTheme="majorHAnsi" w:hAnsiTheme="majorHAnsi" w:cstheme="majorHAnsi"/>
                <w:color w:val="000000"/>
              </w:rPr>
            </w:pPr>
          </w:p>
        </w:tc>
        <w:tc>
          <w:tcPr>
            <w:tcW w:w="351"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rFonts w:asciiTheme="majorHAnsi" w:hAnsiTheme="majorHAnsi" w:cstheme="majorHAnsi"/>
                <w:color w:val="000000"/>
              </w:rPr>
            </w:pPr>
            <w:r>
              <w:rPr>
                <w:rFonts w:eastAsia="Times New Roman" w:asciiTheme="majorHAnsi" w:hAnsiTheme="majorHAnsi" w:cstheme="majorHAnsi"/>
                <w:color w:val="000000"/>
              </w:rPr>
              <w:t>  </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rFonts w:asciiTheme="majorHAnsi" w:hAnsiTheme="majorHAnsi" w:cstheme="majorHAnsi"/>
                <w:color w:val="000000"/>
              </w:rPr>
            </w:pPr>
          </w:p>
        </w:tc>
        <w:tc>
          <w:tcPr>
            <w:tcW w:w="350"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rFonts w:asciiTheme="majorHAnsi" w:hAnsiTheme="majorHAnsi" w:cstheme="majorHAnsi"/>
                <w:color w:val="000000"/>
              </w:rPr>
            </w:pPr>
            <w:r>
              <w:rPr>
                <w:rFonts w:eastAsia="Times New Roman" w:asciiTheme="majorHAnsi" w:hAnsiTheme="majorHAnsi" w:cstheme="majorHAnsi"/>
                <w:color w:val="000000"/>
              </w:rPr>
              <w:t>  </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jc w:val="center"/>
              <w:rPr>
                <w:rFonts w:asciiTheme="majorHAnsi" w:hAnsiTheme="majorHAnsi" w:cstheme="majorHAnsi"/>
                <w:color w:val="000000"/>
              </w:rPr>
            </w:pPr>
          </w:p>
        </w:tc>
        <w:tc>
          <w:tcPr>
            <w:tcW w:w="348"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rFonts w:asciiTheme="majorHAnsi" w:hAnsiTheme="majorHAnsi" w:cstheme="majorHAnsi"/>
                <w:color w:val="000000"/>
              </w:rPr>
            </w:pPr>
            <w:r>
              <w:rPr>
                <w:rFonts w:eastAsia="Times New Roman" w:asciiTheme="majorHAnsi" w:hAnsiTheme="majorHAnsi" w:cstheme="majorHAnsi"/>
                <w:color w:val="000000"/>
              </w:rPr>
              <w:t>  </w:t>
            </w:r>
          </w:p>
        </w:tc>
      </w:tr>
      <w:tr w:rsidR="002931B3" w:rsidTr="002931B3">
        <w:trPr>
          <w:jc w:val="center"/>
        </w:trPr>
        <w:tc>
          <w:tcPr>
            <w:tcW w:w="2806"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21497a51_1b3d_4bde_b87c_8fcb6165c77c" w:id="2981"/>
            <w:bookmarkEnd w:id="2980"/>
            <w:r>
              <w:rPr>
                <w:rFonts w:eastAsia="Times New Roman" w:asciiTheme="majorHAnsi" w:hAnsiTheme="majorHAnsi" w:cstheme="majorHAnsi"/>
                <w:color w:val="000000"/>
              </w:rPr>
              <w:t xml:space="preserve">Debt securities </w:t>
            </w: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50" w:type="pct"/>
            <w:tcBorders>
              <w:top w:val="nil"/>
              <w:left w:val="nil"/>
              <w:bottom w:val="nil"/>
              <w:right w:val="nil"/>
              <w:tl2br w:val="nil"/>
              <w:tr2bl w:val="nil"/>
            </w:tcBorders>
            <w:noWrap/>
            <w:vAlign w:val="bottom"/>
          </w:tcPr>
          <w:p w:rsidR="009534E2" w:rsidRDefault="003369EB">
            <w:pPr>
              <w:keepNext/>
              <w:spacing w:after="1"/>
              <w:jc w:val="center"/>
              <w:rPr>
                <w:rFonts w:asciiTheme="majorHAnsi" w:hAnsiTheme="majorHAnsi" w:cstheme="majorHAnsi"/>
                <w:color w:val="000000"/>
              </w:rPr>
            </w:pPr>
            <w:r>
              <w:rPr>
                <w:rFonts w:eastAsia="Times New Roman" w:asciiTheme="majorHAnsi" w:hAnsiTheme="majorHAnsi" w:cstheme="majorHAnsi"/>
                <w:color w:val="000000"/>
              </w:rPr>
              <w:t>AC</w:t>
            </w: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50" w:type="pct"/>
            <w:tcBorders>
              <w:top w:val="nil"/>
              <w:left w:val="nil"/>
              <w:bottom w:val="nil"/>
              <w:right w:val="nil"/>
              <w:tl2br w:val="nil"/>
              <w:tr2bl w:val="nil"/>
            </w:tcBorders>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3,526</w:t>
            </w: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51" w:type="pct"/>
            <w:tcBorders>
              <w:top w:val="nil"/>
              <w:left w:val="nil"/>
              <w:bottom w:val="nil"/>
              <w:right w:val="nil"/>
              <w:tl2br w:val="nil"/>
              <w:tr2bl w:val="nil"/>
            </w:tcBorders>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3,462</w:t>
            </w: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50" w:type="pct"/>
            <w:tcBorders>
              <w:top w:val="nil"/>
              <w:left w:val="nil"/>
              <w:bottom w:val="nil"/>
              <w:right w:val="nil"/>
              <w:tl2br w:val="nil"/>
              <w:tr2bl w:val="nil"/>
            </w:tcBorders>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4,155</w:t>
            </w: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48" w:type="pct"/>
            <w:tcBorders>
              <w:top w:val="nil"/>
              <w:left w:val="nil"/>
              <w:bottom w:val="nil"/>
              <w:right w:val="nil"/>
              <w:tl2br w:val="nil"/>
              <w:tr2bl w:val="nil"/>
            </w:tcBorders>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4,131</w:t>
            </w:r>
          </w:p>
        </w:tc>
      </w:tr>
      <w:tr w:rsidR="002931B3" w:rsidTr="002931B3">
        <w:trPr>
          <w:jc w:val="center"/>
        </w:trPr>
        <w:tc>
          <w:tcPr>
            <w:tcW w:w="2806"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26be6fb5_f6f1_4527_a9a2_33ad14ed127f" w:id="2982"/>
            <w:bookmarkEnd w:id="2981"/>
            <w:r>
              <w:rPr>
                <w:rFonts w:eastAsia="Times New Roman" w:asciiTheme="majorHAnsi" w:hAnsiTheme="majorHAnsi" w:cstheme="majorHAnsi"/>
                <w:color w:val="000000"/>
              </w:rPr>
              <w:t xml:space="preserve">Debt securities </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50"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rFonts w:asciiTheme="majorHAnsi" w:hAnsiTheme="majorHAnsi" w:cstheme="majorHAnsi"/>
                <w:color w:val="000000"/>
              </w:rPr>
            </w:pPr>
            <w:r>
              <w:rPr>
                <w:rFonts w:eastAsia="Times New Roman" w:asciiTheme="majorHAnsi" w:hAnsiTheme="majorHAnsi" w:cstheme="majorHAnsi"/>
                <w:color w:val="000000"/>
              </w:rPr>
              <w:t>FVOCI</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50" w:type="pct"/>
            <w:tcBorders>
              <w:top w:val="nil"/>
              <w:left w:val="nil"/>
              <w:bottom w:val="nil"/>
              <w:right w:val="nil"/>
              <w:tl2br w:val="nil"/>
              <w:tr2bl w:val="nil"/>
            </w:tcBorders>
            <w:shd w:val="clear" w:color="auto" w:fill="CCEEFF"/>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9,561</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51" w:type="pct"/>
            <w:tcBorders>
              <w:top w:val="nil"/>
              <w:left w:val="nil"/>
              <w:bottom w:val="nil"/>
              <w:right w:val="nil"/>
              <w:tl2br w:val="nil"/>
              <w:tr2bl w:val="nil"/>
            </w:tcBorders>
            <w:shd w:val="clear" w:color="auto" w:fill="CCEEFF"/>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9,561</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50" w:type="pct"/>
            <w:tcBorders>
              <w:top w:val="nil"/>
              <w:left w:val="nil"/>
              <w:bottom w:val="nil"/>
              <w:right w:val="nil"/>
              <w:tl2br w:val="nil"/>
              <w:tr2bl w:val="nil"/>
            </w:tcBorders>
            <w:shd w:val="clear" w:color="auto" w:fill="CCEEFF"/>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12,820</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48" w:type="pct"/>
            <w:tcBorders>
              <w:top w:val="nil"/>
              <w:left w:val="nil"/>
              <w:bottom w:val="nil"/>
              <w:right w:val="nil"/>
              <w:tl2br w:val="nil"/>
              <w:tr2bl w:val="nil"/>
            </w:tcBorders>
            <w:shd w:val="clear" w:color="auto" w:fill="CCEEFF"/>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12,820</w:t>
            </w:r>
          </w:p>
        </w:tc>
      </w:tr>
      <w:tr w:rsidR="002931B3" w:rsidTr="002931B3">
        <w:trPr>
          <w:jc w:val="center"/>
        </w:trPr>
        <w:tc>
          <w:tcPr>
            <w:tcW w:w="2806"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2740db27_7cbc_411a_891d_8128c3473fd4" w:id="2983"/>
            <w:bookmarkEnd w:id="2982"/>
            <w:r>
              <w:rPr>
                <w:rFonts w:eastAsia="Times New Roman" w:asciiTheme="majorHAnsi" w:hAnsiTheme="majorHAnsi" w:cstheme="majorHAnsi"/>
                <w:color w:val="000000"/>
              </w:rPr>
              <w:t xml:space="preserve">Long-term loans </w:t>
            </w: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50" w:type="pct"/>
            <w:tcBorders>
              <w:top w:val="nil"/>
              <w:left w:val="nil"/>
              <w:bottom w:val="nil"/>
              <w:right w:val="nil"/>
              <w:tl2br w:val="nil"/>
              <w:tr2bl w:val="nil"/>
            </w:tcBorders>
            <w:noWrap/>
            <w:vAlign w:val="bottom"/>
          </w:tcPr>
          <w:p w:rsidR="009534E2" w:rsidRDefault="003369EB">
            <w:pPr>
              <w:keepNext/>
              <w:spacing w:after="1"/>
              <w:jc w:val="center"/>
              <w:rPr>
                <w:rFonts w:asciiTheme="majorHAnsi" w:hAnsiTheme="majorHAnsi" w:cstheme="majorHAnsi"/>
                <w:color w:val="000000"/>
              </w:rPr>
            </w:pPr>
            <w:r>
              <w:rPr>
                <w:rFonts w:eastAsia="Times New Roman" w:asciiTheme="majorHAnsi" w:hAnsiTheme="majorHAnsi" w:cstheme="majorHAnsi"/>
                <w:color w:val="000000"/>
              </w:rPr>
              <w:t>AC</w:t>
            </w: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b/>
                <w:color w:val="000000"/>
              </w:rPr>
            </w:pPr>
          </w:p>
        </w:tc>
        <w:tc>
          <w:tcPr>
            <w:tcW w:w="350" w:type="pct"/>
            <w:tcBorders>
              <w:top w:val="nil"/>
              <w:left w:val="nil"/>
              <w:bottom w:val="nil"/>
              <w:right w:val="nil"/>
              <w:tl2br w:val="nil"/>
              <w:tr2bl w:val="nil"/>
            </w:tcBorders>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250</w:t>
            </w: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51" w:type="pct"/>
            <w:tcBorders>
              <w:top w:val="nil"/>
              <w:left w:val="nil"/>
              <w:bottom w:val="nil"/>
              <w:right w:val="nil"/>
              <w:tl2br w:val="nil"/>
              <w:tr2bl w:val="nil"/>
            </w:tcBorders>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250</w:t>
            </w: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50" w:type="pct"/>
            <w:tcBorders>
              <w:top w:val="nil"/>
              <w:left w:val="nil"/>
              <w:bottom w:val="nil"/>
              <w:right w:val="nil"/>
              <w:tl2br w:val="nil"/>
              <w:tr2bl w:val="nil"/>
            </w:tcBorders>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822</w:t>
            </w: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48" w:type="pct"/>
            <w:tcBorders>
              <w:top w:val="nil"/>
              <w:left w:val="nil"/>
              <w:bottom w:val="nil"/>
              <w:right w:val="nil"/>
              <w:tl2br w:val="nil"/>
              <w:tr2bl w:val="nil"/>
            </w:tcBorders>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822</w:t>
            </w:r>
          </w:p>
        </w:tc>
      </w:tr>
      <w:tr w:rsidR="002931B3" w:rsidTr="002931B3">
        <w:trPr>
          <w:jc w:val="center"/>
        </w:trPr>
        <w:tc>
          <w:tcPr>
            <w:tcW w:w="2806"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ec7ad9a1_3a79_4952_b119_6a61f4ee77b7" w:id="2984"/>
            <w:bookmarkEnd w:id="2983"/>
            <w:r>
              <w:rPr>
                <w:rFonts w:eastAsia="Times New Roman" w:asciiTheme="majorHAnsi" w:hAnsiTheme="majorHAnsi" w:cstheme="majorHAnsi"/>
                <w:color w:val="000000"/>
              </w:rPr>
              <w:t>Long-term loans</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b/>
                <w:color w:val="000000"/>
              </w:rPr>
            </w:pPr>
          </w:p>
        </w:tc>
        <w:tc>
          <w:tcPr>
            <w:tcW w:w="350"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rFonts w:asciiTheme="majorHAnsi" w:hAnsiTheme="majorHAnsi" w:cstheme="majorHAnsi"/>
                <w:color w:val="000000"/>
              </w:rPr>
            </w:pPr>
            <w:r>
              <w:rPr>
                <w:rFonts w:eastAsia="Times New Roman" w:asciiTheme="majorHAnsi" w:hAnsiTheme="majorHAnsi" w:cstheme="majorHAnsi"/>
                <w:color w:val="000000"/>
              </w:rPr>
              <w:t>FVPL</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b/>
                <w:color w:val="000000"/>
              </w:rPr>
            </w:pPr>
          </w:p>
        </w:tc>
        <w:tc>
          <w:tcPr>
            <w:tcW w:w="350" w:type="pct"/>
            <w:tcBorders>
              <w:top w:val="nil"/>
              <w:left w:val="nil"/>
              <w:bottom w:val="nil"/>
              <w:right w:val="nil"/>
              <w:tl2br w:val="nil"/>
              <w:tr2bl w:val="nil"/>
            </w:tcBorders>
            <w:shd w:val="clear" w:color="auto" w:fill="CCEEFF"/>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17</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51" w:type="pct"/>
            <w:tcBorders>
              <w:top w:val="nil"/>
              <w:left w:val="nil"/>
              <w:bottom w:val="nil"/>
              <w:right w:val="nil"/>
              <w:tl2br w:val="nil"/>
              <w:tr2bl w:val="nil"/>
            </w:tcBorders>
            <w:shd w:val="clear" w:color="auto" w:fill="CCEEFF"/>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17</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50" w:type="pct"/>
            <w:tcBorders>
              <w:top w:val="nil"/>
              <w:left w:val="nil"/>
              <w:bottom w:val="nil"/>
              <w:right w:val="nil"/>
              <w:tl2br w:val="nil"/>
              <w:tr2bl w:val="nil"/>
            </w:tcBorders>
            <w:shd w:val="clear" w:color="auto" w:fill="CCEEFF"/>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21</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48" w:type="pct"/>
            <w:tcBorders>
              <w:top w:val="nil"/>
              <w:left w:val="nil"/>
              <w:bottom w:val="nil"/>
              <w:right w:val="nil"/>
              <w:tl2br w:val="nil"/>
              <w:tr2bl w:val="nil"/>
            </w:tcBorders>
            <w:shd w:val="clear" w:color="auto" w:fill="CCEEFF"/>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21</w:t>
            </w:r>
          </w:p>
        </w:tc>
      </w:tr>
      <w:tr w:rsidR="002931B3" w:rsidTr="002931B3">
        <w:trPr>
          <w:jc w:val="center"/>
        </w:trPr>
        <w:tc>
          <w:tcPr>
            <w:tcW w:w="2806"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color w:val="000000"/>
              </w:rPr>
            </w:pPr>
            <w:bookmarkStart w:name="_0fd11fd0_d760_4456_bfac_27da97929231" w:id="2985"/>
            <w:bookmarkEnd w:id="2984"/>
            <w:r>
              <w:rPr>
                <w:rFonts w:eastAsia="Times New Roman" w:asciiTheme="majorHAnsi" w:hAnsiTheme="majorHAnsi" w:cstheme="majorHAnsi"/>
                <w:color w:val="000000"/>
              </w:rPr>
              <w:t>Option received from ADAH</w:t>
            </w: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b/>
                <w:color w:val="000000"/>
              </w:rPr>
            </w:pPr>
          </w:p>
        </w:tc>
        <w:tc>
          <w:tcPr>
            <w:tcW w:w="350" w:type="pct"/>
            <w:tcBorders>
              <w:top w:val="nil"/>
              <w:left w:val="nil"/>
              <w:bottom w:val="nil"/>
              <w:right w:val="nil"/>
              <w:tl2br w:val="nil"/>
              <w:tr2bl w:val="nil"/>
            </w:tcBorders>
            <w:noWrap/>
            <w:vAlign w:val="bottom"/>
          </w:tcPr>
          <w:p w:rsidR="009534E2" w:rsidRDefault="003369EB">
            <w:pPr>
              <w:keepNext/>
              <w:spacing w:after="1"/>
              <w:jc w:val="center"/>
              <w:rPr>
                <w:rFonts w:asciiTheme="majorHAnsi" w:hAnsiTheme="majorHAnsi" w:cstheme="majorHAnsi"/>
                <w:color w:val="000000"/>
              </w:rPr>
            </w:pPr>
            <w:r>
              <w:rPr>
                <w:rFonts w:eastAsia="Times New Roman" w:asciiTheme="majorHAnsi" w:hAnsiTheme="majorHAnsi" w:cstheme="majorHAnsi"/>
                <w:color w:val="000000"/>
              </w:rPr>
              <w:t>FVPL</w:t>
            </w: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b/>
                <w:color w:val="000000"/>
              </w:rPr>
            </w:pPr>
          </w:p>
        </w:tc>
        <w:tc>
          <w:tcPr>
            <w:tcW w:w="350" w:type="pct"/>
            <w:tcBorders>
              <w:top w:val="nil"/>
              <w:left w:val="nil"/>
              <w:bottom w:val="single" w:color="000000" w:sz="4" w:space="0"/>
              <w:right w:val="nil"/>
              <w:tl2br w:val="nil"/>
              <w:tr2bl w:val="nil"/>
            </w:tcBorders>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w:t>
            </w: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51" w:type="pct"/>
            <w:tcBorders>
              <w:top w:val="nil"/>
              <w:left w:val="nil"/>
              <w:bottom w:val="single" w:color="000000" w:sz="4" w:space="0"/>
              <w:right w:val="nil"/>
              <w:tl2br w:val="nil"/>
              <w:tr2bl w:val="nil"/>
            </w:tcBorders>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w:t>
            </w: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50" w:type="pct"/>
            <w:tcBorders>
              <w:top w:val="nil"/>
              <w:left w:val="nil"/>
              <w:bottom w:val="single" w:color="000000" w:sz="4" w:space="0"/>
              <w:right w:val="nil"/>
              <w:tl2br w:val="nil"/>
              <w:tr2bl w:val="nil"/>
            </w:tcBorders>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470</w:t>
            </w: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48" w:type="pct"/>
            <w:tcBorders>
              <w:top w:val="nil"/>
              <w:left w:val="nil"/>
              <w:bottom w:val="single" w:color="000000" w:sz="4" w:space="0"/>
              <w:right w:val="nil"/>
              <w:tl2br w:val="nil"/>
              <w:tr2bl w:val="nil"/>
            </w:tcBorders>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470</w:t>
            </w:r>
          </w:p>
        </w:tc>
      </w:tr>
      <w:tr w:rsidR="002931B3" w:rsidTr="002931B3">
        <w:trPr>
          <w:jc w:val="center"/>
        </w:trPr>
        <w:tc>
          <w:tcPr>
            <w:tcW w:w="2806"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b/>
                <w:color w:val="000000"/>
              </w:rPr>
            </w:pPr>
            <w:bookmarkStart w:name="_cd9f9b5f_99f6_42c2_bf52_7f38e6f896eb" w:id="2986"/>
            <w:bookmarkStart w:name="_f73c28c2_eee8_4984_baaa_2b8b2cda660d" w:colFirst="10" w:colLast="10" w:id="2987"/>
            <w:bookmarkStart w:name="_4c1dbcc9_e366_4fd7_a0ad_7117d87fe349" w:colFirst="8" w:colLast="8" w:id="2988"/>
            <w:bookmarkStart w:name="_4ec6e200_0db5_46d1_9321_7e72b157b51e" w:colFirst="6" w:colLast="6" w:id="2989"/>
            <w:bookmarkStart w:name="_85634ab9_ebf9_446f_8a97_2c70a451fec4" w:colFirst="4" w:colLast="4" w:id="2990"/>
            <w:bookmarkEnd w:id="2985"/>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50"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50" w:type="pct"/>
            <w:tcBorders>
              <w:top w:val="nil"/>
              <w:left w:val="nil"/>
              <w:bottom w:val="nil"/>
              <w:right w:val="nil"/>
              <w:tl2br w:val="nil"/>
              <w:tr2bl w:val="nil"/>
            </w:tcBorders>
            <w:shd w:val="clear" w:color="auto" w:fill="CCEEFF"/>
            <w:noWrap/>
            <w:vAlign w:val="bottom"/>
          </w:tcPr>
          <w:p w:rsidRPr="002931B3" w:rsidR="009534E2" w:rsidRDefault="009534E2">
            <w:pPr>
              <w:keepNext/>
              <w:spacing w:after="1"/>
              <w:jc w:val="right"/>
              <w:rPr>
                <w:rFonts w:asciiTheme="majorHAnsi" w:hAnsiTheme="majorHAnsi" w:cstheme="majorHAnsi"/>
                <w:b/>
                <w:color w:val="000000"/>
              </w:rPr>
            </w:pP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b/>
                <w:color w:val="000000"/>
              </w:rPr>
            </w:pPr>
          </w:p>
        </w:tc>
        <w:tc>
          <w:tcPr>
            <w:tcW w:w="351" w:type="pct"/>
            <w:tcBorders>
              <w:top w:val="nil"/>
              <w:left w:val="nil"/>
              <w:bottom w:val="nil"/>
              <w:right w:val="nil"/>
              <w:tl2br w:val="nil"/>
              <w:tr2bl w:val="nil"/>
            </w:tcBorders>
            <w:shd w:val="clear" w:color="auto" w:fill="CCEEFF"/>
            <w:noWrap/>
            <w:vAlign w:val="bottom"/>
          </w:tcPr>
          <w:p w:rsidRPr="002931B3" w:rsidR="009534E2" w:rsidRDefault="009534E2">
            <w:pPr>
              <w:keepNext/>
              <w:spacing w:after="1"/>
              <w:rPr>
                <w:rFonts w:asciiTheme="majorHAnsi" w:hAnsiTheme="majorHAnsi" w:cstheme="majorHAnsi"/>
                <w:b/>
                <w:color w:val="000000"/>
              </w:rPr>
            </w:pP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b/>
                <w:color w:val="000000"/>
              </w:rPr>
            </w:pPr>
          </w:p>
        </w:tc>
        <w:tc>
          <w:tcPr>
            <w:tcW w:w="350" w:type="pct"/>
            <w:tcBorders>
              <w:top w:val="nil"/>
              <w:left w:val="nil"/>
              <w:bottom w:val="nil"/>
              <w:right w:val="nil"/>
              <w:tl2br w:val="nil"/>
              <w:tr2bl w:val="nil"/>
            </w:tcBorders>
            <w:shd w:val="clear" w:color="auto" w:fill="CCEEFF"/>
            <w:noWrap/>
            <w:vAlign w:val="bottom"/>
          </w:tcPr>
          <w:p w:rsidRPr="002931B3" w:rsidR="009534E2" w:rsidRDefault="009534E2">
            <w:pPr>
              <w:keepNext/>
              <w:spacing w:after="1"/>
              <w:rPr>
                <w:rFonts w:asciiTheme="majorHAnsi" w:hAnsiTheme="majorHAnsi" w:cstheme="majorHAnsi"/>
                <w:b/>
                <w:color w:val="000000"/>
              </w:rPr>
            </w:pP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b/>
                <w:color w:val="000000"/>
              </w:rPr>
            </w:pPr>
          </w:p>
        </w:tc>
        <w:tc>
          <w:tcPr>
            <w:tcW w:w="348" w:type="pct"/>
            <w:tcBorders>
              <w:top w:val="nil"/>
              <w:left w:val="nil"/>
              <w:bottom w:val="nil"/>
              <w:right w:val="nil"/>
              <w:tl2br w:val="nil"/>
              <w:tr2bl w:val="nil"/>
            </w:tcBorders>
            <w:shd w:val="clear" w:color="auto" w:fill="CCEEFF"/>
            <w:noWrap/>
            <w:vAlign w:val="bottom"/>
          </w:tcPr>
          <w:p w:rsidRPr="002931B3" w:rsidR="009534E2" w:rsidRDefault="009534E2">
            <w:pPr>
              <w:keepNext/>
              <w:spacing w:after="1"/>
              <w:rPr>
                <w:rFonts w:asciiTheme="majorHAnsi" w:hAnsiTheme="majorHAnsi" w:cstheme="majorHAnsi"/>
                <w:b/>
                <w:color w:val="000000"/>
              </w:rPr>
            </w:pPr>
          </w:p>
        </w:tc>
      </w:tr>
      <w:tr w:rsidR="002931B3" w:rsidTr="002931B3">
        <w:trPr>
          <w:jc w:val="center"/>
        </w:trPr>
        <w:tc>
          <w:tcPr>
            <w:tcW w:w="2806" w:type="pct"/>
            <w:tcBorders>
              <w:top w:val="nil"/>
              <w:left w:val="nil"/>
              <w:bottom w:val="nil"/>
              <w:right w:val="nil"/>
              <w:tl2br w:val="nil"/>
              <w:tr2bl w:val="nil"/>
            </w:tcBorders>
            <w:vAlign w:val="bottom"/>
          </w:tcPr>
          <w:p w:rsidR="009534E2" w:rsidRDefault="003369EB">
            <w:pPr>
              <w:keepNext/>
              <w:spacing w:after="1"/>
              <w:rPr>
                <w:rFonts w:asciiTheme="majorHAnsi" w:hAnsiTheme="majorHAnsi" w:cstheme="majorHAnsi"/>
                <w:b/>
                <w:color w:val="000000"/>
              </w:rPr>
            </w:pPr>
            <w:bookmarkStart w:name="_3982f701_88b5_4b82_ad9f_cec015ba10d0" w:id="2991"/>
            <w:bookmarkEnd w:id="2986"/>
            <w:bookmarkEnd w:id="2987"/>
            <w:bookmarkEnd w:id="2988"/>
            <w:bookmarkEnd w:id="2989"/>
            <w:bookmarkEnd w:id="2990"/>
            <w:r>
              <w:rPr>
                <w:rFonts w:eastAsia="Times New Roman" w:asciiTheme="majorHAnsi" w:hAnsiTheme="majorHAnsi" w:cstheme="majorHAnsi"/>
                <w:b/>
                <w:color w:val="000000"/>
              </w:rPr>
              <w:t>Financial liabilities</w:t>
            </w: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b/>
                <w:color w:val="000000"/>
              </w:rPr>
            </w:pPr>
          </w:p>
        </w:tc>
        <w:tc>
          <w:tcPr>
            <w:tcW w:w="350" w:type="pct"/>
            <w:tcBorders>
              <w:top w:val="nil"/>
              <w:left w:val="nil"/>
              <w:bottom w:val="nil"/>
              <w:right w:val="nil"/>
              <w:tl2br w:val="nil"/>
              <w:tr2bl w:val="nil"/>
            </w:tcBorders>
            <w:noWrap/>
            <w:vAlign w:val="bottom"/>
          </w:tcPr>
          <w:p w:rsidR="009534E2" w:rsidRDefault="009534E2">
            <w:pPr>
              <w:keepNext/>
              <w:spacing w:after="1"/>
              <w:jc w:val="center"/>
              <w:rPr>
                <w:rFonts w:asciiTheme="majorHAnsi" w:hAnsiTheme="majorHAnsi" w:cstheme="majorHAnsi"/>
                <w:color w:val="000000"/>
              </w:rPr>
            </w:pP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b/>
                <w:color w:val="000000"/>
              </w:rPr>
            </w:pPr>
          </w:p>
        </w:tc>
        <w:tc>
          <w:tcPr>
            <w:tcW w:w="350" w:type="pct"/>
            <w:tcBorders>
              <w:top w:val="nil"/>
              <w:left w:val="nil"/>
              <w:bottom w:val="single" w:color="000000" w:sz="4" w:space="0"/>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51" w:type="pct"/>
            <w:tcBorders>
              <w:top w:val="nil"/>
              <w:left w:val="nil"/>
              <w:bottom w:val="single" w:color="000000" w:sz="4" w:space="0"/>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50" w:type="pct"/>
            <w:tcBorders>
              <w:top w:val="nil"/>
              <w:left w:val="nil"/>
              <w:bottom w:val="single" w:color="000000" w:sz="4" w:space="0"/>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c>
          <w:tcPr>
            <w:tcW w:w="89" w:type="pct"/>
            <w:tcBorders>
              <w:top w:val="nil"/>
              <w:left w:val="nil"/>
              <w:bottom w:val="nil"/>
              <w:right w:val="nil"/>
              <w:tl2br w:val="nil"/>
              <w:tr2bl w:val="nil"/>
            </w:tcBorders>
            <w:noWrap/>
            <w:vAlign w:val="bottom"/>
          </w:tcPr>
          <w:p w:rsidR="009534E2" w:rsidRDefault="009534E2">
            <w:pPr>
              <w:keepNext/>
              <w:spacing w:after="1"/>
              <w:rPr>
                <w:rFonts w:asciiTheme="majorHAnsi" w:hAnsiTheme="majorHAnsi" w:cstheme="majorHAnsi"/>
                <w:color w:val="000000"/>
              </w:rPr>
            </w:pPr>
          </w:p>
        </w:tc>
        <w:tc>
          <w:tcPr>
            <w:tcW w:w="348" w:type="pct"/>
            <w:tcBorders>
              <w:top w:val="nil"/>
              <w:left w:val="nil"/>
              <w:bottom w:val="single" w:color="000000" w:sz="4" w:space="0"/>
              <w:right w:val="nil"/>
              <w:tl2br w:val="nil"/>
              <w:tr2bl w:val="nil"/>
            </w:tcBorders>
            <w:noWrap/>
            <w:vAlign w:val="bottom"/>
          </w:tcPr>
          <w:p w:rsidR="009534E2" w:rsidRDefault="009534E2">
            <w:pPr>
              <w:keepNext/>
              <w:spacing w:after="1"/>
              <w:jc w:val="right"/>
              <w:rPr>
                <w:rFonts w:asciiTheme="majorHAnsi" w:hAnsiTheme="majorHAnsi" w:cstheme="majorHAnsi"/>
                <w:color w:val="000000"/>
              </w:rPr>
            </w:pPr>
          </w:p>
        </w:tc>
      </w:tr>
      <w:tr w:rsidR="002931B3" w:rsidTr="002931B3">
        <w:trPr>
          <w:jc w:val="center"/>
        </w:trPr>
        <w:tc>
          <w:tcPr>
            <w:tcW w:w="2806" w:type="pct"/>
            <w:tcBorders>
              <w:top w:val="nil"/>
              <w:left w:val="nil"/>
              <w:bottom w:val="nil"/>
              <w:right w:val="nil"/>
              <w:tl2br w:val="nil"/>
              <w:tr2bl w:val="nil"/>
            </w:tcBorders>
            <w:shd w:val="clear" w:color="auto" w:fill="CCEEFF"/>
            <w:vAlign w:val="bottom"/>
          </w:tcPr>
          <w:p w:rsidR="009534E2" w:rsidRDefault="003369EB">
            <w:pPr>
              <w:keepNext/>
              <w:spacing w:after="1"/>
              <w:rPr>
                <w:rFonts w:asciiTheme="majorHAnsi" w:hAnsiTheme="majorHAnsi" w:cstheme="majorHAnsi"/>
                <w:color w:val="000000"/>
              </w:rPr>
            </w:pPr>
            <w:bookmarkStart w:name="_d67c275b_74a2_40c8_8416_527f25fd0169" w:id="2992"/>
            <w:bookmarkStart w:name="_a3c65c05_d24b_4e3a_aa5d_e3d77c10ce98" w:colFirst="4" w:colLast="4" w:id="2993"/>
            <w:bookmarkStart w:name="_c5d5d828_b4e4_490d_9bf3_8e555a7955bf" w:colFirst="6" w:colLast="6" w:id="2994"/>
            <w:bookmarkStart w:name="_942bc07f_fdcd_4930_9594_d79fe385cba8" w:colFirst="8" w:colLast="8" w:id="2995"/>
            <w:bookmarkStart w:name="_92114bac_be8b_4c27_84f7_eb6cf0bfe468" w:colFirst="10" w:colLast="10" w:id="2996"/>
            <w:bookmarkEnd w:id="2991"/>
            <w:r>
              <w:rPr>
                <w:rFonts w:eastAsia="Times New Roman" w:asciiTheme="majorHAnsi" w:hAnsiTheme="majorHAnsi" w:cstheme="majorHAnsi"/>
                <w:color w:val="000000"/>
              </w:rPr>
              <w:t>Bonds issued</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b/>
                <w:color w:val="000000"/>
              </w:rPr>
            </w:pPr>
          </w:p>
        </w:tc>
        <w:tc>
          <w:tcPr>
            <w:tcW w:w="350" w:type="pct"/>
            <w:tcBorders>
              <w:top w:val="nil"/>
              <w:left w:val="nil"/>
              <w:bottom w:val="nil"/>
              <w:right w:val="nil"/>
              <w:tl2br w:val="nil"/>
              <w:tr2bl w:val="nil"/>
            </w:tcBorders>
            <w:shd w:val="clear" w:color="auto" w:fill="CCEEFF"/>
            <w:noWrap/>
            <w:vAlign w:val="bottom"/>
          </w:tcPr>
          <w:p w:rsidR="009534E2" w:rsidRDefault="003369EB">
            <w:pPr>
              <w:keepNext/>
              <w:spacing w:after="1"/>
              <w:jc w:val="center"/>
              <w:rPr>
                <w:rFonts w:asciiTheme="majorHAnsi" w:hAnsiTheme="majorHAnsi" w:cstheme="majorHAnsi"/>
                <w:color w:val="000000"/>
              </w:rPr>
            </w:pPr>
            <w:r>
              <w:rPr>
                <w:rFonts w:eastAsia="Times New Roman" w:asciiTheme="majorHAnsi" w:hAnsiTheme="majorHAnsi" w:cstheme="majorHAnsi"/>
                <w:color w:val="000000"/>
              </w:rPr>
              <w:t>AC</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b/>
                <w:color w:val="000000"/>
              </w:rPr>
            </w:pPr>
          </w:p>
        </w:tc>
        <w:tc>
          <w:tcPr>
            <w:tcW w:w="350" w:type="pct"/>
            <w:tcBorders>
              <w:top w:val="nil"/>
              <w:left w:val="nil"/>
              <w:bottom w:val="double" w:color="000000" w:sz="4" w:space="0"/>
              <w:right w:val="nil"/>
              <w:tl2br w:val="nil"/>
              <w:tr2bl w:val="nil"/>
            </w:tcBorders>
            <w:shd w:val="clear" w:color="auto" w:fill="CCEEFF"/>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4,734</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51" w:type="pct"/>
            <w:tcBorders>
              <w:top w:val="nil"/>
              <w:left w:val="nil"/>
              <w:bottom w:val="double" w:color="000000" w:sz="4" w:space="0"/>
              <w:right w:val="nil"/>
              <w:tl2br w:val="nil"/>
              <w:tr2bl w:val="nil"/>
            </w:tcBorders>
            <w:shd w:val="clear" w:color="auto" w:fill="CCEEFF"/>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4,668</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50" w:type="pct"/>
            <w:tcBorders>
              <w:top w:val="nil"/>
              <w:left w:val="nil"/>
              <w:bottom w:val="double" w:color="000000" w:sz="4" w:space="0"/>
              <w:right w:val="nil"/>
              <w:tl2br w:val="nil"/>
              <w:tr2bl w:val="nil"/>
            </w:tcBorders>
            <w:shd w:val="clear" w:color="auto" w:fill="CCEEFF"/>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3,922</w:t>
            </w:r>
          </w:p>
        </w:tc>
        <w:tc>
          <w:tcPr>
            <w:tcW w:w="89" w:type="pct"/>
            <w:tcBorders>
              <w:top w:val="nil"/>
              <w:left w:val="nil"/>
              <w:bottom w:val="nil"/>
              <w:right w:val="nil"/>
              <w:tl2br w:val="nil"/>
              <w:tr2bl w:val="nil"/>
            </w:tcBorders>
            <w:shd w:val="clear" w:color="auto" w:fill="CCEEFF"/>
            <w:noWrap/>
            <w:vAlign w:val="bottom"/>
          </w:tcPr>
          <w:p w:rsidR="009534E2" w:rsidRDefault="009534E2">
            <w:pPr>
              <w:keepNext/>
              <w:spacing w:after="1"/>
              <w:rPr>
                <w:rFonts w:asciiTheme="majorHAnsi" w:hAnsiTheme="majorHAnsi" w:cstheme="majorHAnsi"/>
                <w:color w:val="000000"/>
              </w:rPr>
            </w:pPr>
          </w:p>
        </w:tc>
        <w:tc>
          <w:tcPr>
            <w:tcW w:w="348" w:type="pct"/>
            <w:tcBorders>
              <w:top w:val="nil"/>
              <w:left w:val="nil"/>
              <w:bottom w:val="double" w:color="000000" w:sz="4" w:space="0"/>
              <w:right w:val="nil"/>
              <w:tl2br w:val="nil"/>
              <w:tr2bl w:val="nil"/>
            </w:tcBorders>
            <w:shd w:val="clear" w:color="auto" w:fill="CCEEFF"/>
            <w:noWrap/>
            <w:vAlign w:val="bottom"/>
          </w:tcPr>
          <w:p w:rsidRPr="002931B3" w:rsidR="009534E2" w:rsidRDefault="003369EB">
            <w:pPr>
              <w:keepNext/>
              <w:spacing w:after="1"/>
              <w:ind w:right="60"/>
              <w:jc w:val="right"/>
              <w:rPr>
                <w:rFonts w:asciiTheme="majorHAnsi" w:hAnsiTheme="majorHAnsi" w:cstheme="majorHAnsi"/>
                <w:color w:val="000000"/>
              </w:rPr>
            </w:pPr>
            <w:r w:rsidRPr="002931B3">
              <w:rPr>
                <w:rFonts w:eastAsia="Times New Roman" w:asciiTheme="majorHAnsi" w:hAnsiTheme="majorHAnsi" w:cstheme="majorHAnsi"/>
                <w:color w:val="000000"/>
              </w:rPr>
              <w:t xml:space="preserve"> 3,887</w:t>
            </w:r>
          </w:p>
        </w:tc>
      </w:tr>
      <w:bookmarkEnd w:id="2976"/>
      <w:bookmarkEnd w:id="2992"/>
      <w:bookmarkEnd w:id="2993"/>
      <w:bookmarkEnd w:id="2994"/>
      <w:bookmarkEnd w:id="2995"/>
      <w:bookmarkEnd w:id="2996"/>
    </w:tbl>
    <w:p w:rsidR="009534E2" w:rsidRDefault="009534E2">
      <w:pPr>
        <w:pStyle w:val="BodyText"/>
        <w:spacing w:after="0"/>
        <w:rPr>
          <w:rFonts w:asciiTheme="majorHAnsi" w:hAnsiTheme="majorHAnsi" w:cstheme="majorHAnsi"/>
          <w:lang w:eastAsia="ru-RU"/>
        </w:rPr>
      </w:pPr>
    </w:p>
    <w:bookmarkEnd w:id="2963"/>
    <w:p w:rsidR="009534E2" w:rsidRDefault="003369EB">
      <w:pPr>
        <w:pStyle w:val="BodyText"/>
        <w:keepNext/>
        <w:rPr>
          <w:rFonts w:eastAsia="Times New Roman" w:asciiTheme="majorHAnsi" w:hAnsiTheme="majorHAnsi" w:cstheme="majorHAnsi"/>
          <w:lang w:eastAsia="ru-RU"/>
        </w:rPr>
      </w:pPr>
      <w:r>
        <w:rPr>
          <w:rFonts w:eastAsia="Times New Roman" w:asciiTheme="majorHAnsi" w:hAnsiTheme="majorHAnsi" w:cstheme="majorHAnsi"/>
          <w:lang w:eastAsia="ru-RU"/>
        </w:rPr>
        <w:t>Financial instruments used by the Group are included in one of the following categories:</w:t>
      </w:r>
    </w:p>
    <w:p w:rsidR="009534E2" w:rsidRDefault="003369EB">
      <w:pPr>
        <w:pStyle w:val="BodyText"/>
        <w:numPr>
          <w:ilvl w:val="0"/>
          <w:numId w:val="60"/>
        </w:numPr>
        <w:spacing w:after="0"/>
        <w:ind w:left="360"/>
        <w:rPr>
          <w:rFonts w:eastAsia="Times New Roman" w:asciiTheme="majorHAnsi" w:hAnsiTheme="majorHAnsi" w:cstheme="majorHAnsi"/>
          <w:lang w:eastAsia="ru-RU"/>
        </w:rPr>
      </w:pPr>
      <w:r>
        <w:rPr>
          <w:rFonts w:eastAsia="Times New Roman" w:asciiTheme="majorHAnsi" w:hAnsiTheme="majorHAnsi" w:cstheme="majorHAnsi"/>
          <w:lang w:eastAsia="ru-RU"/>
        </w:rPr>
        <w:t>AC – accounted at amortized cost;</w:t>
      </w:r>
    </w:p>
    <w:p w:rsidR="009534E2" w:rsidRDefault="003369EB">
      <w:pPr>
        <w:pStyle w:val="BodyText"/>
        <w:numPr>
          <w:ilvl w:val="0"/>
          <w:numId w:val="60"/>
        </w:numPr>
        <w:spacing w:after="0"/>
        <w:ind w:left="360"/>
        <w:rPr>
          <w:rFonts w:eastAsia="Times New Roman" w:asciiTheme="majorHAnsi" w:hAnsiTheme="majorHAnsi" w:cstheme="majorHAnsi"/>
          <w:lang w:eastAsia="ru-RU"/>
        </w:rPr>
      </w:pPr>
      <w:r>
        <w:rPr>
          <w:rFonts w:eastAsia="Times New Roman" w:asciiTheme="majorHAnsi" w:hAnsiTheme="majorHAnsi" w:cstheme="majorHAnsi"/>
          <w:lang w:eastAsia="ru-RU"/>
        </w:rPr>
        <w:t>FVOCI – accounted at fair value through other comprehensive income;</w:t>
      </w:r>
    </w:p>
    <w:p w:rsidR="009534E2" w:rsidRDefault="003369EB">
      <w:pPr>
        <w:pStyle w:val="BodyText"/>
        <w:numPr>
          <w:ilvl w:val="0"/>
          <w:numId w:val="60"/>
        </w:numPr>
        <w:ind w:left="360"/>
        <w:rPr>
          <w:rFonts w:eastAsia="Times New Roman" w:asciiTheme="majorHAnsi" w:hAnsiTheme="majorHAnsi" w:cstheme="majorHAnsi"/>
          <w:lang w:eastAsia="ru-RU"/>
        </w:rPr>
      </w:pPr>
      <w:r>
        <w:rPr>
          <w:rFonts w:eastAsia="Times New Roman" w:asciiTheme="majorHAnsi" w:hAnsiTheme="majorHAnsi" w:cstheme="majorHAnsi"/>
          <w:lang w:eastAsia="ru-RU"/>
        </w:rPr>
        <w:t>FVPL – accounted at fair value through profit or loss.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Carrying amounts of cash and cash equivalents, short-term loans issued, short-term deposits placed, debt, accounts receivable and payable, reserves at CBR, lease liabilities, customer accounts and amounts due to banks approximate their fair values largely due to short-term maturities of these instruments.</w:t>
      </w:r>
    </w:p>
    <w:p w:rsidR="009534E2" w:rsidRDefault="003369EB">
      <w:pPr>
        <w:pStyle w:val="BodyText"/>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Long-term loans generally represent RUB-denominated loans to Russian legal entities and have a maturity up to </w:t>
      </w:r>
      <w:bookmarkStart w:name="_b5795cc8_9070_4b54_86a8_04a020cc800c" w:id="2997"/>
      <w:r w:rsidRPr="002931B3">
        <w:rPr>
          <w:rFonts w:eastAsia="Times New Roman" w:asciiTheme="majorHAnsi" w:hAnsiTheme="majorHAnsi" w:cstheme="majorHAnsi"/>
          <w:lang w:eastAsia="ru-RU"/>
        </w:rPr>
        <w:t>four years</w:t>
      </w:r>
      <w:bookmarkEnd w:id="2997"/>
      <w:r>
        <w:rPr>
          <w:rFonts w:eastAsia="Times New Roman" w:asciiTheme="majorHAnsi" w:hAnsiTheme="majorHAnsi" w:cstheme="majorHAnsi"/>
          <w:lang w:eastAsia="ru-RU"/>
        </w:rPr>
        <w:t>. For the purpose of fair value measurement of these loans the Group uses comparable market interest rate</w:t>
      </w:r>
      <w:r w:rsidR="003D0CAA">
        <w:rPr>
          <w:rFonts w:eastAsia="Times New Roman" w:asciiTheme="majorHAnsi" w:hAnsiTheme="majorHAnsi" w:cstheme="majorHAnsi"/>
          <w:lang w:eastAsia="ru-RU"/>
        </w:rPr>
        <w:t>s</w:t>
      </w:r>
      <w:r>
        <w:rPr>
          <w:rFonts w:eastAsia="Times New Roman" w:asciiTheme="majorHAnsi" w:hAnsiTheme="majorHAnsi" w:cstheme="majorHAnsi"/>
          <w:lang w:eastAsia="ru-RU"/>
        </w:rPr>
        <w:t xml:space="preserve"> which range of</w:t>
      </w:r>
      <w:r w:rsidR="002931B3">
        <w:rPr>
          <w:rFonts w:eastAsia="Times New Roman" w:asciiTheme="majorHAnsi" w:hAnsiTheme="majorHAnsi" w:cstheme="majorHAnsi"/>
          <w:lang w:eastAsia="ru-RU"/>
        </w:rPr>
        <w:t xml:space="preserve"> between </w:t>
      </w:r>
      <w:bookmarkStart w:name="_957ee4a2_a220_4fa1_96f6_346f820703be" w:id="2998"/>
      <w:r w:rsidRPr="002931B3" w:rsidR="002931B3">
        <w:rPr>
          <w:rFonts w:eastAsia="Times New Roman" w:asciiTheme="majorHAnsi" w:hAnsiTheme="majorHAnsi" w:cstheme="majorHAnsi"/>
          <w:lang w:eastAsia="ru-RU"/>
        </w:rPr>
        <w:t>9</w:t>
      </w:r>
      <w:bookmarkEnd w:id="2998"/>
      <w:r w:rsidR="002931B3">
        <w:rPr>
          <w:rFonts w:eastAsia="Times New Roman" w:asciiTheme="majorHAnsi" w:hAnsiTheme="majorHAnsi" w:cstheme="majorHAnsi"/>
          <w:lang w:eastAsia="ru-RU"/>
        </w:rPr>
        <w:t xml:space="preserve"> and </w:t>
      </w:r>
      <w:bookmarkStart w:name="_8c7d3826_2b83_4696_852c_3b132cd14cd2" w:id="2999"/>
      <w:r w:rsidRPr="002931B3" w:rsidR="002931B3">
        <w:rPr>
          <w:rFonts w:eastAsia="Times New Roman" w:asciiTheme="majorHAnsi" w:hAnsiTheme="majorHAnsi" w:cstheme="majorHAnsi"/>
          <w:lang w:eastAsia="ru-RU"/>
        </w:rPr>
        <w:t>38</w:t>
      </w:r>
      <w:bookmarkEnd w:id="2999"/>
      <w:r>
        <w:rPr>
          <w:rFonts w:eastAsia="Times New Roman" w:asciiTheme="majorHAnsi" w:hAnsiTheme="majorHAnsi" w:cstheme="majorHAnsi"/>
          <w:lang w:eastAsia="ru-RU"/>
        </w:rPr>
        <w:t>%.</w:t>
      </w: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lang w:eastAsia="ru-RU"/>
        </w:rPr>
        <w:br w:type="page"/>
      </w:r>
    </w:p>
    <w:p w:rsidR="009534E2" w:rsidRDefault="003369EB">
      <w:pPr>
        <w:pStyle w:val="BodyText"/>
        <w:keepNext/>
        <w:spacing w:after="0"/>
        <w:ind w:left="360" w:hanging="360"/>
        <w:rPr>
          <w:rFonts w:eastAsia="Times New Roman" w:asciiTheme="majorHAnsi" w:hAnsiTheme="majorHAnsi" w:cstheme="majorHAnsi"/>
          <w:b/>
          <w:bCs/>
        </w:rPr>
      </w:pPr>
      <w:bookmarkStart w:name="_3114f2b1_a030_494d_b539_dbc52a2303a9" w:id="3000"/>
      <w:r>
        <w:rPr>
          <w:rFonts w:eastAsia="Times New Roman" w:asciiTheme="majorHAnsi" w:hAnsiTheme="majorHAnsi" w:cstheme="majorHAnsi"/>
          <w:b/>
          <w:bCs/>
        </w:rPr>
        <w:t>31.</w:t>
      </w:r>
      <w:r>
        <w:rPr>
          <w:rFonts w:eastAsia="Times New Roman" w:asciiTheme="majorHAnsi" w:hAnsiTheme="majorHAnsi" w:cstheme="majorHAnsi"/>
          <w:b/>
          <w:bCs/>
        </w:rPr>
        <w:tab/>
        <w:t>Financial instruments (continued)</w:t>
      </w:r>
    </w:p>
    <w:p w:rsidR="009534E2" w:rsidRDefault="009534E2">
      <w:pPr>
        <w:pStyle w:val="BodyText"/>
        <w:keepNext/>
        <w:spacing w:after="0"/>
        <w:rPr>
          <w:rFonts w:eastAsia="Times New Roman" w:asciiTheme="majorHAnsi" w:hAnsiTheme="majorHAnsi" w:cstheme="majorHAnsi"/>
        </w:rPr>
      </w:pPr>
    </w:p>
    <w:p w:rsidR="009534E2" w:rsidRDefault="003369EB">
      <w:pPr>
        <w:pStyle w:val="BodyText"/>
        <w:keepNext/>
        <w:spacing w:after="0"/>
        <w:rPr>
          <w:rFonts w:eastAsia="Times New Roman" w:asciiTheme="majorHAnsi" w:hAnsiTheme="majorHAnsi" w:cstheme="majorHAnsi"/>
        </w:rPr>
      </w:pPr>
      <w:r>
        <w:rPr>
          <w:rFonts w:eastAsia="Times New Roman" w:asciiTheme="majorHAnsi" w:hAnsiTheme="majorHAnsi" w:cstheme="majorHAnsi"/>
        </w:rPr>
        <w:t xml:space="preserve">The following table provides the fair value measurement hierarchy of the Group’s financial instruments to be accounted </w:t>
      </w:r>
      <w:r w:rsidR="002931B3">
        <w:rPr>
          <w:rFonts w:eastAsia="Times New Roman" w:asciiTheme="majorHAnsi" w:hAnsiTheme="majorHAnsi" w:cstheme="majorHAnsi"/>
        </w:rPr>
        <w:t xml:space="preserve">for </w:t>
      </w:r>
      <w:r>
        <w:rPr>
          <w:rFonts w:eastAsia="Times New Roman" w:asciiTheme="majorHAnsi" w:hAnsiTheme="majorHAnsi" w:cstheme="majorHAnsi"/>
        </w:rPr>
        <w:t>or disclosed at fair value:</w:t>
      </w:r>
    </w:p>
    <w:p w:rsidR="009534E2" w:rsidRDefault="009534E2">
      <w:pPr>
        <w:pStyle w:val="BodyText"/>
        <w:keepNext/>
        <w:spacing w:after="0"/>
        <w:rPr>
          <w:rFonts w:eastAsia="Times New Roman" w:asciiTheme="majorHAnsi" w:hAnsiTheme="majorHAnsi" w:cstheme="majorHAnsi"/>
          <w:sz w:val="16"/>
          <w:szCs w:val="16"/>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567"/>
        <w:gridCol w:w="160"/>
        <w:gridCol w:w="1277"/>
        <w:gridCol w:w="160"/>
        <w:gridCol w:w="540"/>
        <w:gridCol w:w="160"/>
        <w:gridCol w:w="959"/>
        <w:gridCol w:w="160"/>
        <w:gridCol w:w="739"/>
        <w:gridCol w:w="160"/>
        <w:gridCol w:w="918"/>
      </w:tblGrid>
      <w:tr w:rsidR="002931B3" w:rsidTr="000D34E3">
        <w:trPr>
          <w:trHeight w:val="20" w:hRule="exact"/>
          <w:jc w:val="center"/>
        </w:trPr>
        <w:tc>
          <w:tcPr>
            <w:tcW w:w="2575" w:type="pct"/>
            <w:tcBorders>
              <w:top w:val="nil"/>
              <w:left w:val="nil"/>
              <w:bottom w:val="nil"/>
              <w:right w:val="nil"/>
            </w:tcBorders>
            <w:vAlign w:val="bottom"/>
          </w:tcPr>
          <w:p w:rsidR="009534E2" w:rsidRDefault="009534E2">
            <w:pPr>
              <w:keepNext/>
              <w:rPr>
                <w:rFonts w:asciiTheme="majorHAnsi" w:hAnsiTheme="majorHAnsi" w:cstheme="majorHAnsi"/>
                <w:sz w:val="16"/>
                <w:szCs w:val="16"/>
              </w:rPr>
            </w:pPr>
            <w:bookmarkStart w:name="_ab2aff90_330f_43bc_bf33_e9d6918300c8" w:id="3001"/>
            <w:bookmarkStart w:name="_78f75a05_bdcd_441d_a371_ee2149356782" w:colFirst="0" w:colLast="0" w:id="3002"/>
            <w:bookmarkStart w:name="_19df8164_982b_4805_81d2_4fe03897bfe2" w:colFirst="1" w:colLast="1" w:id="3003"/>
            <w:bookmarkStart w:name="_f8c51e80_4090_434a_ad86_1b175ed7627f" w:colFirst="2" w:colLast="2" w:id="3004"/>
            <w:bookmarkStart w:name="_3204c525_ca18_403e_9919_97cfa71d7ce2" w:colFirst="3" w:colLast="3" w:id="3005"/>
            <w:bookmarkStart w:name="_c4088ad1_a908_4413_af07_0654b00820ca" w:colFirst="4" w:colLast="4" w:id="3006"/>
            <w:bookmarkStart w:name="_6791f2db_38bd_4e2f_8085_d3cdc56a0fad" w:colFirst="5" w:colLast="5" w:id="3007"/>
            <w:bookmarkStart w:name="_aac3a99f_955e_4f3d_910c_f6afa8d22c7e" w:colFirst="6" w:colLast="6" w:id="3008"/>
            <w:bookmarkStart w:name="_0cd3243b_95a9_481b_b1ac_3ed7613267c1" w:colFirst="7" w:colLast="7" w:id="3009"/>
            <w:bookmarkStart w:name="_112f077c_eae1_4ff5_bd35_5b5f531113f3" w:colFirst="8" w:colLast="8" w:id="3010"/>
            <w:bookmarkStart w:name="_774c710a_54e9_4f81_b032_47184c10e0e7" w:colFirst="9" w:colLast="9" w:id="3011"/>
            <w:bookmarkStart w:name="_18e7e1e5_d283_4a1b_802d_5e201fc85a87" w:colFirst="10" w:colLast="10" w:id="3012"/>
            <w:bookmarkStart w:name="_aaf626e1_1273_4519_9086_13e4f3c28109" w:id="3013"/>
            <w:bookmarkEnd w:id="3001"/>
          </w:p>
        </w:tc>
        <w:tc>
          <w:tcPr>
            <w:tcW w:w="74" w:type="pct"/>
            <w:tcBorders>
              <w:top w:val="nil"/>
              <w:left w:val="nil"/>
              <w:bottom w:val="nil"/>
              <w:right w:val="nil"/>
            </w:tcBorders>
            <w:noWrap/>
            <w:vAlign w:val="bottom"/>
          </w:tcPr>
          <w:p w:rsidR="009534E2" w:rsidRDefault="009534E2">
            <w:pPr>
              <w:keepNext/>
              <w:rPr>
                <w:rFonts w:asciiTheme="majorHAnsi" w:hAnsiTheme="majorHAnsi" w:cstheme="majorHAnsi"/>
                <w:sz w:val="16"/>
                <w:szCs w:val="16"/>
              </w:rPr>
            </w:pPr>
          </w:p>
        </w:tc>
        <w:tc>
          <w:tcPr>
            <w:tcW w:w="590" w:type="pct"/>
            <w:tcBorders>
              <w:top w:val="nil"/>
              <w:left w:val="nil"/>
              <w:bottom w:val="nil"/>
              <w:right w:val="nil"/>
            </w:tcBorders>
            <w:noWrap/>
            <w:vAlign w:val="bottom"/>
          </w:tcPr>
          <w:p w:rsidR="009534E2" w:rsidRDefault="009534E2">
            <w:pPr>
              <w:keepNext/>
              <w:rPr>
                <w:rFonts w:asciiTheme="majorHAnsi" w:hAnsiTheme="majorHAnsi" w:cstheme="majorHAnsi"/>
                <w:sz w:val="16"/>
                <w:szCs w:val="16"/>
              </w:rPr>
            </w:pPr>
          </w:p>
        </w:tc>
        <w:tc>
          <w:tcPr>
            <w:tcW w:w="74" w:type="pct"/>
            <w:tcBorders>
              <w:top w:val="nil"/>
              <w:left w:val="nil"/>
              <w:bottom w:val="nil"/>
              <w:right w:val="nil"/>
            </w:tcBorders>
            <w:noWrap/>
            <w:vAlign w:val="bottom"/>
          </w:tcPr>
          <w:p w:rsidR="009534E2" w:rsidRDefault="009534E2">
            <w:pPr>
              <w:keepNext/>
              <w:rPr>
                <w:rFonts w:asciiTheme="majorHAnsi" w:hAnsiTheme="majorHAnsi" w:cstheme="majorHAnsi"/>
                <w:sz w:val="16"/>
                <w:szCs w:val="16"/>
              </w:rPr>
            </w:pPr>
          </w:p>
        </w:tc>
        <w:tc>
          <w:tcPr>
            <w:tcW w:w="250" w:type="pct"/>
            <w:tcBorders>
              <w:top w:val="nil"/>
              <w:left w:val="nil"/>
              <w:bottom w:val="nil"/>
              <w:right w:val="nil"/>
            </w:tcBorders>
            <w:noWrap/>
            <w:vAlign w:val="bottom"/>
          </w:tcPr>
          <w:p w:rsidR="009534E2" w:rsidRDefault="009534E2">
            <w:pPr>
              <w:keepNext/>
              <w:rPr>
                <w:rFonts w:asciiTheme="majorHAnsi" w:hAnsiTheme="majorHAnsi" w:cstheme="majorHAnsi"/>
                <w:sz w:val="16"/>
                <w:szCs w:val="16"/>
              </w:rPr>
            </w:pPr>
          </w:p>
        </w:tc>
        <w:tc>
          <w:tcPr>
            <w:tcW w:w="74" w:type="pct"/>
            <w:tcBorders>
              <w:top w:val="nil"/>
              <w:left w:val="nil"/>
              <w:bottom w:val="nil"/>
              <w:right w:val="nil"/>
            </w:tcBorders>
            <w:noWrap/>
            <w:vAlign w:val="bottom"/>
          </w:tcPr>
          <w:p w:rsidR="009534E2" w:rsidRDefault="009534E2">
            <w:pPr>
              <w:keepNext/>
              <w:rPr>
                <w:rFonts w:asciiTheme="majorHAnsi" w:hAnsiTheme="majorHAnsi" w:cstheme="majorHAnsi"/>
                <w:sz w:val="16"/>
                <w:szCs w:val="16"/>
              </w:rPr>
            </w:pPr>
          </w:p>
        </w:tc>
        <w:tc>
          <w:tcPr>
            <w:tcW w:w="443" w:type="pct"/>
            <w:tcBorders>
              <w:top w:val="nil"/>
              <w:left w:val="nil"/>
              <w:bottom w:val="nil"/>
              <w:right w:val="nil"/>
            </w:tcBorders>
            <w:noWrap/>
            <w:vAlign w:val="bottom"/>
          </w:tcPr>
          <w:p w:rsidR="009534E2" w:rsidRDefault="009534E2">
            <w:pPr>
              <w:keepNext/>
              <w:rPr>
                <w:rFonts w:asciiTheme="majorHAnsi" w:hAnsiTheme="majorHAnsi" w:cstheme="majorHAnsi"/>
                <w:sz w:val="16"/>
                <w:szCs w:val="16"/>
              </w:rPr>
            </w:pPr>
          </w:p>
        </w:tc>
        <w:tc>
          <w:tcPr>
            <w:tcW w:w="74" w:type="pct"/>
            <w:tcBorders>
              <w:top w:val="nil"/>
              <w:left w:val="nil"/>
              <w:bottom w:val="nil"/>
              <w:right w:val="nil"/>
            </w:tcBorders>
            <w:noWrap/>
            <w:vAlign w:val="bottom"/>
          </w:tcPr>
          <w:p w:rsidR="009534E2" w:rsidRDefault="009534E2">
            <w:pPr>
              <w:keepNext/>
              <w:rPr>
                <w:rFonts w:asciiTheme="majorHAnsi" w:hAnsiTheme="majorHAnsi" w:cstheme="majorHAnsi"/>
                <w:sz w:val="16"/>
                <w:szCs w:val="16"/>
              </w:rPr>
            </w:pPr>
          </w:p>
        </w:tc>
        <w:tc>
          <w:tcPr>
            <w:tcW w:w="342" w:type="pct"/>
            <w:tcBorders>
              <w:top w:val="nil"/>
              <w:left w:val="nil"/>
              <w:bottom w:val="nil"/>
              <w:right w:val="nil"/>
            </w:tcBorders>
            <w:noWrap/>
            <w:vAlign w:val="bottom"/>
          </w:tcPr>
          <w:p w:rsidR="009534E2" w:rsidRDefault="009534E2">
            <w:pPr>
              <w:keepNext/>
              <w:rPr>
                <w:rFonts w:asciiTheme="majorHAnsi" w:hAnsiTheme="majorHAnsi" w:cstheme="majorHAnsi"/>
                <w:sz w:val="16"/>
                <w:szCs w:val="16"/>
              </w:rPr>
            </w:pPr>
          </w:p>
        </w:tc>
        <w:tc>
          <w:tcPr>
            <w:tcW w:w="74" w:type="pct"/>
            <w:tcBorders>
              <w:top w:val="nil"/>
              <w:left w:val="nil"/>
              <w:bottom w:val="nil"/>
              <w:right w:val="nil"/>
            </w:tcBorders>
            <w:noWrap/>
            <w:vAlign w:val="bottom"/>
          </w:tcPr>
          <w:p w:rsidR="009534E2" w:rsidRDefault="009534E2">
            <w:pPr>
              <w:keepNext/>
              <w:rPr>
                <w:rFonts w:asciiTheme="majorHAnsi" w:hAnsiTheme="majorHAnsi" w:cstheme="majorHAnsi"/>
                <w:sz w:val="16"/>
                <w:szCs w:val="16"/>
              </w:rPr>
            </w:pPr>
          </w:p>
        </w:tc>
        <w:tc>
          <w:tcPr>
            <w:tcW w:w="424" w:type="pct"/>
            <w:tcBorders>
              <w:top w:val="nil"/>
              <w:left w:val="nil"/>
              <w:bottom w:val="nil"/>
              <w:right w:val="nil"/>
            </w:tcBorders>
            <w:noWrap/>
            <w:vAlign w:val="bottom"/>
          </w:tcPr>
          <w:p w:rsidR="009534E2" w:rsidRDefault="009534E2">
            <w:pPr>
              <w:keepNext/>
              <w:rPr>
                <w:rFonts w:asciiTheme="majorHAnsi" w:hAnsiTheme="majorHAnsi" w:cstheme="majorHAnsi"/>
                <w:sz w:val="16"/>
                <w:szCs w:val="16"/>
              </w:rPr>
            </w:pPr>
          </w:p>
        </w:tc>
      </w:tr>
      <w:tr w:rsidR="002931B3" w:rsidTr="000D34E3">
        <w:trPr>
          <w:jc w:val="center"/>
        </w:trPr>
        <w:tc>
          <w:tcPr>
            <w:tcW w:w="2575"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szCs w:val="16"/>
              </w:rPr>
            </w:pPr>
            <w:bookmarkStart w:name="_0636264b_f665_4ea3_b277_0c4cc466c517" w:id="3014"/>
            <w:bookmarkEnd w:id="3002"/>
            <w:bookmarkEnd w:id="3003"/>
            <w:bookmarkEnd w:id="3004"/>
            <w:bookmarkEnd w:id="3005"/>
            <w:bookmarkEnd w:id="3006"/>
            <w:bookmarkEnd w:id="3007"/>
            <w:bookmarkEnd w:id="3008"/>
            <w:bookmarkEnd w:id="3009"/>
            <w:bookmarkEnd w:id="3010"/>
            <w:bookmarkEnd w:id="3011"/>
            <w:bookmarkEnd w:id="3012"/>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590"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250"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1357" w:type="pct"/>
            <w:gridSpan w:val="5"/>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Fair value measurement using</w:t>
            </w:r>
          </w:p>
        </w:tc>
      </w:tr>
      <w:tr w:rsidR="002931B3" w:rsidTr="000D34E3">
        <w:trPr>
          <w:jc w:val="center"/>
        </w:trPr>
        <w:tc>
          <w:tcPr>
            <w:tcW w:w="2575"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szCs w:val="16"/>
              </w:rPr>
            </w:pPr>
            <w:bookmarkStart w:name="_05bb3214_b0eb_4c34_92e6_055a14eca3bf" w:id="3015"/>
            <w:bookmarkEnd w:id="3014"/>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590" w:type="pct"/>
            <w:tcBorders>
              <w:top w:val="nil"/>
              <w:left w:val="nil"/>
              <w:bottom w:val="nil"/>
              <w:right w:val="nil"/>
              <w:tl2br w:val="nil"/>
              <w:tr2bl w:val="nil"/>
            </w:tcBorders>
            <w:shd w:val="clear" w:color="auto" w:fill="auto"/>
            <w:noWrap/>
            <w:vAlign w:val="bottom"/>
          </w:tcPr>
          <w:p w:rsidR="009534E2" w:rsidRDefault="009534E2">
            <w:pPr>
              <w:keepNext/>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250"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44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Quoted prices</w:t>
            </w:r>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34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Significant</w:t>
            </w:r>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424"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Significant</w:t>
            </w:r>
          </w:p>
        </w:tc>
      </w:tr>
      <w:tr w:rsidR="002931B3" w:rsidTr="000D34E3">
        <w:trPr>
          <w:jc w:val="center"/>
        </w:trPr>
        <w:tc>
          <w:tcPr>
            <w:tcW w:w="2575"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szCs w:val="16"/>
              </w:rPr>
            </w:pPr>
            <w:bookmarkStart w:name="_6040da43_37c2_4fe3_9c1b_99c11b0da76b" w:id="3016"/>
            <w:bookmarkEnd w:id="3015"/>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590"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250"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443"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in active</w:t>
            </w:r>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342"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observable</w:t>
            </w:r>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424" w:type="pct"/>
            <w:tcBorders>
              <w:top w:val="nil"/>
              <w:left w:val="nil"/>
              <w:bottom w:val="nil"/>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unobservable</w:t>
            </w:r>
          </w:p>
        </w:tc>
      </w:tr>
      <w:tr w:rsidR="002931B3" w:rsidTr="000D34E3">
        <w:trPr>
          <w:jc w:val="center"/>
        </w:trPr>
        <w:tc>
          <w:tcPr>
            <w:tcW w:w="2575"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color w:val="000000"/>
                <w:sz w:val="16"/>
                <w:szCs w:val="16"/>
              </w:rPr>
            </w:pPr>
            <w:bookmarkStart w:name="_62df81d8_aa6d_48ba_a9e3_95f5198ecb5f" w:id="3017"/>
            <w:bookmarkEnd w:id="3016"/>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590" w:type="pct"/>
            <w:tcBorders>
              <w:top w:val="nil"/>
              <w:left w:val="nil"/>
              <w:bottom w:val="single" w:color="000000" w:sz="4" w:space="0"/>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250" w:type="pct"/>
            <w:tcBorders>
              <w:top w:val="nil"/>
              <w:left w:val="nil"/>
              <w:bottom w:val="single" w:color="000000" w:sz="4" w:space="0"/>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44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markets</w:t>
            </w:r>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342"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inputs</w:t>
            </w:r>
          </w:p>
        </w:tc>
        <w:tc>
          <w:tcPr>
            <w:tcW w:w="74" w:type="pct"/>
            <w:tcBorders>
              <w:top w:val="nil"/>
              <w:left w:val="nil"/>
              <w:bottom w:val="nil"/>
              <w:right w:val="nil"/>
              <w:tl2br w:val="nil"/>
              <w:tr2bl w:val="nil"/>
            </w:tcBorders>
            <w:shd w:val="clear" w:color="auto" w:fill="auto"/>
            <w:noWrap/>
            <w:vAlign w:val="bottom"/>
          </w:tcPr>
          <w:p w:rsidR="009534E2" w:rsidRDefault="009534E2">
            <w:pPr>
              <w:keepNext/>
              <w:jc w:val="center"/>
              <w:rPr>
                <w:rFonts w:asciiTheme="majorHAnsi" w:hAnsiTheme="majorHAnsi" w:cstheme="majorHAnsi"/>
                <w:color w:val="000000"/>
                <w:sz w:val="16"/>
                <w:szCs w:val="16"/>
              </w:rPr>
            </w:pPr>
          </w:p>
        </w:tc>
        <w:tc>
          <w:tcPr>
            <w:tcW w:w="424"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inputs</w:t>
            </w:r>
          </w:p>
        </w:tc>
      </w:tr>
      <w:tr w:rsidR="002931B3" w:rsidTr="000D34E3">
        <w:trPr>
          <w:jc w:val="center"/>
        </w:trPr>
        <w:tc>
          <w:tcPr>
            <w:tcW w:w="2575" w:type="pct"/>
            <w:tcBorders>
              <w:top w:val="nil"/>
              <w:left w:val="nil"/>
              <w:bottom w:val="nil"/>
              <w:right w:val="nil"/>
              <w:tl2br w:val="nil"/>
              <w:tr2bl w:val="nil"/>
            </w:tcBorders>
            <w:shd w:val="clear" w:color="auto" w:fill="auto"/>
            <w:vAlign w:val="bottom"/>
          </w:tcPr>
          <w:p w:rsidR="009534E2" w:rsidRDefault="009534E2">
            <w:pPr>
              <w:keepNext/>
              <w:rPr>
                <w:rFonts w:asciiTheme="majorHAnsi" w:hAnsiTheme="majorHAnsi" w:cstheme="majorHAnsi"/>
                <w:b/>
                <w:color w:val="000000"/>
                <w:sz w:val="16"/>
                <w:szCs w:val="16"/>
              </w:rPr>
            </w:pPr>
            <w:bookmarkStart w:name="_0665e98f_431f_418e_b767_daa26ff52774" w:id="3018"/>
            <w:bookmarkEnd w:id="3017"/>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    </w:t>
            </w:r>
          </w:p>
        </w:tc>
        <w:tc>
          <w:tcPr>
            <w:tcW w:w="590"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Date of valuation</w:t>
            </w: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    </w:t>
            </w:r>
          </w:p>
        </w:tc>
        <w:tc>
          <w:tcPr>
            <w:tcW w:w="250"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Total</w:t>
            </w: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    </w:t>
            </w:r>
          </w:p>
        </w:tc>
        <w:tc>
          <w:tcPr>
            <w:tcW w:w="443"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(Level 1)</w:t>
            </w: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    </w:t>
            </w:r>
          </w:p>
        </w:tc>
        <w:tc>
          <w:tcPr>
            <w:tcW w:w="342"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(Level 2)</w:t>
            </w:r>
          </w:p>
        </w:tc>
        <w:tc>
          <w:tcPr>
            <w:tcW w:w="74" w:type="pct"/>
            <w:tcBorders>
              <w:top w:val="nil"/>
              <w:left w:val="nil"/>
              <w:bottom w:val="nil"/>
              <w:right w:val="nil"/>
              <w:tl2br w:val="nil"/>
              <w:tr2bl w:val="nil"/>
            </w:tcBorders>
            <w:shd w:val="clear" w:color="auto" w:fill="auto"/>
            <w:noWrap/>
            <w:vAlign w:val="bottom"/>
          </w:tcPr>
          <w:p w:rsidR="009534E2" w:rsidRDefault="003369EB">
            <w:pPr>
              <w:keepNext/>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    </w:t>
            </w:r>
          </w:p>
        </w:tc>
        <w:tc>
          <w:tcPr>
            <w:tcW w:w="424" w:type="pct"/>
            <w:tcBorders>
              <w:top w:val="nil"/>
              <w:left w:val="nil"/>
              <w:bottom w:val="single" w:color="000000" w:sz="4" w:space="0"/>
              <w:right w:val="nil"/>
              <w:tl2br w:val="nil"/>
              <w:tr2bl w:val="nil"/>
            </w:tcBorders>
            <w:shd w:val="clear" w:color="auto" w:fill="auto"/>
            <w:noWrap/>
            <w:vAlign w:val="bottom"/>
          </w:tcPr>
          <w:p w:rsidR="009534E2" w:rsidRDefault="003369EB">
            <w:pPr>
              <w:keepNext/>
              <w:jc w:val="center"/>
              <w:rPr>
                <w:rFonts w:asciiTheme="majorHAnsi" w:hAnsiTheme="majorHAnsi" w:cstheme="majorHAnsi"/>
                <w:b/>
                <w:color w:val="000000"/>
                <w:sz w:val="16"/>
                <w:szCs w:val="16"/>
              </w:rPr>
            </w:pPr>
            <w:r>
              <w:rPr>
                <w:rFonts w:eastAsia="Times New Roman" w:asciiTheme="majorHAnsi" w:hAnsiTheme="majorHAnsi" w:cstheme="majorHAnsi"/>
                <w:b/>
                <w:color w:val="000000"/>
                <w:sz w:val="16"/>
                <w:szCs w:val="16"/>
              </w:rPr>
              <w:t>(Level 3)</w:t>
            </w:r>
          </w:p>
        </w:tc>
      </w:tr>
      <w:tr w:rsidR="002931B3" w:rsidTr="000D34E3">
        <w:trPr>
          <w:jc w:val="center"/>
        </w:trPr>
        <w:tc>
          <w:tcPr>
            <w:tcW w:w="2575" w:type="pct"/>
            <w:tcBorders>
              <w:top w:val="nil"/>
              <w:left w:val="nil"/>
              <w:bottom w:val="nil"/>
              <w:right w:val="nil"/>
              <w:tl2br w:val="nil"/>
              <w:tr2bl w:val="nil"/>
            </w:tcBorders>
            <w:shd w:val="clear" w:color="auto" w:fill="CCEEFF"/>
          </w:tcPr>
          <w:p w:rsidR="009534E2" w:rsidRDefault="003369EB">
            <w:pPr>
              <w:keepNext/>
              <w:rPr>
                <w:rFonts w:asciiTheme="majorHAnsi" w:hAnsiTheme="majorHAnsi" w:cstheme="majorHAnsi"/>
                <w:b/>
                <w:color w:val="000000"/>
                <w:sz w:val="16"/>
                <w:szCs w:val="16"/>
              </w:rPr>
            </w:pPr>
            <w:bookmarkStart w:name="_f443638f_98d4_4bf3_b245_369c2af80ef8" w:id="3019"/>
            <w:bookmarkEnd w:id="3018"/>
            <w:r>
              <w:rPr>
                <w:rFonts w:eastAsia="Times New Roman" w:asciiTheme="majorHAnsi" w:hAnsiTheme="majorHAnsi" w:cstheme="majorHAnsi"/>
                <w:b/>
                <w:color w:val="000000"/>
                <w:sz w:val="16"/>
                <w:szCs w:val="16"/>
              </w:rPr>
              <w:t>Assets accounted at fair value through profit or loss</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590" w:type="pct"/>
            <w:tcBorders>
              <w:top w:val="nil"/>
              <w:left w:val="nil"/>
              <w:bottom w:val="nil"/>
              <w:right w:val="nil"/>
              <w:tl2br w:val="nil"/>
              <w:tr2bl w:val="nil"/>
            </w:tcBorders>
            <w:shd w:val="clear" w:color="auto" w:fill="CCEEFF"/>
            <w:noWrap/>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250"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44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342"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424"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r>
      <w:tr w:rsidR="002931B3" w:rsidTr="000D34E3">
        <w:trPr>
          <w:jc w:val="center"/>
        </w:trPr>
        <w:tc>
          <w:tcPr>
            <w:tcW w:w="2575" w:type="pct"/>
            <w:tcBorders>
              <w:top w:val="nil"/>
              <w:left w:val="nil"/>
              <w:bottom w:val="nil"/>
              <w:right w:val="nil"/>
              <w:tl2br w:val="nil"/>
              <w:tr2bl w:val="nil"/>
            </w:tcBorders>
          </w:tcPr>
          <w:p w:rsidR="009534E2" w:rsidRDefault="003369EB">
            <w:pPr>
              <w:keepNext/>
              <w:ind w:left="120"/>
              <w:rPr>
                <w:rFonts w:asciiTheme="majorHAnsi" w:hAnsiTheme="majorHAnsi" w:cstheme="majorHAnsi"/>
                <w:color w:val="000000"/>
                <w:sz w:val="16"/>
                <w:szCs w:val="16"/>
              </w:rPr>
            </w:pPr>
            <w:bookmarkStart w:name="_b2e87786_9029_4359_a80a_bad5b083eaf4" w:id="3020"/>
            <w:bookmarkEnd w:id="3019"/>
            <w:r>
              <w:rPr>
                <w:rFonts w:eastAsia="Times New Roman" w:asciiTheme="majorHAnsi" w:hAnsiTheme="majorHAnsi" w:cstheme="majorHAnsi"/>
                <w:color w:val="000000"/>
                <w:sz w:val="16"/>
                <w:szCs w:val="16"/>
              </w:rPr>
              <w:t>Long-term loans</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December 31, 2022</w:t>
            </w:r>
          </w:p>
        </w:tc>
        <w:tc>
          <w:tcPr>
            <w:tcW w:w="74" w:type="pct"/>
            <w:tcBorders>
              <w:top w:val="nil"/>
              <w:left w:val="nil"/>
              <w:bottom w:val="nil"/>
              <w:right w:val="nil"/>
              <w:tl2br w:val="nil"/>
              <w:tr2bl w:val="nil"/>
            </w:tcBorders>
            <w:noWrap/>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250"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21</w:t>
            </w:r>
          </w:p>
        </w:tc>
        <w:tc>
          <w:tcPr>
            <w:tcW w:w="74"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443"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c>
          <w:tcPr>
            <w:tcW w:w="74"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342"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c>
          <w:tcPr>
            <w:tcW w:w="74"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424"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21</w:t>
            </w:r>
          </w:p>
        </w:tc>
      </w:tr>
      <w:tr w:rsidR="002931B3" w:rsidTr="000D34E3">
        <w:trPr>
          <w:jc w:val="center"/>
        </w:trPr>
        <w:tc>
          <w:tcPr>
            <w:tcW w:w="2575" w:type="pct"/>
            <w:tcBorders>
              <w:top w:val="nil"/>
              <w:left w:val="nil"/>
              <w:bottom w:val="nil"/>
              <w:right w:val="nil"/>
              <w:tl2br w:val="nil"/>
              <w:tr2bl w:val="nil"/>
            </w:tcBorders>
            <w:shd w:val="clear" w:color="auto" w:fill="CCEEFF"/>
          </w:tcPr>
          <w:p w:rsidR="009534E2" w:rsidRDefault="003369EB">
            <w:pPr>
              <w:keepNext/>
              <w:ind w:left="120"/>
              <w:rPr>
                <w:rFonts w:asciiTheme="majorHAnsi" w:hAnsiTheme="majorHAnsi" w:cstheme="majorHAnsi"/>
                <w:color w:val="000000"/>
                <w:sz w:val="16"/>
                <w:szCs w:val="16"/>
              </w:rPr>
            </w:pPr>
            <w:bookmarkStart w:name="_5c2e9f78_b671_48aa_a5e9_1a865db541b4" w:id="3021"/>
            <w:bookmarkEnd w:id="3020"/>
            <w:r>
              <w:rPr>
                <w:rFonts w:eastAsia="Times New Roman" w:asciiTheme="majorHAnsi" w:hAnsiTheme="majorHAnsi" w:cstheme="majorHAnsi"/>
                <w:color w:val="000000"/>
                <w:sz w:val="16"/>
                <w:szCs w:val="16"/>
              </w:rPr>
              <w:t>Option received from ADAH</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shd w:val="clear" w:color="auto" w:fill="CCEEFF"/>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December 31, 2022</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center"/>
              <w:rPr>
                <w:rFonts w:asciiTheme="majorHAnsi" w:hAnsiTheme="majorHAnsi" w:cstheme="majorHAnsi"/>
                <w:color w:val="000000"/>
                <w:sz w:val="16"/>
                <w:szCs w:val="16"/>
              </w:rPr>
            </w:pPr>
          </w:p>
        </w:tc>
        <w:tc>
          <w:tcPr>
            <w:tcW w:w="250" w:type="pct"/>
            <w:tcBorders>
              <w:top w:val="nil"/>
              <w:left w:val="nil"/>
              <w:bottom w:val="nil"/>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470</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443" w:type="pct"/>
            <w:tcBorders>
              <w:top w:val="nil"/>
              <w:left w:val="nil"/>
              <w:bottom w:val="nil"/>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342" w:type="pct"/>
            <w:tcBorders>
              <w:top w:val="nil"/>
              <w:left w:val="nil"/>
              <w:bottom w:val="nil"/>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424" w:type="pct"/>
            <w:tcBorders>
              <w:top w:val="nil"/>
              <w:left w:val="nil"/>
              <w:bottom w:val="nil"/>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470</w:t>
            </w:r>
          </w:p>
        </w:tc>
      </w:tr>
      <w:tr w:rsidR="002931B3" w:rsidTr="000D34E3">
        <w:trPr>
          <w:jc w:val="center"/>
        </w:trPr>
        <w:tc>
          <w:tcPr>
            <w:tcW w:w="2575" w:type="pct"/>
            <w:tcBorders>
              <w:top w:val="nil"/>
              <w:left w:val="nil"/>
              <w:bottom w:val="nil"/>
              <w:right w:val="nil"/>
              <w:tl2br w:val="nil"/>
              <w:tr2bl w:val="nil"/>
            </w:tcBorders>
          </w:tcPr>
          <w:p w:rsidR="009534E2" w:rsidRDefault="003369EB">
            <w:pPr>
              <w:keepNext/>
              <w:rPr>
                <w:rFonts w:asciiTheme="majorHAnsi" w:hAnsiTheme="majorHAnsi" w:cstheme="majorHAnsi"/>
                <w:b/>
                <w:color w:val="000000"/>
                <w:sz w:val="16"/>
                <w:szCs w:val="16"/>
              </w:rPr>
            </w:pPr>
            <w:bookmarkStart w:name="_e38dd060_c230_4acd_a730_da184f378395" w:id="3022"/>
            <w:bookmarkEnd w:id="3021"/>
            <w:r>
              <w:rPr>
                <w:rFonts w:eastAsia="Times New Roman" w:asciiTheme="majorHAnsi" w:hAnsiTheme="majorHAnsi" w:cstheme="majorHAnsi"/>
                <w:b/>
                <w:color w:val="000000"/>
                <w:sz w:val="16"/>
                <w:szCs w:val="16"/>
              </w:rPr>
              <w:t>Assets accounted at fair value through other comprehensive income</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vAlign w:val="bottom"/>
          </w:tcPr>
          <w:p w:rsidR="009534E2" w:rsidRDefault="009534E2">
            <w:pPr>
              <w:keepNext/>
              <w:jc w:val="center"/>
              <w:rPr>
                <w:rFonts w:asciiTheme="majorHAnsi" w:hAnsiTheme="majorHAnsi" w:cstheme="majorHAnsi"/>
                <w:color w:val="000000"/>
                <w:sz w:val="16"/>
                <w:szCs w:val="16"/>
              </w:rPr>
            </w:pPr>
          </w:p>
        </w:tc>
        <w:tc>
          <w:tcPr>
            <w:tcW w:w="74" w:type="pct"/>
            <w:tcBorders>
              <w:top w:val="nil"/>
              <w:left w:val="nil"/>
              <w:bottom w:val="nil"/>
              <w:right w:val="nil"/>
              <w:tl2br w:val="nil"/>
              <w:tr2bl w:val="nil"/>
            </w:tcBorders>
            <w:noWrap/>
            <w:vAlign w:val="bottom"/>
          </w:tcPr>
          <w:p w:rsidR="009534E2" w:rsidRDefault="009534E2">
            <w:pPr>
              <w:keepNext/>
              <w:jc w:val="center"/>
              <w:rPr>
                <w:rFonts w:asciiTheme="majorHAnsi" w:hAnsiTheme="majorHAnsi" w:cstheme="majorHAnsi"/>
                <w:color w:val="000000"/>
                <w:sz w:val="16"/>
                <w:szCs w:val="16"/>
              </w:rPr>
            </w:pPr>
          </w:p>
        </w:tc>
        <w:tc>
          <w:tcPr>
            <w:tcW w:w="250"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443"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342"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42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r>
      <w:tr w:rsidR="002931B3" w:rsidTr="000D34E3">
        <w:trPr>
          <w:jc w:val="center"/>
        </w:trPr>
        <w:tc>
          <w:tcPr>
            <w:tcW w:w="2575" w:type="pct"/>
            <w:tcBorders>
              <w:top w:val="nil"/>
              <w:left w:val="nil"/>
              <w:bottom w:val="nil"/>
              <w:right w:val="nil"/>
              <w:tl2br w:val="nil"/>
              <w:tr2bl w:val="nil"/>
            </w:tcBorders>
            <w:shd w:val="clear" w:color="auto" w:fill="CCEEFF"/>
          </w:tcPr>
          <w:p w:rsidR="009534E2" w:rsidRDefault="003369EB">
            <w:pPr>
              <w:keepNext/>
              <w:ind w:left="120"/>
              <w:rPr>
                <w:rFonts w:asciiTheme="majorHAnsi" w:hAnsiTheme="majorHAnsi" w:cstheme="majorHAnsi"/>
                <w:color w:val="000000"/>
                <w:sz w:val="16"/>
                <w:szCs w:val="16"/>
              </w:rPr>
            </w:pPr>
            <w:bookmarkStart w:name="_b9164e78_ea3f_483f_ad83_2052b8f56b15" w:id="3023"/>
            <w:bookmarkEnd w:id="3022"/>
            <w:r>
              <w:rPr>
                <w:rFonts w:eastAsia="Times New Roman" w:asciiTheme="majorHAnsi" w:hAnsiTheme="majorHAnsi" w:cstheme="majorHAnsi"/>
                <w:color w:val="000000"/>
                <w:sz w:val="16"/>
                <w:szCs w:val="16"/>
              </w:rPr>
              <w:t>Debt securities</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shd w:val="clear" w:color="auto" w:fill="CCEEFF"/>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December 31, 2022</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center"/>
              <w:rPr>
                <w:rFonts w:asciiTheme="majorHAnsi" w:hAnsiTheme="majorHAnsi" w:cstheme="majorHAnsi"/>
                <w:color w:val="000000"/>
                <w:sz w:val="16"/>
                <w:szCs w:val="16"/>
              </w:rPr>
            </w:pPr>
          </w:p>
        </w:tc>
        <w:tc>
          <w:tcPr>
            <w:tcW w:w="250" w:type="pct"/>
            <w:tcBorders>
              <w:top w:val="nil"/>
              <w:left w:val="nil"/>
              <w:bottom w:val="nil"/>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12,820</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443" w:type="pct"/>
            <w:tcBorders>
              <w:top w:val="nil"/>
              <w:left w:val="nil"/>
              <w:bottom w:val="nil"/>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12,820</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342" w:type="pct"/>
            <w:tcBorders>
              <w:top w:val="nil"/>
              <w:left w:val="nil"/>
              <w:bottom w:val="nil"/>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424" w:type="pct"/>
            <w:tcBorders>
              <w:top w:val="nil"/>
              <w:left w:val="nil"/>
              <w:bottom w:val="nil"/>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r>
      <w:tr w:rsidR="002931B3" w:rsidTr="000D34E3">
        <w:trPr>
          <w:jc w:val="center"/>
        </w:trPr>
        <w:tc>
          <w:tcPr>
            <w:tcW w:w="2575" w:type="pct"/>
            <w:tcBorders>
              <w:top w:val="nil"/>
              <w:left w:val="nil"/>
              <w:bottom w:val="nil"/>
              <w:right w:val="nil"/>
              <w:tl2br w:val="nil"/>
              <w:tr2bl w:val="nil"/>
            </w:tcBorders>
          </w:tcPr>
          <w:p w:rsidR="009534E2" w:rsidRDefault="003369EB">
            <w:pPr>
              <w:keepNext/>
              <w:rPr>
                <w:rFonts w:asciiTheme="majorHAnsi" w:hAnsiTheme="majorHAnsi" w:cstheme="majorHAnsi"/>
                <w:b/>
                <w:color w:val="000000"/>
                <w:sz w:val="16"/>
                <w:szCs w:val="16"/>
              </w:rPr>
            </w:pPr>
            <w:bookmarkStart w:name="_94e50276_99ae_4d01_a0cc_c6384c64a0c8" w:id="3024"/>
            <w:bookmarkEnd w:id="3023"/>
            <w:r>
              <w:rPr>
                <w:rFonts w:eastAsia="Times New Roman" w:asciiTheme="majorHAnsi" w:hAnsiTheme="majorHAnsi" w:cstheme="majorHAnsi"/>
                <w:b/>
                <w:color w:val="000000"/>
                <w:sz w:val="16"/>
                <w:szCs w:val="16"/>
              </w:rPr>
              <w:t>Assets for which fair values are disclosed</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vAlign w:val="bottom"/>
          </w:tcPr>
          <w:p w:rsidR="009534E2" w:rsidRDefault="009534E2">
            <w:pPr>
              <w:keepNext/>
              <w:jc w:val="center"/>
              <w:rPr>
                <w:rFonts w:asciiTheme="majorHAnsi" w:hAnsiTheme="majorHAnsi" w:cstheme="majorHAnsi"/>
                <w:color w:val="000000"/>
                <w:sz w:val="16"/>
                <w:szCs w:val="16"/>
              </w:rPr>
            </w:pPr>
          </w:p>
        </w:tc>
        <w:tc>
          <w:tcPr>
            <w:tcW w:w="74" w:type="pct"/>
            <w:tcBorders>
              <w:top w:val="nil"/>
              <w:left w:val="nil"/>
              <w:bottom w:val="nil"/>
              <w:right w:val="nil"/>
              <w:tl2br w:val="nil"/>
              <w:tr2bl w:val="nil"/>
            </w:tcBorders>
            <w:noWrap/>
            <w:vAlign w:val="bottom"/>
          </w:tcPr>
          <w:p w:rsidR="009534E2" w:rsidRDefault="009534E2">
            <w:pPr>
              <w:keepNext/>
              <w:jc w:val="center"/>
              <w:rPr>
                <w:rFonts w:asciiTheme="majorHAnsi" w:hAnsiTheme="majorHAnsi" w:cstheme="majorHAnsi"/>
                <w:color w:val="000000"/>
                <w:sz w:val="16"/>
                <w:szCs w:val="16"/>
              </w:rPr>
            </w:pPr>
          </w:p>
        </w:tc>
        <w:tc>
          <w:tcPr>
            <w:tcW w:w="250"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443"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342"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42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r>
      <w:tr w:rsidR="002931B3" w:rsidTr="000D34E3">
        <w:trPr>
          <w:jc w:val="center"/>
        </w:trPr>
        <w:tc>
          <w:tcPr>
            <w:tcW w:w="2575" w:type="pct"/>
            <w:tcBorders>
              <w:top w:val="nil"/>
              <w:left w:val="nil"/>
              <w:bottom w:val="nil"/>
              <w:right w:val="nil"/>
              <w:tl2br w:val="nil"/>
              <w:tr2bl w:val="nil"/>
            </w:tcBorders>
            <w:shd w:val="clear" w:color="auto" w:fill="CCEEFF"/>
          </w:tcPr>
          <w:p w:rsidR="009534E2" w:rsidRDefault="003369EB">
            <w:pPr>
              <w:keepNext/>
              <w:ind w:left="120"/>
              <w:rPr>
                <w:rFonts w:asciiTheme="majorHAnsi" w:hAnsiTheme="majorHAnsi" w:cstheme="majorHAnsi"/>
                <w:color w:val="000000"/>
                <w:sz w:val="16"/>
                <w:szCs w:val="16"/>
              </w:rPr>
            </w:pPr>
            <w:bookmarkStart w:name="_b8bf82ed_5d46_4090_9259_2cb74b81bb4b" w:id="3025"/>
            <w:bookmarkEnd w:id="3024"/>
            <w:r>
              <w:rPr>
                <w:rFonts w:eastAsia="Times New Roman" w:asciiTheme="majorHAnsi" w:hAnsiTheme="majorHAnsi" w:cstheme="majorHAnsi"/>
                <w:color w:val="000000"/>
                <w:sz w:val="16"/>
                <w:szCs w:val="16"/>
              </w:rPr>
              <w:t>Debt securities</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shd w:val="clear" w:color="auto" w:fill="CCEEFF"/>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December 31, 2022</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center"/>
              <w:rPr>
                <w:rFonts w:asciiTheme="majorHAnsi" w:hAnsiTheme="majorHAnsi" w:cstheme="majorHAnsi"/>
                <w:color w:val="000000"/>
                <w:sz w:val="16"/>
                <w:szCs w:val="16"/>
              </w:rPr>
            </w:pPr>
          </w:p>
        </w:tc>
        <w:tc>
          <w:tcPr>
            <w:tcW w:w="250" w:type="pct"/>
            <w:tcBorders>
              <w:top w:val="nil"/>
              <w:left w:val="nil"/>
              <w:bottom w:val="nil"/>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4,131</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443" w:type="pct"/>
            <w:tcBorders>
              <w:top w:val="nil"/>
              <w:left w:val="nil"/>
              <w:bottom w:val="nil"/>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4,131</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342" w:type="pct"/>
            <w:tcBorders>
              <w:top w:val="nil"/>
              <w:left w:val="nil"/>
              <w:bottom w:val="nil"/>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424" w:type="pct"/>
            <w:tcBorders>
              <w:top w:val="nil"/>
              <w:left w:val="nil"/>
              <w:bottom w:val="nil"/>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r>
      <w:tr w:rsidR="002931B3" w:rsidTr="000D34E3">
        <w:trPr>
          <w:jc w:val="center"/>
        </w:trPr>
        <w:tc>
          <w:tcPr>
            <w:tcW w:w="2575" w:type="pct"/>
            <w:tcBorders>
              <w:top w:val="nil"/>
              <w:left w:val="nil"/>
              <w:bottom w:val="nil"/>
              <w:right w:val="nil"/>
              <w:tl2br w:val="nil"/>
              <w:tr2bl w:val="nil"/>
            </w:tcBorders>
          </w:tcPr>
          <w:p w:rsidR="009534E2" w:rsidRDefault="003369EB">
            <w:pPr>
              <w:keepNext/>
              <w:ind w:left="120"/>
              <w:rPr>
                <w:rFonts w:asciiTheme="majorHAnsi" w:hAnsiTheme="majorHAnsi" w:cstheme="majorHAnsi"/>
                <w:color w:val="000000"/>
                <w:sz w:val="16"/>
                <w:szCs w:val="16"/>
              </w:rPr>
            </w:pPr>
            <w:bookmarkStart w:name="_79a43c34_0e3f_4e98_8fd0_ba03afde8701" w:id="3026"/>
            <w:bookmarkEnd w:id="3025"/>
            <w:r>
              <w:rPr>
                <w:rFonts w:eastAsia="Times New Roman" w:asciiTheme="majorHAnsi" w:hAnsiTheme="majorHAnsi" w:cstheme="majorHAnsi"/>
                <w:color w:val="000000"/>
                <w:sz w:val="16"/>
                <w:szCs w:val="16"/>
              </w:rPr>
              <w:t xml:space="preserve">Long-term loans </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December 31, 2022</w:t>
            </w:r>
          </w:p>
        </w:tc>
        <w:tc>
          <w:tcPr>
            <w:tcW w:w="74" w:type="pct"/>
            <w:tcBorders>
              <w:top w:val="nil"/>
              <w:left w:val="nil"/>
              <w:bottom w:val="nil"/>
              <w:right w:val="nil"/>
              <w:tl2br w:val="nil"/>
              <w:tr2bl w:val="nil"/>
            </w:tcBorders>
            <w:noWrap/>
            <w:vAlign w:val="bottom"/>
          </w:tcPr>
          <w:p w:rsidR="009534E2" w:rsidRDefault="009534E2">
            <w:pPr>
              <w:keepNext/>
              <w:jc w:val="center"/>
              <w:rPr>
                <w:rFonts w:asciiTheme="majorHAnsi" w:hAnsiTheme="majorHAnsi" w:cstheme="majorHAnsi"/>
                <w:color w:val="000000"/>
                <w:sz w:val="16"/>
                <w:szCs w:val="16"/>
              </w:rPr>
            </w:pPr>
          </w:p>
        </w:tc>
        <w:tc>
          <w:tcPr>
            <w:tcW w:w="250"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822</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443"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342"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424"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822</w:t>
            </w:r>
          </w:p>
        </w:tc>
      </w:tr>
      <w:tr w:rsidR="002931B3" w:rsidTr="000D34E3">
        <w:trPr>
          <w:jc w:val="center"/>
        </w:trPr>
        <w:tc>
          <w:tcPr>
            <w:tcW w:w="2575" w:type="pct"/>
            <w:tcBorders>
              <w:top w:val="nil"/>
              <w:left w:val="nil"/>
              <w:bottom w:val="nil"/>
              <w:right w:val="nil"/>
              <w:tl2br w:val="nil"/>
              <w:tr2bl w:val="nil"/>
            </w:tcBorders>
            <w:shd w:val="clear" w:color="auto" w:fill="CCEEFF"/>
          </w:tcPr>
          <w:p w:rsidR="009534E2" w:rsidRDefault="003369EB">
            <w:pPr>
              <w:keepNext/>
              <w:rPr>
                <w:rFonts w:asciiTheme="majorHAnsi" w:hAnsiTheme="majorHAnsi" w:cstheme="majorHAnsi"/>
                <w:b/>
                <w:color w:val="000000"/>
                <w:sz w:val="16"/>
                <w:szCs w:val="16"/>
              </w:rPr>
            </w:pPr>
            <w:bookmarkStart w:name="_9ac8067d_7ad4_4df0_a84c_17b41e90707d" w:id="3027"/>
            <w:bookmarkEnd w:id="3026"/>
            <w:r>
              <w:rPr>
                <w:rFonts w:eastAsia="Times New Roman" w:asciiTheme="majorHAnsi" w:hAnsiTheme="majorHAnsi" w:cstheme="majorHAnsi"/>
                <w:b/>
                <w:color w:val="000000"/>
                <w:sz w:val="16"/>
                <w:szCs w:val="16"/>
              </w:rPr>
              <w:t>Liabilities for which fair values are disclosed</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shd w:val="clear" w:color="auto" w:fill="CCEEFF"/>
            <w:vAlign w:val="bottom"/>
          </w:tcPr>
          <w:p w:rsidR="009534E2" w:rsidRDefault="009534E2">
            <w:pPr>
              <w:keepNext/>
              <w:jc w:val="center"/>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center"/>
              <w:rPr>
                <w:rFonts w:asciiTheme="majorHAnsi" w:hAnsiTheme="majorHAnsi" w:cstheme="majorHAnsi"/>
                <w:color w:val="000000"/>
                <w:sz w:val="16"/>
                <w:szCs w:val="16"/>
              </w:rPr>
            </w:pPr>
          </w:p>
        </w:tc>
        <w:tc>
          <w:tcPr>
            <w:tcW w:w="250"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443"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342"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42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r>
      <w:tr w:rsidR="002931B3" w:rsidTr="000D34E3">
        <w:trPr>
          <w:jc w:val="center"/>
        </w:trPr>
        <w:tc>
          <w:tcPr>
            <w:tcW w:w="2575" w:type="pct"/>
            <w:tcBorders>
              <w:top w:val="nil"/>
              <w:left w:val="nil"/>
              <w:bottom w:val="nil"/>
              <w:right w:val="nil"/>
              <w:tl2br w:val="nil"/>
              <w:tr2bl w:val="nil"/>
            </w:tcBorders>
          </w:tcPr>
          <w:p w:rsidR="009534E2" w:rsidRDefault="003369EB">
            <w:pPr>
              <w:keepNext/>
              <w:ind w:left="120"/>
              <w:rPr>
                <w:rFonts w:asciiTheme="majorHAnsi" w:hAnsiTheme="majorHAnsi" w:cstheme="majorHAnsi"/>
                <w:color w:val="000000"/>
                <w:sz w:val="16"/>
                <w:szCs w:val="16"/>
              </w:rPr>
            </w:pPr>
            <w:bookmarkStart w:name="_92962171_1dcb_4c73_a376_e19a39a413e2" w:id="3028"/>
            <w:bookmarkEnd w:id="3027"/>
            <w:r>
              <w:rPr>
                <w:rFonts w:eastAsia="Times New Roman" w:asciiTheme="majorHAnsi" w:hAnsiTheme="majorHAnsi" w:cstheme="majorHAnsi"/>
                <w:color w:val="000000"/>
                <w:sz w:val="16"/>
                <w:szCs w:val="16"/>
              </w:rPr>
              <w:t>Bonds issued</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December 31, 2022</w:t>
            </w:r>
          </w:p>
        </w:tc>
        <w:tc>
          <w:tcPr>
            <w:tcW w:w="74" w:type="pct"/>
            <w:tcBorders>
              <w:top w:val="nil"/>
              <w:left w:val="nil"/>
              <w:bottom w:val="nil"/>
              <w:right w:val="nil"/>
              <w:tl2br w:val="nil"/>
              <w:tr2bl w:val="nil"/>
            </w:tcBorders>
            <w:noWrap/>
            <w:vAlign w:val="bottom"/>
          </w:tcPr>
          <w:p w:rsidR="009534E2" w:rsidRDefault="009534E2">
            <w:pPr>
              <w:keepNext/>
              <w:jc w:val="center"/>
              <w:rPr>
                <w:rFonts w:asciiTheme="majorHAnsi" w:hAnsiTheme="majorHAnsi" w:cstheme="majorHAnsi"/>
                <w:color w:val="000000"/>
                <w:sz w:val="16"/>
                <w:szCs w:val="16"/>
              </w:rPr>
            </w:pPr>
          </w:p>
        </w:tc>
        <w:tc>
          <w:tcPr>
            <w:tcW w:w="250"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3,887</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443"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3,887</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342"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424"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r>
      <w:tr w:rsidR="002931B3" w:rsidTr="000D34E3">
        <w:trPr>
          <w:jc w:val="center"/>
        </w:trPr>
        <w:tc>
          <w:tcPr>
            <w:tcW w:w="2575" w:type="pct"/>
            <w:tcBorders>
              <w:top w:val="nil"/>
              <w:left w:val="nil"/>
              <w:bottom w:val="nil"/>
              <w:right w:val="nil"/>
              <w:tl2br w:val="nil"/>
              <w:tr2bl w:val="nil"/>
            </w:tcBorders>
            <w:shd w:val="clear" w:color="auto" w:fill="CCEEFF"/>
          </w:tcPr>
          <w:p w:rsidR="009534E2" w:rsidRDefault="003369EB">
            <w:pPr>
              <w:keepNext/>
              <w:rPr>
                <w:rFonts w:asciiTheme="majorHAnsi" w:hAnsiTheme="majorHAnsi" w:cstheme="majorHAnsi"/>
                <w:b/>
                <w:color w:val="000000"/>
                <w:sz w:val="16"/>
                <w:szCs w:val="16"/>
              </w:rPr>
            </w:pPr>
            <w:bookmarkStart w:name="_b931c752_3dfa_474c_983f_b3282178bd46" w:id="3029"/>
            <w:bookmarkEnd w:id="3028"/>
            <w:r>
              <w:rPr>
                <w:rFonts w:eastAsia="Times New Roman" w:asciiTheme="majorHAnsi" w:hAnsiTheme="majorHAnsi" w:cstheme="majorHAnsi"/>
                <w:b/>
                <w:color w:val="000000"/>
                <w:sz w:val="16"/>
                <w:szCs w:val="16"/>
              </w:rPr>
              <w:t>Assets accounted at fair value through profit or loss</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shd w:val="clear" w:color="auto" w:fill="CCEEFF"/>
            <w:vAlign w:val="bottom"/>
          </w:tcPr>
          <w:p w:rsidR="009534E2" w:rsidRDefault="009534E2">
            <w:pPr>
              <w:keepNext/>
              <w:jc w:val="center"/>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center"/>
              <w:rPr>
                <w:rFonts w:asciiTheme="majorHAnsi" w:hAnsiTheme="majorHAnsi" w:cstheme="majorHAnsi"/>
                <w:color w:val="000000"/>
                <w:sz w:val="16"/>
                <w:szCs w:val="16"/>
              </w:rPr>
            </w:pPr>
          </w:p>
        </w:tc>
        <w:tc>
          <w:tcPr>
            <w:tcW w:w="250"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443"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342"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42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r>
      <w:tr w:rsidR="002931B3" w:rsidTr="000D34E3">
        <w:trPr>
          <w:jc w:val="center"/>
        </w:trPr>
        <w:tc>
          <w:tcPr>
            <w:tcW w:w="2575" w:type="pct"/>
            <w:tcBorders>
              <w:top w:val="nil"/>
              <w:left w:val="nil"/>
              <w:bottom w:val="nil"/>
              <w:right w:val="nil"/>
              <w:tl2br w:val="nil"/>
              <w:tr2bl w:val="nil"/>
            </w:tcBorders>
          </w:tcPr>
          <w:p w:rsidR="009534E2" w:rsidRDefault="003369EB">
            <w:pPr>
              <w:keepNext/>
              <w:ind w:left="120"/>
              <w:rPr>
                <w:rFonts w:asciiTheme="majorHAnsi" w:hAnsiTheme="majorHAnsi" w:cstheme="majorHAnsi"/>
                <w:color w:val="000000"/>
                <w:sz w:val="16"/>
                <w:szCs w:val="16"/>
              </w:rPr>
            </w:pPr>
            <w:bookmarkStart w:name="_810495fe_6462_4eea_9dd8_e4d17ba4bacf" w:id="3030"/>
            <w:bookmarkEnd w:id="3029"/>
            <w:r>
              <w:rPr>
                <w:rFonts w:eastAsia="Times New Roman" w:asciiTheme="majorHAnsi" w:hAnsiTheme="majorHAnsi" w:cstheme="majorHAnsi"/>
                <w:color w:val="000000"/>
                <w:sz w:val="16"/>
                <w:szCs w:val="16"/>
              </w:rPr>
              <w:t xml:space="preserve">Long-term loans </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December 31, 2021</w:t>
            </w:r>
          </w:p>
        </w:tc>
        <w:tc>
          <w:tcPr>
            <w:tcW w:w="74" w:type="pct"/>
            <w:tcBorders>
              <w:top w:val="nil"/>
              <w:left w:val="nil"/>
              <w:bottom w:val="nil"/>
              <w:right w:val="nil"/>
              <w:tl2br w:val="nil"/>
              <w:tr2bl w:val="nil"/>
            </w:tcBorders>
            <w:noWrap/>
            <w:vAlign w:val="bottom"/>
          </w:tcPr>
          <w:p w:rsidR="009534E2" w:rsidRDefault="009534E2">
            <w:pPr>
              <w:keepNext/>
              <w:jc w:val="center"/>
              <w:rPr>
                <w:rFonts w:asciiTheme="majorHAnsi" w:hAnsiTheme="majorHAnsi" w:cstheme="majorHAnsi"/>
                <w:color w:val="000000"/>
                <w:sz w:val="16"/>
                <w:szCs w:val="16"/>
              </w:rPr>
            </w:pPr>
          </w:p>
        </w:tc>
        <w:tc>
          <w:tcPr>
            <w:tcW w:w="250"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17</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443"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342"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424"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17</w:t>
            </w:r>
          </w:p>
        </w:tc>
      </w:tr>
      <w:tr w:rsidR="002931B3" w:rsidTr="000D34E3">
        <w:trPr>
          <w:jc w:val="center"/>
        </w:trPr>
        <w:tc>
          <w:tcPr>
            <w:tcW w:w="2575" w:type="pct"/>
            <w:tcBorders>
              <w:top w:val="nil"/>
              <w:left w:val="nil"/>
              <w:bottom w:val="nil"/>
              <w:right w:val="nil"/>
              <w:tl2br w:val="nil"/>
              <w:tr2bl w:val="nil"/>
            </w:tcBorders>
            <w:shd w:val="clear" w:color="auto" w:fill="CCEEFF"/>
          </w:tcPr>
          <w:p w:rsidR="009534E2" w:rsidRDefault="003369EB">
            <w:pPr>
              <w:keepNext/>
              <w:rPr>
                <w:rFonts w:asciiTheme="majorHAnsi" w:hAnsiTheme="majorHAnsi" w:cstheme="majorHAnsi"/>
                <w:b/>
                <w:color w:val="000000"/>
                <w:sz w:val="16"/>
                <w:szCs w:val="16"/>
              </w:rPr>
            </w:pPr>
            <w:bookmarkStart w:name="_5379ba52_3bc5_476d_83fe_41653530da76" w:id="3031"/>
            <w:bookmarkEnd w:id="3030"/>
            <w:r>
              <w:rPr>
                <w:rFonts w:eastAsia="Times New Roman" w:asciiTheme="majorHAnsi" w:hAnsiTheme="majorHAnsi" w:cstheme="majorHAnsi"/>
                <w:b/>
                <w:color w:val="000000"/>
                <w:sz w:val="16"/>
                <w:szCs w:val="16"/>
              </w:rPr>
              <w:t>Assets accounted at fair value through other comprehensive income</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shd w:val="clear" w:color="auto" w:fill="CCEEFF"/>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250"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443"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342"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424"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r>
      <w:tr w:rsidR="002931B3" w:rsidTr="000D34E3">
        <w:trPr>
          <w:jc w:val="center"/>
        </w:trPr>
        <w:tc>
          <w:tcPr>
            <w:tcW w:w="2575" w:type="pct"/>
            <w:tcBorders>
              <w:top w:val="nil"/>
              <w:left w:val="nil"/>
              <w:bottom w:val="nil"/>
              <w:right w:val="nil"/>
              <w:tl2br w:val="nil"/>
              <w:tr2bl w:val="nil"/>
            </w:tcBorders>
          </w:tcPr>
          <w:p w:rsidR="009534E2" w:rsidRDefault="003369EB">
            <w:pPr>
              <w:keepNext/>
              <w:ind w:left="120"/>
              <w:rPr>
                <w:rFonts w:asciiTheme="majorHAnsi" w:hAnsiTheme="majorHAnsi" w:cstheme="majorHAnsi"/>
                <w:color w:val="000000"/>
                <w:sz w:val="16"/>
                <w:szCs w:val="16"/>
              </w:rPr>
            </w:pPr>
            <w:bookmarkStart w:name="_2d563223_1f9e_4845_9017_f5b2ac547aab" w:id="3032"/>
            <w:bookmarkEnd w:id="3031"/>
            <w:r>
              <w:rPr>
                <w:rFonts w:eastAsia="Times New Roman" w:asciiTheme="majorHAnsi" w:hAnsiTheme="majorHAnsi" w:cstheme="majorHAnsi"/>
                <w:color w:val="000000"/>
                <w:sz w:val="16"/>
                <w:szCs w:val="16"/>
              </w:rPr>
              <w:t>Debt securities</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December 31, 2021</w:t>
            </w:r>
          </w:p>
        </w:tc>
        <w:tc>
          <w:tcPr>
            <w:tcW w:w="74" w:type="pct"/>
            <w:tcBorders>
              <w:top w:val="nil"/>
              <w:left w:val="nil"/>
              <w:bottom w:val="nil"/>
              <w:right w:val="nil"/>
              <w:tl2br w:val="nil"/>
              <w:tr2bl w:val="nil"/>
            </w:tcBorders>
            <w:noWrap/>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250"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9,561</w:t>
            </w:r>
          </w:p>
        </w:tc>
        <w:tc>
          <w:tcPr>
            <w:tcW w:w="74"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443"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9,561</w:t>
            </w:r>
          </w:p>
        </w:tc>
        <w:tc>
          <w:tcPr>
            <w:tcW w:w="74"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342"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c>
          <w:tcPr>
            <w:tcW w:w="74" w:type="pct"/>
            <w:tcBorders>
              <w:top w:val="nil"/>
              <w:left w:val="nil"/>
              <w:bottom w:val="nil"/>
              <w:right w:val="nil"/>
              <w:tl2br w:val="nil"/>
              <w:tr2bl w:val="nil"/>
            </w:tcBorders>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424"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r>
      <w:tr w:rsidR="002931B3" w:rsidTr="000D34E3">
        <w:trPr>
          <w:jc w:val="center"/>
        </w:trPr>
        <w:tc>
          <w:tcPr>
            <w:tcW w:w="2575" w:type="pct"/>
            <w:tcBorders>
              <w:top w:val="nil"/>
              <w:left w:val="nil"/>
              <w:bottom w:val="nil"/>
              <w:right w:val="nil"/>
              <w:tl2br w:val="nil"/>
              <w:tr2bl w:val="nil"/>
            </w:tcBorders>
            <w:shd w:val="clear" w:color="auto" w:fill="CCEEFF"/>
          </w:tcPr>
          <w:p w:rsidR="009534E2" w:rsidRDefault="003369EB">
            <w:pPr>
              <w:keepNext/>
              <w:rPr>
                <w:rFonts w:asciiTheme="majorHAnsi" w:hAnsiTheme="majorHAnsi" w:cstheme="majorHAnsi"/>
                <w:b/>
                <w:color w:val="000000"/>
                <w:sz w:val="16"/>
                <w:szCs w:val="16"/>
              </w:rPr>
            </w:pPr>
            <w:bookmarkStart w:name="_79b26836_1309_4328_a93d_8864a36ab416" w:id="3033"/>
            <w:bookmarkEnd w:id="3032"/>
            <w:r>
              <w:rPr>
                <w:rFonts w:eastAsia="Times New Roman" w:asciiTheme="majorHAnsi" w:hAnsiTheme="majorHAnsi" w:cstheme="majorHAnsi"/>
                <w:b/>
                <w:color w:val="000000"/>
                <w:sz w:val="16"/>
                <w:szCs w:val="16"/>
              </w:rPr>
              <w:t>Assets for which fair values are disclosed</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shd w:val="clear" w:color="auto" w:fill="CCEEFF"/>
            <w:vAlign w:val="bottom"/>
          </w:tcPr>
          <w:p w:rsidR="009534E2" w:rsidRDefault="009534E2">
            <w:pPr>
              <w:keepNext/>
              <w:jc w:val="center"/>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center"/>
              <w:rPr>
                <w:rFonts w:asciiTheme="majorHAnsi" w:hAnsiTheme="majorHAnsi" w:cstheme="majorHAnsi"/>
                <w:color w:val="000000"/>
                <w:sz w:val="16"/>
                <w:szCs w:val="16"/>
              </w:rPr>
            </w:pPr>
          </w:p>
        </w:tc>
        <w:tc>
          <w:tcPr>
            <w:tcW w:w="250"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443"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342"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7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c>
          <w:tcPr>
            <w:tcW w:w="424" w:type="pct"/>
            <w:tcBorders>
              <w:top w:val="nil"/>
              <w:left w:val="nil"/>
              <w:bottom w:val="nil"/>
              <w:right w:val="nil"/>
              <w:tl2br w:val="nil"/>
              <w:tr2bl w:val="nil"/>
            </w:tcBorders>
            <w:shd w:val="clear" w:color="auto" w:fill="CCEEFF"/>
            <w:noWrap/>
            <w:vAlign w:val="bottom"/>
          </w:tcPr>
          <w:p w:rsidR="009534E2" w:rsidRDefault="009534E2">
            <w:pPr>
              <w:keepNext/>
              <w:jc w:val="right"/>
              <w:rPr>
                <w:rFonts w:asciiTheme="majorHAnsi" w:hAnsiTheme="majorHAnsi" w:cstheme="majorHAnsi"/>
                <w:color w:val="000000"/>
                <w:sz w:val="16"/>
                <w:szCs w:val="16"/>
              </w:rPr>
            </w:pPr>
          </w:p>
        </w:tc>
      </w:tr>
      <w:tr w:rsidR="002931B3" w:rsidTr="000D34E3">
        <w:trPr>
          <w:jc w:val="center"/>
        </w:trPr>
        <w:tc>
          <w:tcPr>
            <w:tcW w:w="2575" w:type="pct"/>
            <w:tcBorders>
              <w:top w:val="nil"/>
              <w:left w:val="nil"/>
              <w:bottom w:val="nil"/>
              <w:right w:val="nil"/>
              <w:tl2br w:val="nil"/>
              <w:tr2bl w:val="nil"/>
            </w:tcBorders>
          </w:tcPr>
          <w:p w:rsidR="009534E2" w:rsidRDefault="003369EB">
            <w:pPr>
              <w:keepNext/>
              <w:ind w:left="120"/>
              <w:rPr>
                <w:rFonts w:asciiTheme="majorHAnsi" w:hAnsiTheme="majorHAnsi" w:cstheme="majorHAnsi"/>
                <w:color w:val="000000"/>
                <w:sz w:val="16"/>
                <w:szCs w:val="16"/>
              </w:rPr>
            </w:pPr>
            <w:bookmarkStart w:name="_ed24c995_a0ec_4f7f_8f9b_4bb034794ad8" w:id="3034"/>
            <w:bookmarkEnd w:id="3033"/>
            <w:r>
              <w:rPr>
                <w:rFonts w:eastAsia="Times New Roman" w:asciiTheme="majorHAnsi" w:hAnsiTheme="majorHAnsi" w:cstheme="majorHAnsi"/>
                <w:color w:val="000000"/>
                <w:sz w:val="16"/>
                <w:szCs w:val="16"/>
              </w:rPr>
              <w:t xml:space="preserve">Debt securities </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December 31, 2021</w:t>
            </w:r>
          </w:p>
        </w:tc>
        <w:tc>
          <w:tcPr>
            <w:tcW w:w="74" w:type="pct"/>
            <w:tcBorders>
              <w:top w:val="nil"/>
              <w:left w:val="nil"/>
              <w:bottom w:val="nil"/>
              <w:right w:val="nil"/>
              <w:tl2br w:val="nil"/>
              <w:tr2bl w:val="nil"/>
            </w:tcBorders>
            <w:noWrap/>
            <w:vAlign w:val="bottom"/>
          </w:tcPr>
          <w:p w:rsidR="009534E2" w:rsidRDefault="009534E2">
            <w:pPr>
              <w:keepNext/>
              <w:jc w:val="center"/>
              <w:rPr>
                <w:rFonts w:asciiTheme="majorHAnsi" w:hAnsiTheme="majorHAnsi" w:cstheme="majorHAnsi"/>
                <w:color w:val="000000"/>
                <w:sz w:val="16"/>
                <w:szCs w:val="16"/>
              </w:rPr>
            </w:pPr>
          </w:p>
        </w:tc>
        <w:tc>
          <w:tcPr>
            <w:tcW w:w="250"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3,462</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443"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3,462</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342"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c>
          <w:tcPr>
            <w:tcW w:w="74"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424" w:type="pct"/>
            <w:tcBorders>
              <w:top w:val="nil"/>
              <w:left w:val="nil"/>
              <w:bottom w:val="nil"/>
              <w:right w:val="nil"/>
              <w:tl2br w:val="nil"/>
              <w:tr2bl w:val="nil"/>
            </w:tcBorders>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r>
      <w:tr w:rsidR="002931B3" w:rsidTr="000D34E3">
        <w:trPr>
          <w:jc w:val="center"/>
        </w:trPr>
        <w:tc>
          <w:tcPr>
            <w:tcW w:w="2575" w:type="pct"/>
            <w:tcBorders>
              <w:top w:val="nil"/>
              <w:left w:val="nil"/>
              <w:bottom w:val="nil"/>
              <w:right w:val="nil"/>
              <w:tl2br w:val="nil"/>
              <w:tr2bl w:val="nil"/>
            </w:tcBorders>
            <w:shd w:val="clear" w:color="auto" w:fill="CCEEFF"/>
          </w:tcPr>
          <w:p w:rsidR="009534E2" w:rsidRDefault="003369EB">
            <w:pPr>
              <w:keepNext/>
              <w:ind w:left="120"/>
              <w:rPr>
                <w:rFonts w:asciiTheme="majorHAnsi" w:hAnsiTheme="majorHAnsi" w:cstheme="majorHAnsi"/>
                <w:color w:val="000000"/>
                <w:sz w:val="16"/>
                <w:szCs w:val="16"/>
              </w:rPr>
            </w:pPr>
            <w:bookmarkStart w:name="_fec287aa_332b_4ecc_a793_c5c75ddf6d6f" w:id="3035"/>
            <w:bookmarkEnd w:id="3034"/>
            <w:r>
              <w:rPr>
                <w:rFonts w:eastAsia="Times New Roman" w:asciiTheme="majorHAnsi" w:hAnsiTheme="majorHAnsi" w:cstheme="majorHAnsi"/>
                <w:color w:val="000000"/>
                <w:sz w:val="16"/>
                <w:szCs w:val="16"/>
              </w:rPr>
              <w:t xml:space="preserve">Long-term loans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shd w:val="clear" w:color="auto" w:fill="CCEEFF"/>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December 31, 2021</w:t>
            </w:r>
          </w:p>
        </w:tc>
        <w:tc>
          <w:tcPr>
            <w:tcW w:w="74" w:type="pct"/>
            <w:tcBorders>
              <w:top w:val="nil"/>
              <w:left w:val="nil"/>
              <w:bottom w:val="nil"/>
              <w:right w:val="nil"/>
              <w:tl2br w:val="nil"/>
              <w:tr2bl w:val="nil"/>
            </w:tcBorders>
            <w:shd w:val="clear" w:color="auto" w:fill="CCEEFF"/>
            <w:noWrap/>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250" w:type="pct"/>
            <w:tcBorders>
              <w:top w:val="nil"/>
              <w:left w:val="nil"/>
              <w:bottom w:val="nil"/>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250</w:t>
            </w:r>
          </w:p>
        </w:tc>
        <w:tc>
          <w:tcPr>
            <w:tcW w:w="74"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443" w:type="pct"/>
            <w:tcBorders>
              <w:top w:val="nil"/>
              <w:left w:val="nil"/>
              <w:bottom w:val="nil"/>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342" w:type="pct"/>
            <w:tcBorders>
              <w:top w:val="nil"/>
              <w:left w:val="nil"/>
              <w:bottom w:val="nil"/>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3369EB">
            <w:pPr>
              <w:keepNext/>
              <w:jc w:val="right"/>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 </w:t>
            </w:r>
          </w:p>
        </w:tc>
        <w:tc>
          <w:tcPr>
            <w:tcW w:w="424" w:type="pct"/>
            <w:tcBorders>
              <w:top w:val="nil"/>
              <w:left w:val="nil"/>
              <w:bottom w:val="nil"/>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250</w:t>
            </w:r>
          </w:p>
        </w:tc>
      </w:tr>
      <w:tr w:rsidR="002931B3" w:rsidTr="000D34E3">
        <w:trPr>
          <w:jc w:val="center"/>
        </w:trPr>
        <w:tc>
          <w:tcPr>
            <w:tcW w:w="2575" w:type="pct"/>
            <w:tcBorders>
              <w:top w:val="nil"/>
              <w:left w:val="nil"/>
              <w:bottom w:val="nil"/>
              <w:right w:val="nil"/>
              <w:tl2br w:val="nil"/>
              <w:tr2bl w:val="nil"/>
            </w:tcBorders>
            <w:noWrap/>
            <w:vAlign w:val="bottom"/>
          </w:tcPr>
          <w:p w:rsidR="009534E2" w:rsidRDefault="003369EB">
            <w:pPr>
              <w:keepNext/>
              <w:rPr>
                <w:rFonts w:asciiTheme="majorHAnsi" w:hAnsiTheme="majorHAnsi" w:cstheme="majorHAnsi"/>
                <w:b/>
                <w:color w:val="000000"/>
                <w:sz w:val="16"/>
                <w:szCs w:val="16"/>
              </w:rPr>
            </w:pPr>
            <w:bookmarkStart w:name="_c54209fc_a13b_4fde_a1b5_e9279ef475e5" w:id="3036"/>
            <w:bookmarkEnd w:id="3035"/>
            <w:r>
              <w:rPr>
                <w:rFonts w:eastAsia="Times New Roman" w:asciiTheme="majorHAnsi" w:hAnsiTheme="majorHAnsi" w:cstheme="majorHAnsi"/>
                <w:b/>
                <w:color w:val="000000"/>
                <w:sz w:val="16"/>
                <w:szCs w:val="16"/>
              </w:rPr>
              <w:t>Liabilities for which fair values are disclosed</w:t>
            </w: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c>
          <w:tcPr>
            <w:tcW w:w="250"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c>
          <w:tcPr>
            <w:tcW w:w="443" w:type="pct"/>
            <w:tcBorders>
              <w:top w:val="nil"/>
              <w:left w:val="nil"/>
              <w:bottom w:val="nil"/>
              <w:right w:val="nil"/>
              <w:tl2br w:val="nil"/>
              <w:tr2bl w:val="nil"/>
            </w:tcBorders>
            <w:noWrap/>
            <w:vAlign w:val="bottom"/>
          </w:tcPr>
          <w:p w:rsidR="009534E2" w:rsidRDefault="009534E2">
            <w:pPr>
              <w:keepNext/>
              <w:jc w:val="right"/>
              <w:rPr>
                <w:rFonts w:asciiTheme="majorHAnsi" w:hAnsiTheme="majorHAnsi" w:cstheme="majorHAnsi"/>
                <w:color w:val="000000"/>
                <w:sz w:val="16"/>
                <w:szCs w:val="16"/>
              </w:rPr>
            </w:pP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c>
          <w:tcPr>
            <w:tcW w:w="342"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c>
          <w:tcPr>
            <w:tcW w:w="7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c>
          <w:tcPr>
            <w:tcW w:w="424" w:type="pct"/>
            <w:tcBorders>
              <w:top w:val="nil"/>
              <w:left w:val="nil"/>
              <w:bottom w:val="nil"/>
              <w:right w:val="nil"/>
              <w:tl2br w:val="nil"/>
              <w:tr2bl w:val="nil"/>
            </w:tcBorders>
            <w:noWrap/>
            <w:vAlign w:val="bottom"/>
          </w:tcPr>
          <w:p w:rsidR="009534E2" w:rsidRDefault="009534E2">
            <w:pPr>
              <w:keepNext/>
              <w:rPr>
                <w:rFonts w:asciiTheme="majorHAnsi" w:hAnsiTheme="majorHAnsi" w:cstheme="majorHAnsi"/>
                <w:color w:val="000000"/>
                <w:sz w:val="16"/>
                <w:szCs w:val="16"/>
              </w:rPr>
            </w:pPr>
          </w:p>
        </w:tc>
      </w:tr>
      <w:tr w:rsidR="002931B3" w:rsidTr="000D34E3">
        <w:trPr>
          <w:jc w:val="center"/>
        </w:trPr>
        <w:tc>
          <w:tcPr>
            <w:tcW w:w="2575" w:type="pct"/>
            <w:tcBorders>
              <w:top w:val="nil"/>
              <w:left w:val="nil"/>
              <w:bottom w:val="nil"/>
              <w:right w:val="nil"/>
              <w:tl2br w:val="nil"/>
              <w:tr2bl w:val="nil"/>
            </w:tcBorders>
            <w:shd w:val="clear" w:color="auto" w:fill="CCEEFF"/>
            <w:noWrap/>
            <w:vAlign w:val="bottom"/>
          </w:tcPr>
          <w:p w:rsidR="009534E2" w:rsidRDefault="003369EB">
            <w:pPr>
              <w:keepNext/>
              <w:ind w:left="120"/>
              <w:rPr>
                <w:rFonts w:asciiTheme="majorHAnsi" w:hAnsiTheme="majorHAnsi" w:cstheme="majorHAnsi"/>
                <w:color w:val="000000"/>
                <w:sz w:val="16"/>
                <w:szCs w:val="16"/>
              </w:rPr>
            </w:pPr>
            <w:bookmarkStart w:name="_d6f3eb50_3b1b_4e84_a1a9_04ed2b728089" w:id="3037"/>
            <w:bookmarkEnd w:id="3036"/>
            <w:r>
              <w:rPr>
                <w:rFonts w:eastAsia="Times New Roman" w:asciiTheme="majorHAnsi" w:hAnsiTheme="majorHAnsi" w:cstheme="majorHAnsi"/>
                <w:color w:val="000000"/>
                <w:sz w:val="16"/>
                <w:szCs w:val="16"/>
              </w:rPr>
              <w:t>Bonds issued</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szCs w:val="16"/>
              </w:rPr>
            </w:pPr>
          </w:p>
        </w:tc>
        <w:tc>
          <w:tcPr>
            <w:tcW w:w="590" w:type="pct"/>
            <w:tcBorders>
              <w:top w:val="nil"/>
              <w:left w:val="nil"/>
              <w:bottom w:val="single" w:color="000000" w:sz="4" w:space="0"/>
              <w:right w:val="nil"/>
              <w:tl2br w:val="nil"/>
              <w:tr2bl w:val="nil"/>
            </w:tcBorders>
            <w:shd w:val="clear" w:color="auto" w:fill="CCEEFF"/>
            <w:vAlign w:val="bottom"/>
          </w:tcPr>
          <w:p w:rsidR="009534E2" w:rsidRDefault="003369EB">
            <w:pPr>
              <w:keepNext/>
              <w:jc w:val="center"/>
              <w:rPr>
                <w:rFonts w:asciiTheme="majorHAnsi" w:hAnsiTheme="majorHAnsi" w:cstheme="majorHAnsi"/>
                <w:color w:val="000000"/>
                <w:sz w:val="16"/>
                <w:szCs w:val="16"/>
              </w:rPr>
            </w:pPr>
            <w:r>
              <w:rPr>
                <w:rFonts w:eastAsia="Times New Roman" w:asciiTheme="majorHAnsi" w:hAnsiTheme="majorHAnsi" w:cstheme="majorHAnsi"/>
                <w:color w:val="000000"/>
                <w:sz w:val="16"/>
                <w:szCs w:val="16"/>
              </w:rPr>
              <w:t>December 31, 2021</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szCs w:val="16"/>
              </w:rPr>
            </w:pPr>
          </w:p>
        </w:tc>
        <w:tc>
          <w:tcPr>
            <w:tcW w:w="250" w:type="pct"/>
            <w:tcBorders>
              <w:top w:val="nil"/>
              <w:left w:val="nil"/>
              <w:bottom w:val="single" w:color="000000" w:sz="4" w:space="0"/>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4,668</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szCs w:val="16"/>
              </w:rPr>
            </w:pPr>
          </w:p>
        </w:tc>
        <w:tc>
          <w:tcPr>
            <w:tcW w:w="443" w:type="pct"/>
            <w:tcBorders>
              <w:top w:val="nil"/>
              <w:left w:val="nil"/>
              <w:bottom w:val="single" w:color="000000" w:sz="4" w:space="0"/>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4,668</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szCs w:val="16"/>
              </w:rPr>
            </w:pPr>
          </w:p>
        </w:tc>
        <w:tc>
          <w:tcPr>
            <w:tcW w:w="342" w:type="pct"/>
            <w:tcBorders>
              <w:top w:val="nil"/>
              <w:left w:val="nil"/>
              <w:bottom w:val="single" w:color="000000" w:sz="4" w:space="0"/>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c>
          <w:tcPr>
            <w:tcW w:w="74" w:type="pct"/>
            <w:tcBorders>
              <w:top w:val="nil"/>
              <w:left w:val="nil"/>
              <w:bottom w:val="nil"/>
              <w:right w:val="nil"/>
              <w:tl2br w:val="nil"/>
              <w:tr2bl w:val="nil"/>
            </w:tcBorders>
            <w:shd w:val="clear" w:color="auto" w:fill="CCEEFF"/>
            <w:noWrap/>
            <w:vAlign w:val="bottom"/>
          </w:tcPr>
          <w:p w:rsidR="009534E2" w:rsidRDefault="009534E2">
            <w:pPr>
              <w:keepNext/>
              <w:rPr>
                <w:rFonts w:asciiTheme="majorHAnsi" w:hAnsiTheme="majorHAnsi" w:cstheme="majorHAnsi"/>
                <w:color w:val="000000"/>
                <w:sz w:val="16"/>
                <w:szCs w:val="16"/>
              </w:rPr>
            </w:pPr>
          </w:p>
        </w:tc>
        <w:tc>
          <w:tcPr>
            <w:tcW w:w="424" w:type="pct"/>
            <w:tcBorders>
              <w:top w:val="nil"/>
              <w:left w:val="nil"/>
              <w:bottom w:val="single" w:color="000000" w:sz="4" w:space="0"/>
              <w:right w:val="nil"/>
              <w:tl2br w:val="nil"/>
              <w:tr2bl w:val="nil"/>
            </w:tcBorders>
            <w:shd w:val="clear" w:color="auto" w:fill="CCEEFF"/>
            <w:noWrap/>
            <w:vAlign w:val="bottom"/>
          </w:tcPr>
          <w:p w:rsidRPr="002931B3" w:rsidR="009534E2" w:rsidRDefault="003369EB">
            <w:pPr>
              <w:keepNext/>
              <w:ind w:right="60"/>
              <w:jc w:val="right"/>
              <w:rPr>
                <w:rFonts w:asciiTheme="majorHAnsi" w:hAnsiTheme="majorHAnsi" w:cstheme="majorHAnsi"/>
                <w:color w:val="000000"/>
                <w:sz w:val="16"/>
                <w:szCs w:val="16"/>
              </w:rPr>
            </w:pPr>
            <w:r w:rsidRPr="002931B3">
              <w:rPr>
                <w:rFonts w:eastAsia="Times New Roman" w:asciiTheme="majorHAnsi" w:hAnsiTheme="majorHAnsi" w:cstheme="majorHAnsi"/>
                <w:color w:val="000000"/>
                <w:sz w:val="16"/>
                <w:szCs w:val="16"/>
              </w:rPr>
              <w:t xml:space="preserve"> —</w:t>
            </w:r>
          </w:p>
        </w:tc>
      </w:tr>
      <w:bookmarkEnd w:id="3000"/>
      <w:bookmarkEnd w:id="3013"/>
      <w:bookmarkEnd w:id="3037"/>
    </w:tbl>
    <w:p w:rsidR="009534E2" w:rsidRDefault="009534E2">
      <w:pPr>
        <w:rPr>
          <w:rFonts w:asciiTheme="majorHAnsi" w:hAnsiTheme="majorHAnsi" w:cstheme="majorHAnsi"/>
          <w:sz w:val="16"/>
          <w:szCs w:val="16"/>
        </w:rPr>
      </w:pPr>
    </w:p>
    <w:p w:rsidR="009534E2" w:rsidRDefault="003369EB">
      <w:pPr>
        <w:pStyle w:val="BodyText"/>
        <w:spacing w:after="160"/>
        <w:rPr>
          <w:rFonts w:eastAsia="Times New Roman" w:asciiTheme="majorHAnsi" w:hAnsiTheme="majorHAnsi" w:cstheme="majorHAnsi"/>
          <w:lang w:eastAsia="ru-RU"/>
        </w:rPr>
      </w:pPr>
      <w:r>
        <w:rPr>
          <w:rFonts w:eastAsia="Times New Roman" w:asciiTheme="majorHAnsi" w:hAnsiTheme="majorHAnsi" w:cstheme="majorHAnsi"/>
          <w:lang w:eastAsia="ru-RU"/>
        </w:rPr>
        <w:t xml:space="preserve">There were </w:t>
      </w:r>
      <w:bookmarkStart w:name="_ab7d93f5_6ff0_4ba6_a3fc_37751bdc91e3" w:id="3038"/>
      <w:r w:rsidRPr="002931B3">
        <w:rPr>
          <w:rFonts w:eastAsia="Times New Roman" w:asciiTheme="majorHAnsi" w:hAnsiTheme="majorHAnsi" w:cstheme="majorHAnsi"/>
          <w:lang w:eastAsia="ru-RU"/>
        </w:rPr>
        <w:t>no</w:t>
      </w:r>
      <w:bookmarkEnd w:id="3038"/>
      <w:r>
        <w:rPr>
          <w:rFonts w:eastAsia="Times New Roman" w:asciiTheme="majorHAnsi" w:hAnsiTheme="majorHAnsi" w:cstheme="majorHAnsi"/>
          <w:lang w:eastAsia="ru-RU"/>
        </w:rPr>
        <w:t xml:space="preserve"> </w:t>
      </w:r>
      <w:bookmarkStart w:name="_e2be0935_4e13_4562_be94_b8b9cc6471c4" w:id="3039"/>
      <w:r w:rsidRPr="002931B3">
        <w:rPr>
          <w:rFonts w:eastAsia="Times New Roman" w:asciiTheme="majorHAnsi" w:hAnsiTheme="majorHAnsi" w:cstheme="majorHAnsi"/>
          <w:lang w:eastAsia="ru-RU"/>
        </w:rPr>
        <w:t>transfers</w:t>
      </w:r>
      <w:bookmarkEnd w:id="3039"/>
      <w:r>
        <w:rPr>
          <w:rFonts w:eastAsia="Times New Roman" w:asciiTheme="majorHAnsi" w:hAnsiTheme="majorHAnsi" w:cstheme="majorHAnsi"/>
          <w:lang w:eastAsia="ru-RU"/>
        </w:rPr>
        <w:t xml:space="preserve"> </w:t>
      </w:r>
      <w:bookmarkStart w:name="_cedb01d7_28f8_42ad_bcc8_f1b4836564a7" w:id="3040"/>
      <w:r w:rsidRPr="002931B3">
        <w:rPr>
          <w:rFonts w:eastAsia="Times New Roman" w:asciiTheme="majorHAnsi" w:hAnsiTheme="majorHAnsi" w:cstheme="majorHAnsi"/>
          <w:lang w:eastAsia="ru-RU"/>
        </w:rPr>
        <w:t>between</w:t>
      </w:r>
      <w:bookmarkEnd w:id="3040"/>
      <w:r>
        <w:rPr>
          <w:rFonts w:eastAsia="Times New Roman" w:asciiTheme="majorHAnsi" w:hAnsiTheme="majorHAnsi" w:cstheme="majorHAnsi"/>
          <w:lang w:eastAsia="ru-RU"/>
        </w:rPr>
        <w:t xml:space="preserve"> </w:t>
      </w:r>
      <w:bookmarkStart w:name="_74d33e0b_2eb9_4055_a658_cc70d9f41a45" w:id="3041"/>
      <w:bookmarkStart w:name="_668cbb3b_a059_4bf9_9f59_0325c4e26ae4" w:id="3042"/>
      <w:r w:rsidRPr="002931B3">
        <w:rPr>
          <w:rFonts w:eastAsia="Times New Roman" w:asciiTheme="majorHAnsi" w:hAnsiTheme="majorHAnsi" w:cstheme="majorHAnsi"/>
          <w:lang w:eastAsia="ru-RU"/>
        </w:rPr>
        <w:t>Level</w:t>
      </w:r>
      <w:bookmarkEnd w:id="3041"/>
      <w:r>
        <w:rPr>
          <w:rFonts w:eastAsia="Times New Roman" w:asciiTheme="majorHAnsi" w:hAnsiTheme="majorHAnsi" w:cstheme="majorHAnsi"/>
          <w:lang w:eastAsia="ru-RU"/>
        </w:rPr>
        <w:t xml:space="preserve"> 1</w:t>
      </w:r>
      <w:bookmarkEnd w:id="3042"/>
      <w:r>
        <w:rPr>
          <w:rFonts w:eastAsia="Times New Roman" w:asciiTheme="majorHAnsi" w:hAnsiTheme="majorHAnsi" w:cstheme="majorHAnsi"/>
          <w:lang w:eastAsia="ru-RU"/>
        </w:rPr>
        <w:t xml:space="preserve"> and </w:t>
      </w:r>
      <w:bookmarkStart w:name="_67565d88_c2df_4360_ae91_12ed3067d434" w:id="3043"/>
      <w:r>
        <w:rPr>
          <w:rFonts w:eastAsia="Times New Roman" w:asciiTheme="majorHAnsi" w:hAnsiTheme="majorHAnsi" w:cstheme="majorHAnsi"/>
          <w:lang w:eastAsia="ru-RU"/>
        </w:rPr>
        <w:t>Level 2</w:t>
      </w:r>
      <w:bookmarkEnd w:id="3043"/>
      <w:r>
        <w:rPr>
          <w:rFonts w:eastAsia="Times New Roman" w:asciiTheme="majorHAnsi" w:hAnsiTheme="majorHAnsi" w:cstheme="majorHAnsi"/>
          <w:lang w:eastAsia="ru-RU"/>
        </w:rPr>
        <w:t xml:space="preserve"> fair value </w:t>
      </w:r>
      <w:bookmarkStart w:name="_f80a8666_7997_4b0f_86e3_cf505d92e811" w:id="3044"/>
      <w:r w:rsidRPr="002931B3">
        <w:rPr>
          <w:rFonts w:eastAsia="Times New Roman" w:asciiTheme="majorHAnsi" w:hAnsiTheme="majorHAnsi" w:cstheme="majorHAnsi"/>
          <w:lang w:eastAsia="ru-RU"/>
        </w:rPr>
        <w:t>measurements</w:t>
      </w:r>
      <w:bookmarkEnd w:id="3044"/>
      <w:r>
        <w:rPr>
          <w:rFonts w:eastAsia="Times New Roman" w:asciiTheme="majorHAnsi" w:hAnsiTheme="majorHAnsi" w:cstheme="majorHAnsi"/>
          <w:lang w:eastAsia="ru-RU"/>
        </w:rPr>
        <w:t xml:space="preserve"> </w:t>
      </w:r>
      <w:bookmarkStart w:name="_24f530e5_3712_48bb_85c1_070e2d944468" w:id="3045"/>
      <w:r w:rsidRPr="002931B3">
        <w:rPr>
          <w:rFonts w:eastAsia="Times New Roman" w:asciiTheme="majorHAnsi" w:hAnsiTheme="majorHAnsi" w:cstheme="majorHAnsi"/>
          <w:lang w:eastAsia="ru-RU"/>
        </w:rPr>
        <w:t>and</w:t>
      </w:r>
      <w:bookmarkEnd w:id="3045"/>
      <w:r>
        <w:rPr>
          <w:rFonts w:eastAsia="Times New Roman" w:asciiTheme="majorHAnsi" w:hAnsiTheme="majorHAnsi" w:cstheme="majorHAnsi"/>
          <w:lang w:eastAsia="ru-RU"/>
        </w:rPr>
        <w:t xml:space="preserve"> </w:t>
      </w:r>
      <w:bookmarkStart w:name="_fafda25f_4f08_42ac_b290_227f34a99a96" w:id="3046"/>
      <w:r w:rsidRPr="002931B3">
        <w:rPr>
          <w:rFonts w:eastAsia="Times New Roman" w:asciiTheme="majorHAnsi" w:hAnsiTheme="majorHAnsi" w:cstheme="majorHAnsi"/>
          <w:lang w:eastAsia="ru-RU"/>
        </w:rPr>
        <w:t>no</w:t>
      </w:r>
      <w:bookmarkEnd w:id="3046"/>
      <w:r>
        <w:rPr>
          <w:rFonts w:eastAsia="Times New Roman" w:asciiTheme="majorHAnsi" w:hAnsiTheme="majorHAnsi" w:cstheme="majorHAnsi"/>
          <w:lang w:eastAsia="ru-RU"/>
        </w:rPr>
        <w:t xml:space="preserve"> </w:t>
      </w:r>
      <w:bookmarkStart w:name="_3c9397c3_1f4b_4f3c_b8fb_cd3174cb9627" w:id="3047"/>
      <w:r w:rsidRPr="002931B3">
        <w:rPr>
          <w:rFonts w:eastAsia="Times New Roman" w:asciiTheme="majorHAnsi" w:hAnsiTheme="majorHAnsi" w:cstheme="majorHAnsi"/>
          <w:lang w:eastAsia="ru-RU"/>
        </w:rPr>
        <w:t>transfers</w:t>
      </w:r>
      <w:bookmarkEnd w:id="3047"/>
      <w:r>
        <w:rPr>
          <w:rFonts w:eastAsia="Times New Roman" w:asciiTheme="majorHAnsi" w:hAnsiTheme="majorHAnsi" w:cstheme="majorHAnsi"/>
          <w:lang w:eastAsia="ru-RU"/>
        </w:rPr>
        <w:t xml:space="preserve"> </w:t>
      </w:r>
      <w:bookmarkStart w:name="_5fa6248f_7ffa_4b6d_8913_ff11cc585365" w:id="3048"/>
      <w:r>
        <w:rPr>
          <w:rFonts w:eastAsia="Times New Roman" w:asciiTheme="majorHAnsi" w:hAnsiTheme="majorHAnsi" w:cstheme="majorHAnsi"/>
          <w:lang w:eastAsia="ru-RU"/>
        </w:rPr>
        <w:t>into</w:t>
      </w:r>
      <w:bookmarkEnd w:id="3048"/>
      <w:r>
        <w:rPr>
          <w:rFonts w:eastAsia="Times New Roman" w:asciiTheme="majorHAnsi" w:hAnsiTheme="majorHAnsi" w:cstheme="majorHAnsi"/>
          <w:lang w:eastAsia="ru-RU"/>
        </w:rPr>
        <w:t xml:space="preserve"> </w:t>
      </w:r>
      <w:bookmarkStart w:name="_95e7e76b_8a29_40b6_a0df_8b2bbb9b7727" w:id="3049"/>
      <w:r>
        <w:rPr>
          <w:rFonts w:eastAsia="Times New Roman" w:asciiTheme="majorHAnsi" w:hAnsiTheme="majorHAnsi" w:cstheme="majorHAnsi"/>
          <w:lang w:eastAsia="ru-RU"/>
        </w:rPr>
        <w:t>or</w:t>
      </w:r>
      <w:bookmarkEnd w:id="3049"/>
      <w:r>
        <w:rPr>
          <w:rFonts w:eastAsia="Times New Roman" w:asciiTheme="majorHAnsi" w:hAnsiTheme="majorHAnsi" w:cstheme="majorHAnsi"/>
          <w:lang w:eastAsia="ru-RU"/>
        </w:rPr>
        <w:t xml:space="preserve"> out of Level 3 fair value measurements during the year</w:t>
      </w:r>
      <w:r w:rsidR="002931B3">
        <w:rPr>
          <w:rFonts w:eastAsia="Times New Roman" w:asciiTheme="majorHAnsi" w:hAnsiTheme="majorHAnsi" w:cstheme="majorHAnsi"/>
          <w:lang w:eastAsia="ru-RU"/>
        </w:rPr>
        <w:t>s</w:t>
      </w:r>
      <w:r>
        <w:rPr>
          <w:rFonts w:eastAsia="Times New Roman" w:asciiTheme="majorHAnsi" w:hAnsiTheme="majorHAnsi" w:cstheme="majorHAnsi"/>
          <w:lang w:eastAsia="ru-RU"/>
        </w:rPr>
        <w:t xml:space="preserve"> ended </w:t>
      </w:r>
      <w:r>
        <w:rPr>
          <w:rFonts w:eastAsia="Times New Roman" w:asciiTheme="majorHAnsi" w:hAnsiTheme="majorHAnsi" w:cstheme="majorHAnsi"/>
          <w:bCs/>
          <w:lang w:eastAsia="ru-RU"/>
        </w:rPr>
        <w:t>December 31</w:t>
      </w:r>
      <w:r>
        <w:rPr>
          <w:rFonts w:eastAsia="Times New Roman" w:asciiTheme="majorHAnsi" w:hAnsiTheme="majorHAnsi" w:cstheme="majorHAnsi"/>
          <w:lang w:eastAsia="ru-RU"/>
        </w:rPr>
        <w:t>, 2022 and 2021.</w:t>
      </w:r>
    </w:p>
    <w:p w:rsidR="009534E2" w:rsidRDefault="003369EB">
      <w:pPr>
        <w:pStyle w:val="BodyText"/>
        <w:keepNext/>
        <w:spacing w:after="160"/>
        <w:rPr>
          <w:rFonts w:eastAsia="Times New Roman" w:asciiTheme="majorHAnsi" w:hAnsiTheme="majorHAnsi" w:cstheme="majorHAnsi"/>
          <w:lang w:eastAsia="ru-RU"/>
        </w:rPr>
      </w:pPr>
      <w:r>
        <w:rPr>
          <w:rFonts w:eastAsia="Times New Roman" w:asciiTheme="majorHAnsi" w:hAnsiTheme="majorHAnsi" w:cstheme="majorHAnsi"/>
          <w:lang w:eastAsia="ru-RU"/>
        </w:rPr>
        <w:t>The Group uses the following IFRS hierarchy for determining and disclosing the fair value of financial instruments by valuation technique:</w:t>
      </w:r>
    </w:p>
    <w:p w:rsidR="009534E2" w:rsidRDefault="003369EB">
      <w:pPr>
        <w:pStyle w:val="ListParagraph"/>
        <w:numPr>
          <w:ilvl w:val="0"/>
          <w:numId w:val="61"/>
        </w:numPr>
        <w:ind w:left="360"/>
        <w:rPr>
          <w:rFonts w:eastAsia="Times New Roman" w:asciiTheme="majorHAnsi" w:hAnsiTheme="majorHAnsi" w:cstheme="majorHAnsi"/>
          <w:lang w:eastAsia="ru-RU"/>
        </w:rPr>
      </w:pPr>
      <w:r>
        <w:rPr>
          <w:rFonts w:eastAsia="Times New Roman" w:asciiTheme="majorHAnsi" w:hAnsiTheme="majorHAnsi" w:cstheme="majorHAnsi"/>
          <w:lang w:eastAsia="ru-RU"/>
        </w:rPr>
        <w:t>Level 1: Quoted (unadjusted) prices in active markets for identical assets or liabilities;</w:t>
      </w:r>
    </w:p>
    <w:p w:rsidR="009534E2" w:rsidRDefault="003369EB">
      <w:pPr>
        <w:pStyle w:val="ListParagraph"/>
        <w:numPr>
          <w:ilvl w:val="0"/>
          <w:numId w:val="61"/>
        </w:numPr>
        <w:ind w:left="360"/>
        <w:rPr>
          <w:rFonts w:eastAsia="Times New Roman" w:asciiTheme="majorHAnsi" w:hAnsiTheme="majorHAnsi" w:cstheme="majorHAnsi"/>
          <w:lang w:eastAsia="ru-RU"/>
        </w:rPr>
      </w:pPr>
      <w:r>
        <w:rPr>
          <w:rFonts w:eastAsia="Times New Roman" w:asciiTheme="majorHAnsi" w:hAnsiTheme="majorHAnsi" w:cstheme="majorHAnsi"/>
          <w:lang w:eastAsia="ru-RU"/>
        </w:rPr>
        <w:t>Level 2: Other techniques for which all inputs that have a significant effect on the recorded fair value are observable, either directly or indirectly;</w:t>
      </w:r>
    </w:p>
    <w:p w:rsidR="009534E2" w:rsidRDefault="003369EB">
      <w:pPr>
        <w:pStyle w:val="ListParagraph"/>
        <w:numPr>
          <w:ilvl w:val="0"/>
          <w:numId w:val="61"/>
        </w:numPr>
        <w:spacing w:after="240"/>
        <w:ind w:left="360"/>
        <w:rPr>
          <w:rFonts w:eastAsia="Times New Roman" w:asciiTheme="majorHAnsi" w:hAnsiTheme="majorHAnsi" w:cstheme="majorHAnsi"/>
          <w:lang w:eastAsia="ru-RU"/>
        </w:rPr>
      </w:pPr>
      <w:r>
        <w:rPr>
          <w:rFonts w:eastAsia="Times New Roman" w:asciiTheme="majorHAnsi" w:hAnsiTheme="majorHAnsi" w:cstheme="majorHAnsi"/>
          <w:lang w:eastAsia="ru-RU"/>
        </w:rPr>
        <w:t>Level 3: Techniques that use inputs that have a significant effect on the recorded fair value that are not based on observable market data.</w:t>
      </w:r>
    </w:p>
    <w:p w:rsidR="009534E2" w:rsidRDefault="003369EB">
      <w:pPr>
        <w:rPr>
          <w:rFonts w:eastAsia="Times New Roman" w:asciiTheme="majorHAnsi" w:hAnsiTheme="majorHAnsi" w:cstheme="majorHAnsi"/>
          <w:lang w:eastAsia="ru-RU"/>
        </w:rPr>
      </w:pPr>
      <w:r>
        <w:rPr>
          <w:rFonts w:eastAsia="Times New Roman" w:asciiTheme="majorHAnsi" w:hAnsiTheme="majorHAnsi" w:cstheme="majorHAnsi"/>
          <w:i/>
          <w:lang w:eastAsia="ru-RU"/>
        </w:rPr>
        <w:br w:type="page"/>
      </w:r>
    </w:p>
    <w:p w:rsidR="009534E2" w:rsidRDefault="003369EB">
      <w:pPr>
        <w:pStyle w:val="Heading2"/>
        <w:ind w:left="360" w:hanging="360"/>
        <w:rPr>
          <w:i w:val="0"/>
          <w:iCs/>
        </w:rPr>
      </w:pPr>
      <w:r>
        <w:rPr>
          <w:b/>
          <w:bCs/>
          <w:i w:val="0"/>
          <w:iCs/>
        </w:rPr>
        <w:t>31.</w:t>
      </w:r>
      <w:r>
        <w:rPr>
          <w:b/>
          <w:bCs/>
          <w:i w:val="0"/>
          <w:iCs/>
        </w:rPr>
        <w:tab/>
        <w:t>Financial instruments (continued)</w:t>
      </w:r>
    </w:p>
    <w:p w:rsidR="009534E2" w:rsidRDefault="003369EB">
      <w:pPr>
        <w:pStyle w:val="Heading2"/>
      </w:pPr>
      <w:r>
        <w:t>Valuation methods and assumptions</w:t>
      </w:r>
    </w:p>
    <w:p w:rsidR="009534E2" w:rsidRDefault="003369EB">
      <w:pPr>
        <w:pStyle w:val="BodyText"/>
        <w:keepNext/>
        <w:keepLines/>
        <w:rPr>
          <w:rFonts w:eastAsia="Times New Roman" w:asciiTheme="majorHAnsi" w:hAnsiTheme="majorHAnsi" w:cstheme="majorHAnsi"/>
          <w:lang w:eastAsia="ru-RU"/>
        </w:rPr>
      </w:pPr>
      <w:r>
        <w:rPr>
          <w:rFonts w:eastAsia="Times New Roman" w:asciiTheme="majorHAnsi" w:hAnsiTheme="majorHAnsi" w:cstheme="majorHAnsi"/>
          <w:lang w:eastAsia="ru-RU"/>
        </w:rPr>
        <w:t>The fair value</w:t>
      </w:r>
      <w:r w:rsidR="002931B3">
        <w:rPr>
          <w:rFonts w:eastAsia="Times New Roman" w:asciiTheme="majorHAnsi" w:hAnsiTheme="majorHAnsi" w:cstheme="majorHAnsi"/>
          <w:lang w:eastAsia="ru-RU"/>
        </w:rPr>
        <w:t>s</w:t>
      </w:r>
      <w:r>
        <w:rPr>
          <w:rFonts w:eastAsia="Times New Roman" w:asciiTheme="majorHAnsi" w:hAnsiTheme="majorHAnsi" w:cstheme="majorHAnsi"/>
          <w:lang w:eastAsia="ru-RU"/>
        </w:rPr>
        <w:t xml:space="preserve"> of the financial assets and liabilities are evaluated at the amount the instrument could be exchanged in a current transaction between willing parties, other than in a forced or liquidation sale.</w:t>
      </w:r>
    </w:p>
    <w:p w:rsidR="009534E2" w:rsidRDefault="003369EB">
      <w:pPr>
        <w:pStyle w:val="BodyText"/>
        <w:spacing w:after="240"/>
        <w:rPr>
          <w:rFonts w:eastAsia="Times New Roman" w:asciiTheme="majorHAnsi" w:hAnsiTheme="majorHAnsi" w:cstheme="majorHAnsi"/>
          <w:iCs/>
        </w:rPr>
      </w:pPr>
      <w:r>
        <w:rPr>
          <w:rFonts w:eastAsia="Times New Roman" w:asciiTheme="majorHAnsi" w:hAnsiTheme="majorHAnsi" w:cstheme="majorHAnsi"/>
          <w:iCs/>
          <w:szCs w:val="26"/>
          <w:lang w:eastAsia="ru-RU"/>
        </w:rPr>
        <w:t>Long-term fixed-rate loans issued are evaluated by the Group based on parameters such as interest rates, terms of maturity, specific country and industry risk factors and individual creditworthiness of the customer. With regard to the level 3 assessment of fair value of loans issued, management believes that no reasonably possible change in any of the unobservable inputs would be sensitive for the fair value of these assets.</w:t>
      </w:r>
    </w:p>
    <w:p w:rsidR="009534E2" w:rsidRDefault="003369EB">
      <w:pPr>
        <w:pStyle w:val="BodyText"/>
        <w:spacing w:after="0"/>
        <w:rPr>
          <w:rFonts w:eastAsia="Times New Roman" w:asciiTheme="majorHAnsi" w:hAnsiTheme="majorHAnsi" w:cstheme="majorHAnsi"/>
        </w:rPr>
      </w:pPr>
      <w:r>
        <w:rPr>
          <w:rFonts w:eastAsia="Times New Roman" w:asciiTheme="majorHAnsi" w:hAnsiTheme="majorHAnsi" w:cstheme="majorHAnsi"/>
        </w:rPr>
        <w:t xml:space="preserve">Option received from ADAH is evaluated by the Group using the Binominal option pricing model. As at December 31, 2022 the most significant unobservable inputs for the model were volatility </w:t>
      </w:r>
      <w:bookmarkStart w:name="_a78e9791_bfee_4586_882e_b04c14916ead" w:id="3050"/>
      <w:r w:rsidRPr="002931B3">
        <w:rPr>
          <w:rFonts w:eastAsia="Times New Roman" w:asciiTheme="majorHAnsi" w:hAnsiTheme="majorHAnsi" w:cstheme="majorHAnsi"/>
        </w:rPr>
        <w:t>(55%)</w:t>
      </w:r>
      <w:bookmarkEnd w:id="3050"/>
      <w:r>
        <w:rPr>
          <w:rFonts w:eastAsia="Times New Roman" w:asciiTheme="majorHAnsi" w:hAnsiTheme="majorHAnsi" w:cstheme="majorHAnsi"/>
        </w:rPr>
        <w:t xml:space="preserve"> and risk free rate </w:t>
      </w:r>
      <w:bookmarkStart w:name="_1ef362b3_ea72_4b86_bcea_19cd88611ef2" w:id="3051"/>
      <w:r w:rsidRPr="002931B3">
        <w:rPr>
          <w:rFonts w:eastAsia="Times New Roman" w:asciiTheme="majorHAnsi" w:hAnsiTheme="majorHAnsi" w:cstheme="majorHAnsi"/>
        </w:rPr>
        <w:t>(4.7%)</w:t>
      </w:r>
      <w:bookmarkEnd w:id="3051"/>
      <w:r>
        <w:rPr>
          <w:rFonts w:eastAsia="Times New Roman" w:asciiTheme="majorHAnsi" w:hAnsiTheme="majorHAnsi" w:cstheme="majorHAnsi"/>
        </w:rPr>
        <w:t xml:space="preserve">. Increase (decrease) in the volatility by </w:t>
      </w:r>
      <w:bookmarkStart w:name="_2fab190e_7361_4644_801b_2830f831f505" w:id="3052"/>
      <w:r w:rsidRPr="002931B3">
        <w:rPr>
          <w:rFonts w:eastAsia="Times New Roman" w:asciiTheme="majorHAnsi" w:hAnsiTheme="majorHAnsi" w:cstheme="majorHAnsi"/>
        </w:rPr>
        <w:t>5%</w:t>
      </w:r>
      <w:bookmarkEnd w:id="3052"/>
      <w:r>
        <w:rPr>
          <w:rFonts w:eastAsia="Times New Roman" w:asciiTheme="majorHAnsi" w:hAnsiTheme="majorHAnsi" w:cstheme="majorHAnsi"/>
        </w:rPr>
        <w:t xml:space="preserve"> </w:t>
      </w:r>
      <w:bookmarkStart w:name="_7800b0e0_8f8e_4478_931b_e3908e81cbd6" w:id="3053"/>
      <w:r w:rsidRPr="002931B3">
        <w:rPr>
          <w:rFonts w:eastAsia="Times New Roman" w:asciiTheme="majorHAnsi" w:hAnsiTheme="majorHAnsi" w:cstheme="majorHAnsi"/>
        </w:rPr>
        <w:t>would</w:t>
      </w:r>
      <w:bookmarkEnd w:id="3053"/>
      <w:r>
        <w:rPr>
          <w:rFonts w:eastAsia="Times New Roman" w:asciiTheme="majorHAnsi" w:hAnsiTheme="majorHAnsi" w:cstheme="majorHAnsi"/>
        </w:rPr>
        <w:t xml:space="preserve"> result in an increase (decrease) in fair </w:t>
      </w:r>
      <w:bookmarkStart w:name="_fdf56a23_ade1_4470_8ac2_149717356766" w:id="3054"/>
      <w:r w:rsidRPr="002931B3">
        <w:rPr>
          <w:rFonts w:eastAsia="Times New Roman" w:asciiTheme="majorHAnsi" w:hAnsiTheme="majorHAnsi" w:cstheme="majorHAnsi"/>
        </w:rPr>
        <w:t>value</w:t>
      </w:r>
      <w:bookmarkEnd w:id="3054"/>
      <w:r>
        <w:rPr>
          <w:rFonts w:eastAsia="Times New Roman" w:asciiTheme="majorHAnsi" w:hAnsiTheme="majorHAnsi" w:cstheme="majorHAnsi"/>
        </w:rPr>
        <w:t xml:space="preserve"> by </w:t>
      </w:r>
      <w:bookmarkStart w:name="_03bc0d88_8f96_4425_88d8_e420fac784bc" w:id="3055"/>
      <w:r w:rsidRPr="002931B3">
        <w:rPr>
          <w:rFonts w:eastAsia="Times New Roman" w:asciiTheme="majorHAnsi" w:hAnsiTheme="majorHAnsi" w:cstheme="majorHAnsi"/>
        </w:rPr>
        <w:t>30</w:t>
      </w:r>
      <w:bookmarkEnd w:id="3055"/>
      <w:r>
        <w:rPr>
          <w:rFonts w:eastAsia="Times New Roman" w:asciiTheme="majorHAnsi" w:hAnsiTheme="majorHAnsi" w:cstheme="majorHAnsi"/>
        </w:rPr>
        <w:t xml:space="preserve">. Increase (decrease) in risk free rate by </w:t>
      </w:r>
      <w:bookmarkStart w:name="_50179e4e_97e8_48c1_96d0_523f43acb0aa" w:id="3056"/>
      <w:r w:rsidRPr="002931B3">
        <w:rPr>
          <w:rFonts w:eastAsia="Times New Roman" w:asciiTheme="majorHAnsi" w:hAnsiTheme="majorHAnsi" w:cstheme="majorHAnsi"/>
        </w:rPr>
        <w:t>1%</w:t>
      </w:r>
      <w:bookmarkEnd w:id="3056"/>
      <w:r>
        <w:rPr>
          <w:rFonts w:eastAsia="Times New Roman" w:asciiTheme="majorHAnsi" w:hAnsiTheme="majorHAnsi" w:cstheme="majorHAnsi"/>
        </w:rPr>
        <w:t xml:space="preserve"> </w:t>
      </w:r>
      <w:bookmarkStart w:name="_56e17837_cce5_4354_811f_e0c1c66146db" w:id="3057"/>
      <w:r w:rsidRPr="002931B3">
        <w:rPr>
          <w:rFonts w:eastAsia="Times New Roman" w:asciiTheme="majorHAnsi" w:hAnsiTheme="majorHAnsi" w:cstheme="majorHAnsi"/>
        </w:rPr>
        <w:t>would</w:t>
      </w:r>
      <w:bookmarkEnd w:id="3057"/>
      <w:r>
        <w:rPr>
          <w:rFonts w:eastAsia="Times New Roman" w:asciiTheme="majorHAnsi" w:hAnsiTheme="majorHAnsi" w:cstheme="majorHAnsi"/>
        </w:rPr>
        <w:t xml:space="preserve"> result in an increase (decrease) in fair </w:t>
      </w:r>
      <w:bookmarkStart w:name="_63129fda_c036_4a30_80d8_f3f3844d4b2d" w:id="3058"/>
      <w:r w:rsidRPr="002931B3">
        <w:rPr>
          <w:rFonts w:eastAsia="Times New Roman" w:asciiTheme="majorHAnsi" w:hAnsiTheme="majorHAnsi" w:cstheme="majorHAnsi"/>
        </w:rPr>
        <w:t>value</w:t>
      </w:r>
      <w:bookmarkEnd w:id="3058"/>
      <w:r>
        <w:rPr>
          <w:rFonts w:eastAsia="Times New Roman" w:asciiTheme="majorHAnsi" w:hAnsiTheme="majorHAnsi" w:cstheme="majorHAnsi"/>
        </w:rPr>
        <w:t xml:space="preserve"> by </w:t>
      </w:r>
      <w:bookmarkStart w:name="_4c539f03_262d_4a81_8c04_c485db6cac03" w:id="3059"/>
      <w:r w:rsidRPr="002931B3">
        <w:rPr>
          <w:rFonts w:eastAsia="Times New Roman" w:asciiTheme="majorHAnsi" w:hAnsiTheme="majorHAnsi" w:cstheme="majorHAnsi"/>
        </w:rPr>
        <w:t>8</w:t>
      </w:r>
      <w:bookmarkEnd w:id="3059"/>
      <w:r>
        <w:rPr>
          <w:rFonts w:eastAsia="Times New Roman" w:asciiTheme="majorHAnsi" w:hAnsiTheme="majorHAnsi" w:cstheme="majorHAnsi"/>
        </w:rPr>
        <w:t>.</w:t>
      </w:r>
    </w:p>
    <w:p w:rsidR="009534E2" w:rsidRDefault="009534E2">
      <w:pPr>
        <w:rPr>
          <w:rFonts w:eastAsia="Times New Roman" w:asciiTheme="majorHAnsi" w:hAnsiTheme="majorHAnsi" w:cstheme="majorHAnsi"/>
        </w:rPr>
      </w:pPr>
    </w:p>
    <w:p w:rsidR="009534E2" w:rsidRDefault="003369EB">
      <w:pPr>
        <w:pStyle w:val="BodyText"/>
        <w:keepNext/>
        <w:keepLines/>
        <w:spacing w:after="0"/>
        <w:ind w:left="360" w:hanging="360"/>
        <w:rPr>
          <w:rFonts w:asciiTheme="majorHAnsi" w:hAnsiTheme="majorHAnsi" w:cstheme="majorHAnsi"/>
          <w:b/>
          <w:bCs/>
          <w:lang w:eastAsia="ru-RU"/>
        </w:rPr>
      </w:pPr>
      <w:r>
        <w:rPr>
          <w:rFonts w:asciiTheme="majorHAnsi" w:hAnsiTheme="majorHAnsi" w:cstheme="majorHAnsi"/>
          <w:b/>
          <w:bCs/>
          <w:lang w:eastAsia="ru-RU"/>
        </w:rPr>
        <w:t>32.</w:t>
      </w:r>
      <w:r>
        <w:rPr>
          <w:rFonts w:asciiTheme="majorHAnsi" w:hAnsiTheme="majorHAnsi" w:cstheme="majorHAnsi"/>
          <w:b/>
          <w:bCs/>
          <w:lang w:eastAsia="ru-RU"/>
        </w:rPr>
        <w:tab/>
        <w:t>Events after the reporting date</w:t>
      </w:r>
    </w:p>
    <w:p w:rsidR="009534E2" w:rsidRDefault="009534E2">
      <w:pPr>
        <w:pStyle w:val="BodyText"/>
        <w:keepNext/>
        <w:spacing w:after="0"/>
        <w:ind w:left="360" w:hanging="360"/>
        <w:rPr>
          <w:rFonts w:asciiTheme="majorHAnsi" w:hAnsiTheme="majorHAnsi" w:cstheme="majorHAnsi"/>
          <w:lang w:eastAsia="ru-RU"/>
        </w:rPr>
      </w:pPr>
    </w:p>
    <w:p w:rsidR="009534E2" w:rsidRDefault="003369EB">
      <w:pPr>
        <w:pStyle w:val="BodyText"/>
        <w:spacing w:after="0"/>
        <w:rPr>
          <w:rFonts w:asciiTheme="majorHAnsi" w:hAnsiTheme="majorHAnsi" w:cstheme="majorHAnsi"/>
          <w:lang w:eastAsia="ru-RU"/>
        </w:rPr>
      </w:pPr>
      <w:r>
        <w:rPr>
          <w:rFonts w:asciiTheme="majorHAnsi" w:hAnsiTheme="majorHAnsi" w:cstheme="majorHAnsi"/>
          <w:lang w:eastAsia="ru-RU"/>
        </w:rPr>
        <w:t xml:space="preserve">The Group is not aware of any events that occurred between January 01, 2023 and the </w:t>
      </w:r>
      <w:r w:rsidR="002931B3">
        <w:rPr>
          <w:rFonts w:asciiTheme="majorHAnsi" w:hAnsiTheme="majorHAnsi" w:cstheme="majorHAnsi"/>
          <w:lang w:eastAsia="ru-RU"/>
        </w:rPr>
        <w:t xml:space="preserve">date of </w:t>
      </w:r>
      <w:r>
        <w:rPr>
          <w:rFonts w:asciiTheme="majorHAnsi" w:hAnsiTheme="majorHAnsi" w:cstheme="majorHAnsi"/>
          <w:lang w:eastAsia="ru-RU"/>
        </w:rPr>
        <w:t>issue of these consolidated financial statements that have had or may have an impact on its financial condition, cash flows or results of operations.</w:t>
      </w:r>
    </w:p>
    <w:p w:rsidR="009534E2" w:rsidRDefault="00EC0AE1">
      <w:pPr>
        <w:pStyle w:val="BodyText"/>
        <w:spacing w:after="0"/>
        <w:ind w:left="360" w:hanging="360"/>
        <w:rPr>
          <w:rFonts w:eastAsia="Times New Roman" w:asciiTheme="majorHAnsi" w:hAnsiTheme="majorHAnsi" w:cstheme="majorHAnsi"/>
        </w:rPr>
      </w:pPr>
    </w:p>
    <w:p w:rsidR="009534E2" w:rsidRDefault="009534E2">
      <w:pPr>
        <w:rPr>
          <w:rFonts w:eastAsia="Times New Roman" w:asciiTheme="majorHAnsi" w:hAnsiTheme="majorHAnsi" w:cstheme="majorHAnsi"/>
        </w:rPr>
        <w:sectPr w:rsidR="009534E2">
          <w:headerReference w:type="default" r:id="rId40"/>
          <w:headerReference w:type="first" r:id="rId41"/>
          <w:footerReference w:type="first" r:id="rId42"/>
          <w:pgSz w:w="12240" w:h="15840" w:code="1"/>
          <w:pgMar w:top="720" w:right="720" w:bottom="720" w:left="720" w:header="720" w:footer="720" w:gutter="0"/>
          <w:cols w:space="720"/>
          <w:docGrid w:linePitch="360"/>
        </w:sectPr>
      </w:pPr>
    </w:p>
    <w:p w:rsidR="009534E2" w:rsidRDefault="009534E2">
      <w:pPr>
        <w:rPr>
          <w:rFonts w:eastAsia="Times New Roman" w:asciiTheme="majorHAnsi" w:hAnsiTheme="majorHAnsi" w:cstheme="majorHAnsi"/>
        </w:rPr>
      </w:pPr>
    </w:p>
    <w:p w:rsidR="009534E2" w:rsidRDefault="009534E2">
      <w:pPr>
        <w:rPr>
          <w:rFonts w:asciiTheme="majorHAnsi" w:hAnsiTheme="majorHAnsi" w:cstheme="majorHAnsi"/>
          <w:sz w:val="2"/>
        </w:rPr>
      </w:pPr>
    </w:p>
    <w:p w:rsidR="009534E2" w:rsidRDefault="003369EB">
      <w:pPr>
        <w:jc w:val="center"/>
        <w:rPr>
          <w:rFonts w:ascii="Times New Roman" w:hAnsi="Times New Roman" w:eastAsia="Times New Roman" w:cs="Times New Roman"/>
          <w:bCs/>
        </w:rPr>
      </w:pPr>
      <w:r>
        <w:rPr>
          <w:rFonts w:ascii="Times New Roman" w:hAnsi="Times New Roman" w:eastAsia="Times New Roman" w:cs="Times New Roman"/>
          <w:b/>
          <w:bCs/>
          <w:color w:val="000000"/>
        </w:rPr>
        <w:t>SIGNATURES</w:t>
      </w:r>
    </w:p>
    <w:p w:rsidR="009534E2" w:rsidRDefault="009534E2">
      <w:pPr>
        <w:jc w:val="center"/>
        <w:rPr>
          <w:rFonts w:ascii="Times New Roman" w:hAnsi="Times New Roman" w:eastAsia="Times New Roman" w:cs="Times New Roman"/>
        </w:rPr>
      </w:pPr>
    </w:p>
    <w:p w:rsidR="009534E2" w:rsidRDefault="003369EB">
      <w:pPr>
        <w:ind w:firstLine="461"/>
        <w:rPr>
          <w:rFonts w:ascii="Times New Roman" w:hAnsi="Times New Roman" w:eastAsia="Times New Roman" w:cs="Times New Roman"/>
        </w:rPr>
      </w:pPr>
      <w:r>
        <w:rPr>
          <w:rFonts w:ascii="Times New Roman" w:hAnsi="Times New Roman" w:eastAsia="Times New Roman" w:cs="Times New Roman"/>
          <w:color w:val="000000"/>
        </w:rPr>
        <w:t>The registrant hereby certifies that it meets all of the requirements for filing on Form 20-F and that it has duly caused and authorized the undersigned to sign this registration statement on its behalf.</w:t>
      </w:r>
    </w:p>
    <w:p w:rsidR="009534E2" w:rsidRDefault="003369EB">
      <w:pPr>
        <w:spacing w:after="240"/>
        <w:rPr>
          <w:rFonts w:ascii="Times New Roman" w:hAnsi="Times New Roman" w:eastAsia="Times New Roman" w:cs="Times New Roman"/>
        </w:rPr>
      </w:pPr>
      <w:r>
        <w:rPr>
          <w:rFonts w:ascii="Times New Roman" w:hAnsi="Times New Roman" w:eastAsia="Times New Roman" w:cs="Times New Roman"/>
          <w:color w:val="000000"/>
        </w:rPr>
        <w:t>QIWI PLC</w:t>
      </w:r>
    </w:p>
    <w:tbl>
      <w:tblPr>
        <w:tblW w:w="5000" w:type="pct"/>
        <w:jc w:val="center"/>
        <w:tblCellMar>
          <w:left w:w="0" w:type="dxa"/>
          <w:right w:w="0" w:type="dxa"/>
        </w:tblCellMar>
        <w:tblLook w:val="04A0" w:firstRow="1" w:lastRow="0" w:firstColumn="1" w:lastColumn="0" w:noHBand="0" w:noVBand="1"/>
      </w:tblPr>
      <w:tblGrid>
        <w:gridCol w:w="610"/>
        <w:gridCol w:w="4879"/>
        <w:gridCol w:w="5311"/>
      </w:tblGrid>
      <w:tr w:rsidR="009534E2">
        <w:trPr>
          <w:cantSplit/>
          <w:jc w:val="center"/>
        </w:trPr>
        <w:tc>
          <w:tcPr>
            <w:tcW w:w="2541" w:type="pct"/>
            <w:gridSpan w:val="2"/>
            <w:vAlign w:val="bottom"/>
            <w:hideMark/>
          </w:tcPr>
          <w:p w:rsidR="009534E2" w:rsidRDefault="003369EB">
            <w:pPr>
              <w:keepNext/>
              <w:ind w:left="144" w:hanging="144"/>
              <w:rPr>
                <w:rFonts w:ascii="Times New Roman" w:hAnsi="Times New Roman" w:eastAsia="Times New Roman" w:cs="Times New Roman"/>
                <w:color w:val="000000"/>
              </w:rPr>
            </w:pPr>
            <w:bookmarkStart w:name="_834e7f0c_ec98_40aa_9ece_d1cfea4d3608" w:id="3060"/>
            <w:bookmarkStart w:name="_698df95b_1d2d_4760_b7e1_7be4937ac75c" w:id="3061"/>
            <w:bookmarkEnd w:id="3060"/>
            <w:r>
              <w:rPr>
                <w:rFonts w:ascii="Times New Roman" w:hAnsi="Times New Roman" w:eastAsia="Times New Roman" w:cs="Times New Roman"/>
                <w:color w:val="000000"/>
              </w:rPr>
              <w:t>By:</w:t>
            </w:r>
            <w:r w:rsidR="001F5A48">
              <w:rPr>
                <w:rFonts w:ascii="Times New Roman" w:hAnsi="Times New Roman" w:eastAsia="Times New Roman" w:cs="Times New Roman"/>
                <w:color w:val="000000"/>
              </w:rPr>
              <w:t xml:space="preserve"> /s/ </w:t>
            </w:r>
            <w:r w:rsidR="001F5A48">
              <w:rPr>
                <w:rFonts w:ascii="Times New Roman" w:hAnsi="Times New Roman" w:eastAsia="Times New Roman" w:cs="Times New Roman"/>
                <w:color w:val="000000"/>
              </w:rPr>
              <w:t>Andrey Protopopov</w:t>
            </w:r>
          </w:p>
        </w:tc>
        <w:tc>
          <w:tcPr>
            <w:tcW w:w="2459" w:type="pct"/>
            <w:noWrap/>
            <w:vAlign w:val="bottom"/>
            <w:hideMark/>
          </w:tcPr>
          <w:p w:rsidR="009534E2" w:rsidRDefault="003369EB">
            <w:pPr>
              <w:keepNext/>
              <w:jc w:val="right"/>
              <w:rPr>
                <w:rFonts w:ascii="Times New Roman" w:hAnsi="Times New Roman" w:eastAsia="Times New Roman" w:cs="Times New Roman"/>
                <w:color w:val="000000"/>
              </w:rPr>
            </w:pPr>
            <w:r>
              <w:rPr>
                <w:rFonts w:ascii="Times New Roman" w:hAnsi="Times New Roman" w:eastAsia="Times New Roman" w:cs="Times New Roman"/>
                <w:color w:val="000000"/>
              </w:rPr>
              <w:t>  </w:t>
            </w:r>
          </w:p>
        </w:tc>
      </w:tr>
      <w:tr w:rsidR="009534E2">
        <w:trPr>
          <w:cantSplit/>
          <w:jc w:val="center"/>
        </w:trPr>
        <w:tc>
          <w:tcPr>
            <w:tcW w:w="282" w:type="pct"/>
            <w:vAlign w:val="bottom"/>
            <w:hideMark/>
          </w:tcPr>
          <w:p w:rsidR="009534E2" w:rsidRDefault="003369EB">
            <w:pPr>
              <w:keepNext/>
              <w:ind w:left="144" w:hanging="144"/>
              <w:rPr>
                <w:rFonts w:ascii="Times New Roman" w:hAnsi="Times New Roman" w:eastAsia="Times New Roman" w:cs="Times New Roman"/>
                <w:color w:val="000000"/>
              </w:rPr>
            </w:pPr>
            <w:r>
              <w:rPr>
                <w:rFonts w:ascii="Times New Roman" w:hAnsi="Times New Roman" w:eastAsia="Times New Roman" w:cs="Times New Roman"/>
                <w:color w:val="000000"/>
              </w:rPr>
              <w:t xml:space="preserve">Name: </w:t>
            </w:r>
          </w:p>
        </w:tc>
        <w:tc>
          <w:tcPr>
            <w:tcW w:w="2259" w:type="pct"/>
            <w:vAlign w:val="bottom"/>
            <w:hideMark/>
          </w:tcPr>
          <w:p w:rsidR="009534E2" w:rsidRDefault="003369EB">
            <w:pPr>
              <w:keepNext/>
              <w:ind w:left="144" w:hanging="144"/>
              <w:rPr>
                <w:rFonts w:ascii="Times New Roman" w:hAnsi="Times New Roman" w:eastAsia="Times New Roman" w:cs="Times New Roman"/>
                <w:color w:val="000000"/>
              </w:rPr>
            </w:pPr>
            <w:r>
              <w:rPr>
                <w:rFonts w:ascii="Times New Roman" w:hAnsi="Times New Roman" w:eastAsia="Times New Roman" w:cs="Times New Roman"/>
                <w:color w:val="000000"/>
              </w:rPr>
              <w:t>Andrey Protopopov</w:t>
            </w:r>
          </w:p>
        </w:tc>
        <w:tc>
          <w:tcPr>
            <w:tcW w:w="2459" w:type="pct"/>
            <w:noWrap/>
            <w:vAlign w:val="bottom"/>
            <w:hideMark/>
          </w:tcPr>
          <w:p w:rsidR="009534E2" w:rsidRDefault="003369EB">
            <w:pPr>
              <w:keepNext/>
              <w:jc w:val="right"/>
              <w:rPr>
                <w:rFonts w:ascii="Times New Roman" w:hAnsi="Times New Roman" w:eastAsia="Times New Roman" w:cs="Times New Roman"/>
                <w:color w:val="000000"/>
              </w:rPr>
            </w:pPr>
            <w:r>
              <w:rPr>
                <w:rFonts w:ascii="Times New Roman" w:hAnsi="Times New Roman" w:eastAsia="Times New Roman" w:cs="Times New Roman"/>
                <w:color w:val="000000"/>
              </w:rPr>
              <w:t>  </w:t>
            </w:r>
          </w:p>
        </w:tc>
      </w:tr>
      <w:tr w:rsidR="009534E2">
        <w:trPr>
          <w:cantSplit/>
          <w:jc w:val="center"/>
        </w:trPr>
        <w:tc>
          <w:tcPr>
            <w:tcW w:w="282" w:type="pct"/>
            <w:vAlign w:val="bottom"/>
            <w:hideMark/>
          </w:tcPr>
          <w:p w:rsidR="009534E2" w:rsidRDefault="003369EB">
            <w:pPr>
              <w:keepNext/>
              <w:ind w:left="144" w:hanging="144"/>
              <w:rPr>
                <w:rFonts w:ascii="Times New Roman" w:hAnsi="Times New Roman" w:eastAsia="Times New Roman" w:cs="Times New Roman"/>
                <w:color w:val="000000"/>
              </w:rPr>
            </w:pPr>
            <w:r>
              <w:rPr>
                <w:rFonts w:ascii="Times New Roman" w:hAnsi="Times New Roman" w:eastAsia="Times New Roman" w:cs="Times New Roman"/>
                <w:color w:val="000000"/>
              </w:rPr>
              <w:t xml:space="preserve">Title: </w:t>
            </w:r>
          </w:p>
        </w:tc>
        <w:tc>
          <w:tcPr>
            <w:tcW w:w="2259" w:type="pct"/>
            <w:vAlign w:val="bottom"/>
            <w:hideMark/>
          </w:tcPr>
          <w:p w:rsidR="009534E2" w:rsidRDefault="003369EB">
            <w:pPr>
              <w:keepNext/>
              <w:ind w:left="144" w:hanging="144"/>
              <w:rPr>
                <w:rFonts w:ascii="Times New Roman" w:hAnsi="Times New Roman" w:eastAsia="Times New Roman" w:cs="Times New Roman"/>
                <w:color w:val="000000"/>
              </w:rPr>
            </w:pPr>
            <w:r>
              <w:rPr>
                <w:rFonts w:ascii="Times New Roman" w:hAnsi="Times New Roman" w:eastAsia="Times New Roman" w:cs="Times New Roman"/>
                <w:color w:val="000000"/>
              </w:rPr>
              <w:t>Chief Executive Officer</w:t>
            </w:r>
          </w:p>
        </w:tc>
        <w:tc>
          <w:tcPr>
            <w:tcW w:w="2459" w:type="pct"/>
            <w:noWrap/>
            <w:vAlign w:val="bottom"/>
            <w:hideMark/>
          </w:tcPr>
          <w:p w:rsidR="009534E2" w:rsidRDefault="003369EB">
            <w:pPr>
              <w:keepNext/>
              <w:jc w:val="right"/>
              <w:rPr>
                <w:rFonts w:ascii="Times New Roman" w:hAnsi="Times New Roman" w:eastAsia="Times New Roman" w:cs="Times New Roman"/>
                <w:color w:val="000000"/>
              </w:rPr>
            </w:pPr>
            <w:r>
              <w:rPr>
                <w:rFonts w:ascii="Times New Roman" w:hAnsi="Times New Roman" w:eastAsia="Times New Roman" w:cs="Times New Roman"/>
                <w:color w:val="000000"/>
              </w:rPr>
              <w:t>  </w:t>
            </w:r>
          </w:p>
        </w:tc>
      </w:tr>
      <w:tr w:rsidR="009534E2">
        <w:trPr>
          <w:cantSplit/>
          <w:jc w:val="center"/>
        </w:trPr>
        <w:tc>
          <w:tcPr>
            <w:tcW w:w="282" w:type="pct"/>
            <w:vAlign w:val="bottom"/>
            <w:hideMark/>
          </w:tcPr>
          <w:p w:rsidR="009534E2" w:rsidRDefault="003369EB">
            <w:pPr>
              <w:keepNext/>
              <w:ind w:left="144" w:hanging="144"/>
              <w:rPr>
                <w:rFonts w:ascii="Times New Roman" w:hAnsi="Times New Roman" w:eastAsia="Times New Roman" w:cs="Times New Roman"/>
                <w:color w:val="000000"/>
              </w:rPr>
            </w:pPr>
            <w:r>
              <w:rPr>
                <w:rFonts w:ascii="Times New Roman" w:hAnsi="Times New Roman" w:eastAsia="Times New Roman" w:cs="Times New Roman"/>
                <w:color w:val="000000"/>
              </w:rPr>
              <w:t xml:space="preserve">Date: </w:t>
            </w:r>
          </w:p>
        </w:tc>
        <w:tc>
          <w:tcPr>
            <w:tcW w:w="2259" w:type="pct"/>
            <w:vAlign w:val="bottom"/>
            <w:hideMark/>
          </w:tcPr>
          <w:p w:rsidR="009534E2" w:rsidRDefault="003369EB">
            <w:pPr>
              <w:keepNext/>
              <w:ind w:left="144" w:hanging="144"/>
              <w:rPr>
                <w:rFonts w:ascii="Times New Roman" w:hAnsi="Times New Roman" w:eastAsia="Times New Roman" w:cs="Times New Roman"/>
                <w:color w:val="000000"/>
              </w:rPr>
            </w:pPr>
            <w:r>
              <w:rPr>
                <w:rFonts w:ascii="Times New Roman" w:hAnsi="Times New Roman" w:eastAsia="Times New Roman" w:cs="Times New Roman"/>
                <w:color w:val="000000"/>
              </w:rPr>
              <w:t>March 31, 2023</w:t>
            </w:r>
          </w:p>
        </w:tc>
        <w:tc>
          <w:tcPr>
            <w:tcW w:w="2459" w:type="pct"/>
            <w:vAlign w:val="center"/>
            <w:hideMark/>
          </w:tcPr>
          <w:p w:rsidR="009534E2" w:rsidRDefault="009534E2">
            <w:pPr>
              <w:keepNext/>
              <w:rPr>
                <w:rFonts w:ascii="Times New Roman" w:hAnsi="Times New Roman" w:eastAsia="Times New Roman" w:cs="Times New Roman"/>
                <w:color w:val="000000"/>
              </w:rPr>
            </w:pPr>
          </w:p>
        </w:tc>
      </w:tr>
    </w:tbl>
    <w:bookmarkEnd w:displacedByCustomXml="next" w:id="3061"/>
    <w:sectPr w:rsidR="009534E2">
      <w:footerReference w:type="default" r:id="rId4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0AE1" w:rsidRDefault="00EC0AE1">
      <w:r>
        <w:separator/>
      </w:r>
    </w:p>
  </w:endnote>
  <w:endnote w:type="continuationSeparator" w:id="0">
    <w:p w:rsidR="00EC0AE1" w:rsidRDefault="00EC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ヒラギノ角ゴ Pro W3">
    <w:altName w:val="Calibri"/>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79538"/>
      <w:docPartObj>
        <w:docPartGallery w:val="Page Numbers (Bottom of Page)"/>
        <w:docPartUnique/>
      </w:docPartObj>
    </w:sdtPr>
    <w:sdtEndPr>
      <w:rPr>
        <w:noProof/>
      </w:rPr>
    </w:sdtEndPr>
    <w:sdtContent>
      <w:p w:rsidR="009534E2" w:rsidRDefault="003369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534E2" w:rsidRDefault="009534E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4E2" w:rsidRDefault="00953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783076"/>
      <w:docPartObj>
        <w:docPartGallery w:val="Page Numbers (Bottom of Page)"/>
        <w:docPartUnique/>
      </w:docPartObj>
    </w:sdtPr>
    <w:sdtEndPr>
      <w:rPr>
        <w:noProof/>
      </w:rPr>
    </w:sdtEndPr>
    <w:sdtContent>
      <w:p w:rsidR="009534E2" w:rsidRDefault="003369EB">
        <w:pPr>
          <w:pStyle w:val="Footer"/>
          <w:spacing w:before="48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642144"/>
      <w:docPartObj>
        <w:docPartGallery w:val="Page Numbers (Bottom of Page)"/>
        <w:docPartUnique/>
      </w:docPartObj>
    </w:sdtPr>
    <w:sdtEndPr>
      <w:rPr>
        <w:noProof/>
      </w:rPr>
    </w:sdtEndPr>
    <w:sdtContent>
      <w:p w:rsidR="009534E2" w:rsidRDefault="003369EB">
        <w:pPr>
          <w:pStyle w:val="Footer"/>
          <w:spacing w:before="48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917976"/>
      <w:docPartObj>
        <w:docPartGallery w:val="Page Numbers (Bottom of Page)"/>
        <w:docPartUnique/>
      </w:docPartObj>
    </w:sdtPr>
    <w:sdtEndPr>
      <w:rPr>
        <w:noProof/>
      </w:rPr>
    </w:sdtEndPr>
    <w:sdtContent>
      <w:p w:rsidR="009534E2" w:rsidRDefault="003369EB">
        <w:pPr>
          <w:pStyle w:val="Footer"/>
          <w:spacing w:before="480"/>
          <w:jc w:val="center"/>
        </w:pPr>
        <w:r>
          <w:t>F-</w:t>
        </w: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846910"/>
      <w:docPartObj>
        <w:docPartGallery w:val="Page Numbers (Bottom of Page)"/>
        <w:docPartUnique/>
      </w:docPartObj>
    </w:sdtPr>
    <w:sdtEndPr>
      <w:rPr>
        <w:noProof/>
      </w:rPr>
    </w:sdtEndPr>
    <w:sdtContent>
      <w:p w:rsidR="009534E2" w:rsidRDefault="003369EB">
        <w:pPr>
          <w:pStyle w:val="Footer"/>
          <w:spacing w:before="480"/>
          <w:jc w:val="center"/>
        </w:pPr>
        <w:r>
          <w:t>F-</w:t>
        </w: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08570"/>
      <w:docPartObj>
        <w:docPartGallery w:val="Page Numbers (Bottom of Page)"/>
        <w:docPartUnique/>
      </w:docPartObj>
    </w:sdtPr>
    <w:sdtEndPr>
      <w:rPr>
        <w:noProof/>
      </w:rPr>
    </w:sdtEndPr>
    <w:sdtContent>
      <w:p w:rsidR="009534E2" w:rsidRDefault="003369EB">
        <w:pPr>
          <w:pStyle w:val="Footer"/>
          <w:spacing w:before="480"/>
          <w:jc w:val="center"/>
        </w:pPr>
        <w:r>
          <w:t>F-</w:t>
        </w:r>
        <w:r>
          <w:fldChar w:fldCharType="begin"/>
        </w:r>
        <w:r>
          <w:instrText xml:space="preserve"> PAGE   \* MERGEFORMAT </w:instrText>
        </w:r>
        <w:r>
          <w:fldChar w:fldCharType="separate"/>
        </w:r>
        <w: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02518"/>
      <w:docPartObj>
        <w:docPartGallery w:val="Page Numbers (Bottom of Page)"/>
        <w:docPartUnique/>
      </w:docPartObj>
    </w:sdtPr>
    <w:sdtEndPr>
      <w:rPr>
        <w:noProof/>
      </w:rPr>
    </w:sdtEndPr>
    <w:sdtContent>
      <w:p w:rsidR="009534E2" w:rsidRDefault="003369EB">
        <w:pPr>
          <w:pStyle w:val="Footer"/>
          <w:spacing w:before="480"/>
          <w:jc w:val="center"/>
        </w:pPr>
        <w:r>
          <w:t>F-</w:t>
        </w:r>
        <w:r>
          <w:fldChar w:fldCharType="begin"/>
        </w:r>
        <w:r>
          <w:instrText xml:space="preserve"> PAGE   \* MERGEFORMAT </w:instrText>
        </w:r>
        <w:r>
          <w:fldChar w:fldCharType="separate"/>
        </w:r>
        <w:r>
          <w:t>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918124"/>
      <w:docPartObj>
        <w:docPartGallery w:val="Page Numbers (Bottom of Page)"/>
        <w:docPartUnique/>
      </w:docPartObj>
    </w:sdtPr>
    <w:sdtEndPr>
      <w:rPr>
        <w:noProof/>
      </w:rPr>
    </w:sdtEndPr>
    <w:sdtContent>
      <w:p w:rsidR="009534E2" w:rsidRDefault="003369EB">
        <w:pPr>
          <w:pStyle w:val="Footer"/>
          <w:spacing w:before="480"/>
          <w:jc w:val="center"/>
        </w:pPr>
        <w:r>
          <w:t>F-</w:t>
        </w:r>
        <w:r>
          <w:fldChar w:fldCharType="begin"/>
        </w:r>
        <w:r>
          <w:instrText xml:space="preserve"> PAGE   \* MERGEFORMAT </w:instrText>
        </w:r>
        <w:r>
          <w:fldChar w:fldCharType="separate"/>
        </w:r>
        <w:r>
          <w:t>4</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4E2" w:rsidRDefault="0095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0AE1" w:rsidRDefault="00EC0AE1">
      <w:r>
        <w:separator/>
      </w:r>
    </w:p>
  </w:footnote>
  <w:footnote w:type="continuationSeparator" w:id="0">
    <w:p w:rsidR="00EC0AE1" w:rsidRDefault="00EC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4E2" w:rsidRDefault="00EC0AE1">
    <w:pPr>
      <w:pStyle w:val="Header"/>
      <w:keepNext/>
      <w:spacing w:after="600"/>
      <w:rPr>
        <w:rFonts w:ascii="Times New Roman" w:hAnsi="Times New Roman" w:cs="Times New Roman"/>
        <w:color w:val="0563C1"/>
        <w14:textFill>
          <w14:solidFill>
            <w14:srgbClr w14:val="0563C1">
              <w14:alpha w14:val="100000"/>
            </w14:srgbClr>
          </w14:solidFill>
        </w14:textFill>
      </w:rPr>
    </w:pPr>
    <w:hyperlink w:anchor="TOC" w:history="1">
      <w:r w:rsidR="003369EB">
        <w:rPr>
          <w:rStyle w:val="Hyperlink"/>
          <w:rFonts w:ascii="Times New Roman" w:hAnsi="Times New Roman" w:cs="Times New Roman"/>
          <w:color w:val="0563C1"/>
          <w14:textFill>
            <w14:solidFill>
              <w14:srgbClr w14:val="0563C1">
                <w14:alpha w14:val="100000"/>
              </w14:srgbClr>
            </w14:solidFill>
          </w14:textFill>
        </w:rPr>
        <w:t>Table of Contents</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331309"/>
      <w:docPartObj>
        <w:docPartGallery w:val="Page Numbers (Top of Page)"/>
        <w:docPartUnique/>
      </w:docPartObj>
    </w:sdtPr>
    <w:sdtEndPr>
      <w:rPr>
        <w:noProof/>
      </w:rPr>
    </w:sdtEndPr>
    <w:sdtContent>
      <w:p w:rsidR="009534E2" w:rsidRDefault="00EC0AE1">
        <w:pPr>
          <w:pStyle w:val="Header"/>
          <w:keepNext/>
          <w:spacing w:after="240"/>
          <w:rPr>
            <w:rFonts w:ascii="Times New Roman" w:hAnsi="Times New Roman" w:cs="Times New Roman"/>
            <w:color w:val="0563C1"/>
            <w14:textFill>
              <w14:solidFill>
                <w14:srgbClr w14:val="0563C1">
                  <w14:alpha w14:val="100000"/>
                </w14:srgbClr>
              </w14:solidFill>
            </w14:textFill>
          </w:rPr>
        </w:pPr>
        <w:hyperlink w:anchor="TOC" w:history="1">
          <w:r w:rsidR="003369EB">
            <w:rPr>
              <w:rStyle w:val="Hyperlink"/>
              <w:rFonts w:ascii="Times New Roman" w:hAnsi="Times New Roman" w:cs="Times New Roman"/>
              <w:color w:val="0563C1"/>
              <w14:textFill>
                <w14:solidFill>
                  <w14:srgbClr w14:val="0563C1">
                    <w14:alpha w14:val="100000"/>
                  </w14:srgbClr>
                </w14:solidFill>
              </w14:textFill>
            </w:rPr>
            <w:t>Table of Contents</w:t>
          </w:r>
        </w:hyperlink>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4E2" w:rsidRDefault="00EC0AE1">
    <w:pPr>
      <w:pStyle w:val="Header"/>
      <w:spacing w:after="200"/>
      <w:rPr>
        <w:rFonts w:ascii="Times New Roman" w:hAnsi="Times New Roman" w:cs="Times New Roman"/>
        <w:color w:val="0563C1"/>
        <w14:textFill>
          <w14:solidFill>
            <w14:srgbClr w14:val="0563C1">
              <w14:alpha w14:val="100000"/>
            </w14:srgbClr>
          </w14:solidFill>
        </w14:textFill>
      </w:rPr>
    </w:pPr>
    <w:hyperlink w:anchor="TOC" w:history="1">
      <w:r w:rsidR="003369EB">
        <w:rPr>
          <w:rStyle w:val="Hyperlink"/>
          <w:rFonts w:ascii="Times New Roman" w:hAnsi="Times New Roman" w:cs="Times New Roman"/>
          <w:color w:val="0563C1"/>
          <w14:textFill>
            <w14:solidFill>
              <w14:srgbClr w14:val="0563C1">
                <w14:alpha w14:val="100000"/>
              </w14:srgbClr>
            </w14:solidFill>
          </w14:textFill>
        </w:rPr>
        <w:t>Table of Contents</w:t>
      </w:r>
    </w:hyperlink>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4E2" w:rsidRDefault="00EC0AE1">
    <w:pPr>
      <w:pStyle w:val="Header"/>
      <w:keepNext/>
      <w:spacing w:after="400"/>
      <w:rPr>
        <w:rFonts w:ascii="Times New Roman" w:hAnsi="Times New Roman" w:cs="Times New Roman"/>
        <w:color w:val="0563C1"/>
        <w14:textFill>
          <w14:solidFill>
            <w14:srgbClr w14:val="0563C1">
              <w14:alpha w14:val="100000"/>
            </w14:srgbClr>
          </w14:solidFill>
        </w14:textFill>
      </w:rPr>
    </w:pPr>
    <w:hyperlink w:anchor="TOC" w:history="1">
      <w:r w:rsidR="003369EB">
        <w:rPr>
          <w:rStyle w:val="Hyperlink"/>
          <w:rFonts w:ascii="Times New Roman" w:hAnsi="Times New Roman" w:cs="Times New Roman"/>
          <w:color w:val="0563C1"/>
          <w14:textFill>
            <w14:solidFill>
              <w14:srgbClr w14:val="0563C1">
                <w14:alpha w14:val="100000"/>
              </w14:srgbClr>
            </w14:solidFill>
          </w14:textFill>
        </w:rPr>
        <w:t>Table of Contents</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4E2" w:rsidRDefault="003369EB">
    <w:pPr>
      <w:pStyle w:val="Header"/>
      <w:spacing w:after="120"/>
      <w:jc w:val="center"/>
    </w:pPr>
    <w:r>
      <w:t>QIWI plc</w:t>
    </w:r>
  </w:p>
  <w:p w:rsidR="009534E2" w:rsidRDefault="003369EB">
    <w:pPr>
      <w:pStyle w:val="Header"/>
      <w:spacing w:after="120"/>
      <w:jc w:val="center"/>
    </w:pPr>
    <w:r>
      <w:t>Notes to consolidated financial statements</w:t>
    </w:r>
  </w:p>
  <w:p w:rsidR="009534E2" w:rsidRDefault="003369EB">
    <w:pPr>
      <w:pStyle w:val="Header"/>
      <w:spacing w:after="120"/>
      <w:jc w:val="center"/>
    </w:pPr>
    <w:r>
      <w:t>for the year ended December 31, 2018</w:t>
    </w:r>
  </w:p>
  <w:p w:rsidR="009534E2" w:rsidRDefault="003369EB">
    <w:pPr>
      <w:pStyle w:val="Header"/>
      <w:spacing w:after="240"/>
      <w:jc w:val="center"/>
    </w:pPr>
    <w:r>
      <w:t>(in millions of Rubles, except per share data)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4E2" w:rsidRDefault="00EC0AE1">
    <w:pPr>
      <w:pStyle w:val="Header"/>
      <w:keepNext/>
      <w:spacing w:after="240"/>
      <w:rPr>
        <w:rFonts w:ascii="Times New Roman" w:hAnsi="Times New Roman" w:cs="Times New Roman"/>
        <w:color w:val="0563C1"/>
        <w14:textFill>
          <w14:solidFill>
            <w14:srgbClr w14:val="0563C1">
              <w14:alpha w14:val="100000"/>
            </w14:srgbClr>
          </w14:solidFill>
        </w14:textFill>
      </w:rPr>
    </w:pPr>
    <w:hyperlink w:anchor="TOC" w:history="1">
      <w:r w:rsidR="003369EB">
        <w:rPr>
          <w:rStyle w:val="Hyperlink"/>
          <w:rFonts w:ascii="Times New Roman" w:hAnsi="Times New Roman" w:cs="Times New Roman"/>
          <w:color w:val="0563C1"/>
          <w14:textFill>
            <w14:solidFill>
              <w14:srgbClr w14:val="0563C1">
                <w14:alpha w14:val="100000"/>
              </w14:srgbClr>
            </w14:solidFill>
          </w14:textFill>
        </w:rPr>
        <w:t>Table of Contents</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4E2" w:rsidRDefault="00EC0AE1">
    <w:pPr>
      <w:pStyle w:val="Header"/>
      <w:keepNext/>
      <w:spacing w:after="240"/>
      <w:rPr>
        <w:rFonts w:ascii="Times New Roman" w:hAnsi="Times New Roman" w:cs="Times New Roman"/>
        <w:color w:val="0563C1"/>
        <w14:textFill>
          <w14:solidFill>
            <w14:srgbClr w14:val="0563C1">
              <w14:alpha w14:val="100000"/>
            </w14:srgbClr>
          </w14:solidFill>
        </w14:textFill>
      </w:rPr>
    </w:pPr>
    <w:hyperlink w:anchor="TOC" w:history="1">
      <w:r w:rsidR="003369EB">
        <w:rPr>
          <w:rStyle w:val="Hyperlink"/>
          <w:rFonts w:ascii="Times New Roman" w:hAnsi="Times New Roman" w:cs="Times New Roman"/>
          <w:color w:val="0563C1"/>
          <w14:textFill>
            <w14:solidFill>
              <w14:srgbClr w14:val="0563C1">
                <w14:alpha w14:val="100000"/>
              </w14:srgbClr>
            </w14:solidFill>
          </w14:textFill>
        </w:rPr>
        <w:t>Table of Contents</w:t>
      </w:r>
    </w:hyperlink>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325835"/>
      <w:docPartObj>
        <w:docPartGallery w:val="Page Numbers (Top of Page)"/>
        <w:docPartUnique/>
      </w:docPartObj>
    </w:sdtPr>
    <w:sdtEndPr>
      <w:rPr>
        <w:noProof/>
      </w:rPr>
    </w:sdtEndPr>
    <w:sdtContent>
      <w:p w:rsidR="009534E2" w:rsidRDefault="00EC0AE1">
        <w:pPr>
          <w:pStyle w:val="Header"/>
          <w:keepNext/>
          <w:spacing w:after="440"/>
          <w:rPr>
            <w:rStyle w:val="Hyperlink"/>
            <w:rFonts w:ascii="Times New Roman" w:hAnsi="Times New Roman" w:cs="Times New Roman"/>
            <w:color w:val="0563C1"/>
            <w14:textFill>
              <w14:solidFill>
                <w14:srgbClr w14:val="0563C1">
                  <w14:alpha w14:val="100000"/>
                </w14:srgbClr>
              </w14:solidFill>
            </w14:textFill>
          </w:rPr>
        </w:pPr>
        <w:hyperlink w:anchor="TOC" w:history="1">
          <w:r w:rsidR="003369EB">
            <w:rPr>
              <w:rStyle w:val="Hyperlink"/>
              <w:rFonts w:ascii="Times New Roman" w:hAnsi="Times New Roman" w:cs="Times New Roman"/>
              <w:color w:val="0563C1"/>
              <w14:textFill>
                <w14:solidFill>
                  <w14:srgbClr w14:val="0563C1">
                    <w14:alpha w14:val="100000"/>
                  </w14:srgbClr>
                </w14:solidFill>
              </w14:textFill>
            </w:rPr>
            <w:t>Table of Contents</w:t>
          </w:r>
        </w:hyperlink>
        <w:bookmarkStart w:id="797" w:name="_eeaa1b55_ea8f_4a4e_b43f_af8bffefe6bc"/>
        <w:bookmarkEnd w:id="797"/>
      </w:p>
      <w:p w:rsidR="009534E2" w:rsidRDefault="00EC0AE1">
        <w:pPr>
          <w:pStyle w:val="Heade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4E2" w:rsidRDefault="00EC0AE1">
    <w:pPr>
      <w:pStyle w:val="Header"/>
      <w:keepNext/>
      <w:spacing w:after="600"/>
      <w:rPr>
        <w:rStyle w:val="Hyperlink"/>
        <w:rFonts w:ascii="Times New Roman" w:hAnsi="Times New Roman" w:cs="Times New Roman"/>
        <w:color w:val="0563C1"/>
        <w14:textFill>
          <w14:solidFill>
            <w14:srgbClr w14:val="0563C1">
              <w14:alpha w14:val="100000"/>
            </w14:srgbClr>
          </w14:solidFill>
        </w14:textFill>
      </w:rPr>
    </w:pPr>
    <w:hyperlink w:anchor="TOC" w:history="1">
      <w:r w:rsidR="003369EB">
        <w:rPr>
          <w:rStyle w:val="Hyperlink"/>
          <w:rFonts w:ascii="Times New Roman" w:hAnsi="Times New Roman" w:cs="Times New Roman"/>
          <w:color w:val="0563C1"/>
          <w14:textFill>
            <w14:solidFill>
              <w14:srgbClr w14:val="0563C1">
                <w14:alpha w14:val="100000"/>
              </w14:srgbClr>
            </w14:solidFill>
          </w14:textFill>
        </w:rPr>
        <w:t>Table of Contents</w:t>
      </w:r>
    </w:hyperlink>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4E2" w:rsidRDefault="00EC0AE1">
    <w:pPr>
      <w:pStyle w:val="Header"/>
      <w:keepNext/>
      <w:spacing w:after="240"/>
      <w:rPr>
        <w:rStyle w:val="Hyperlink"/>
        <w:rFonts w:ascii="Times New Roman" w:hAnsi="Times New Roman" w:cs="Times New Roman"/>
        <w:color w:val="0563C1"/>
        <w14:textFill>
          <w14:solidFill>
            <w14:srgbClr w14:val="0563C1">
              <w14:alpha w14:val="100000"/>
            </w14:srgbClr>
          </w14:solidFill>
        </w14:textFill>
      </w:rPr>
    </w:pPr>
    <w:hyperlink w:anchor="TOC" w:history="1">
      <w:r w:rsidR="003369EB">
        <w:rPr>
          <w:rStyle w:val="Hyperlink"/>
          <w:rFonts w:ascii="Times New Roman" w:hAnsi="Times New Roman" w:cs="Times New Roman"/>
          <w:color w:val="0563C1"/>
          <w14:textFill>
            <w14:solidFill>
              <w14:srgbClr w14:val="0563C1">
                <w14:alpha w14:val="100000"/>
              </w14:srgbClr>
            </w14:solidFill>
          </w14:textFill>
        </w:rPr>
        <w:t>Table of Contents</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592112"/>
      <w:docPartObj>
        <w:docPartGallery w:val="Page Numbers (Top of Page)"/>
        <w:docPartUnique/>
      </w:docPartObj>
    </w:sdtPr>
    <w:sdtEndPr>
      <w:rPr>
        <w:noProof/>
      </w:rPr>
    </w:sdtEndPr>
    <w:sdtContent>
      <w:p w:rsidR="009534E2" w:rsidRDefault="00EC0AE1">
        <w:pPr>
          <w:pStyle w:val="Header"/>
          <w:keepNext/>
          <w:spacing w:after="240"/>
          <w:rPr>
            <w:rFonts w:ascii="Times New Roman" w:hAnsi="Times New Roman" w:cs="Times New Roman"/>
            <w:color w:val="0563C1"/>
            <w14:textFill>
              <w14:solidFill>
                <w14:srgbClr w14:val="0563C1">
                  <w14:alpha w14:val="100000"/>
                </w14:srgbClr>
              </w14:solidFill>
            </w14:textFill>
          </w:rPr>
        </w:pPr>
        <w:hyperlink w:anchor="TOC" w:history="1">
          <w:r w:rsidR="003369EB">
            <w:rPr>
              <w:rStyle w:val="Hyperlink"/>
              <w:rFonts w:ascii="Times New Roman" w:hAnsi="Times New Roman" w:cs="Times New Roman"/>
              <w:color w:val="0563C1"/>
              <w14:textFill>
                <w14:solidFill>
                  <w14:srgbClr w14:val="0563C1">
                    <w14:alpha w14:val="100000"/>
                  </w14:srgbClr>
                </w14:solidFill>
              </w14:textFill>
            </w:rPr>
            <w:t>Table of Contents</w:t>
          </w:r>
        </w:hyperlink>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4E2" w:rsidRDefault="00EC0AE1">
    <w:pPr>
      <w:pStyle w:val="Header"/>
      <w:keepNext/>
      <w:spacing w:after="240"/>
      <w:rPr>
        <w:rStyle w:val="Hyperlink"/>
        <w:rFonts w:ascii="Times New Roman" w:hAnsi="Times New Roman" w:cs="Times New Roman"/>
        <w:color w:val="0563C1"/>
        <w14:textFill>
          <w14:solidFill>
            <w14:srgbClr w14:val="0563C1">
              <w14:alpha w14:val="100000"/>
            </w14:srgbClr>
          </w14:solidFill>
        </w14:textFill>
      </w:rPr>
    </w:pPr>
    <w:hyperlink w:anchor="TOC" w:history="1">
      <w:r w:rsidR="003369EB">
        <w:rPr>
          <w:rStyle w:val="Hyperlink"/>
          <w:rFonts w:ascii="Times New Roman" w:hAnsi="Times New Roman" w:cs="Times New Roman"/>
          <w:color w:val="0563C1"/>
          <w14:textFill>
            <w14:solidFill>
              <w14:srgbClr w14:val="0563C1">
                <w14:alpha w14:val="100000"/>
              </w14:srgbClr>
            </w14:solidFill>
          </w14:textFill>
        </w:rPr>
        <w:t>Table of Contents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CC0CAA"/>
    <w:styleLink w:val="11111131"/>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6CA5B6A"/>
    <w:styleLink w:val="ArticleSection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6F6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B6F2D8"/>
    <w:styleLink w:val="1ai31"/>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C56AB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3C384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B6833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347EB6"/>
    <w:styleLink w:val="ArticleSection3"/>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9808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DCAB20"/>
    <w:styleLink w:val="ArticleSection31"/>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96CAF"/>
    <w:multiLevelType w:val="hybridMultilevel"/>
    <w:tmpl w:val="3D7412B2"/>
    <w:lvl w:ilvl="0" w:tplc="CDD8581C">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0092215B"/>
    <w:multiLevelType w:val="hybridMultilevel"/>
    <w:tmpl w:val="C8D073E0"/>
    <w:lvl w:ilvl="0" w:tplc="D224619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290015F"/>
    <w:multiLevelType w:val="hybridMultilevel"/>
    <w:tmpl w:val="A774AC38"/>
    <w:lvl w:ilvl="0" w:tplc="CDD85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FE08DB"/>
    <w:multiLevelType w:val="hybridMultilevel"/>
    <w:tmpl w:val="F13C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E8572C"/>
    <w:multiLevelType w:val="hybridMultilevel"/>
    <w:tmpl w:val="00005856"/>
    <w:lvl w:ilvl="0" w:tplc="D224619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EAC0577"/>
    <w:multiLevelType w:val="hybridMultilevel"/>
    <w:tmpl w:val="C78498A2"/>
    <w:lvl w:ilvl="0" w:tplc="3B627CDE">
      <w:start w:val="3"/>
      <w:numFmt w:val="bullet"/>
      <w:lvlText w:val=""/>
      <w:lvlJc w:val="left"/>
      <w:pPr>
        <w:ind w:left="1181" w:hanging="360"/>
      </w:pPr>
      <w:rPr>
        <w:rFonts w:ascii="Symbol" w:eastAsiaTheme="minorHAnsi" w:hAnsi="Symbol" w:cstheme="minorHAnsi"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6" w15:restartNumberingAfterBreak="0">
    <w:nsid w:val="12562803"/>
    <w:multiLevelType w:val="hybridMultilevel"/>
    <w:tmpl w:val="3CF871E6"/>
    <w:lvl w:ilvl="0" w:tplc="786EAFB4">
      <w:start w:val="3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F34F4C"/>
    <w:multiLevelType w:val="hybridMultilevel"/>
    <w:tmpl w:val="D80AB690"/>
    <w:lvl w:ilvl="0" w:tplc="D22461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7D518E"/>
    <w:multiLevelType w:val="hybridMultilevel"/>
    <w:tmpl w:val="145C7C0C"/>
    <w:styleLink w:val="11111111"/>
    <w:lvl w:ilvl="0" w:tplc="55BC9A2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FB2F8D"/>
    <w:multiLevelType w:val="hybridMultilevel"/>
    <w:tmpl w:val="039CDB2A"/>
    <w:lvl w:ilvl="0" w:tplc="D224619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DCC587B"/>
    <w:multiLevelType w:val="hybridMultilevel"/>
    <w:tmpl w:val="7928892E"/>
    <w:lvl w:ilvl="0" w:tplc="D224619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0A46218"/>
    <w:multiLevelType w:val="hybridMultilevel"/>
    <w:tmpl w:val="A692AD5C"/>
    <w:lvl w:ilvl="0" w:tplc="786EAFB4">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241291"/>
    <w:multiLevelType w:val="multilevel"/>
    <w:tmpl w:val="04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1A268FD"/>
    <w:multiLevelType w:val="hybridMultilevel"/>
    <w:tmpl w:val="21D2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0368B1"/>
    <w:multiLevelType w:val="hybridMultilevel"/>
    <w:tmpl w:val="505E7D86"/>
    <w:lvl w:ilvl="0" w:tplc="FFFFFFFF">
      <w:start w:val="3"/>
      <w:numFmt w:val="bullet"/>
      <w:lvlText w:val=""/>
      <w:lvlJc w:val="left"/>
      <w:pPr>
        <w:ind w:left="1440" w:hanging="360"/>
      </w:pPr>
      <w:rPr>
        <w:rFonts w:ascii="Symbol" w:eastAsiaTheme="minorHAnsi" w:hAnsi="Symbol" w:cstheme="minorHAnsi" w:hint="default"/>
      </w:rPr>
    </w:lvl>
    <w:lvl w:ilvl="1" w:tplc="D224619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4767386"/>
    <w:multiLevelType w:val="hybridMultilevel"/>
    <w:tmpl w:val="EA3A5E70"/>
    <w:styleLink w:val="1ai4"/>
    <w:lvl w:ilvl="0" w:tplc="4E184ABC">
      <w:start w:val="1"/>
      <w:numFmt w:val="lowerRoman"/>
      <w:lvlText w:val="(%1)"/>
      <w:lvlJc w:val="left"/>
      <w:pPr>
        <w:ind w:left="1146" w:hanging="720"/>
      </w:pPr>
      <w:rPr>
        <w:rFonts w:asciiTheme="minorHAnsi" w:hAnsiTheme="minorHAnsi" w:cstheme="minorHAns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2482441D"/>
    <w:multiLevelType w:val="hybridMultilevel"/>
    <w:tmpl w:val="FC806492"/>
    <w:lvl w:ilvl="0" w:tplc="3B627CDE">
      <w:start w:val="3"/>
      <w:numFmt w:val="bullet"/>
      <w:lvlText w:val=""/>
      <w:lvlJc w:val="left"/>
      <w:pPr>
        <w:ind w:left="1440" w:hanging="360"/>
      </w:pPr>
      <w:rPr>
        <w:rFonts w:ascii="Symbol" w:eastAsiaTheme="minorHAnsi" w:hAnsi="Symbol" w:cstheme="minorHAnsi" w:hint="default"/>
      </w:rPr>
    </w:lvl>
    <w:lvl w:ilvl="1" w:tplc="D2246194">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D01419F"/>
    <w:multiLevelType w:val="hybridMultilevel"/>
    <w:tmpl w:val="72C67230"/>
    <w:lvl w:ilvl="0" w:tplc="D224619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D4D1B75"/>
    <w:multiLevelType w:val="hybridMultilevel"/>
    <w:tmpl w:val="DF80EC9E"/>
    <w:lvl w:ilvl="0" w:tplc="EFECC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343D49"/>
    <w:multiLevelType w:val="hybridMultilevel"/>
    <w:tmpl w:val="B50AC800"/>
    <w:lvl w:ilvl="0" w:tplc="D224619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E471D4C"/>
    <w:multiLevelType w:val="multilevel"/>
    <w:tmpl w:val="04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41002EB"/>
    <w:multiLevelType w:val="hybridMultilevel"/>
    <w:tmpl w:val="38B2717C"/>
    <w:lvl w:ilvl="0" w:tplc="D224619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6F93536"/>
    <w:multiLevelType w:val="hybridMultilevel"/>
    <w:tmpl w:val="2898955E"/>
    <w:styleLink w:val="BridgeTempStyle1206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631DEC"/>
    <w:multiLevelType w:val="hybridMultilevel"/>
    <w:tmpl w:val="F462D9E0"/>
    <w:lvl w:ilvl="0" w:tplc="3BA6B230">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7F3888"/>
    <w:multiLevelType w:val="hybridMultilevel"/>
    <w:tmpl w:val="5552BFB8"/>
    <w:lvl w:ilvl="0" w:tplc="786EAFB4">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403971"/>
    <w:multiLevelType w:val="multilevel"/>
    <w:tmpl w:val="0E02B6EE"/>
    <w:name w:val="SimpleListTemplate"/>
    <w:styleLink w:val="BridgeTempStyle1206"/>
    <w:lvl w:ilvl="0">
      <w:start w:val="1"/>
      <w:numFmt w:val="none"/>
      <w:lvlRestart w:val="0"/>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upperLetter"/>
      <w:lvlText w:val="%3."/>
      <w:lvlJc w:val="left"/>
      <w:pPr>
        <w:tabs>
          <w:tab w:val="num" w:pos="360"/>
        </w:tabs>
        <w:ind w:left="0" w:firstLine="0"/>
      </w:pPr>
      <w:rPr>
        <w:rFonts w:hint="default"/>
        <w:b/>
        <w:i w:val="0"/>
      </w:rPr>
    </w:lvl>
    <w:lvl w:ilvl="3">
      <w:start w:val="1"/>
      <w:numFmt w:val="none"/>
      <w:suff w:val="nothing"/>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360"/>
        </w:tabs>
        <w:ind w:left="360" w:firstLine="0"/>
      </w:pPr>
      <w:rPr>
        <w:rFonts w:hint="default"/>
      </w:rPr>
    </w:lvl>
    <w:lvl w:ilvl="7">
      <w:start w:val="1"/>
      <w:numFmt w:val="bullet"/>
      <w:lvlText w:val=""/>
      <w:lvlJc w:val="left"/>
      <w:pPr>
        <w:tabs>
          <w:tab w:val="num" w:pos="720"/>
        </w:tabs>
        <w:ind w:left="720" w:hanging="360"/>
      </w:pPr>
      <w:rPr>
        <w:rFonts w:ascii="Symbol" w:hAnsi="Symbol" w:hint="default"/>
      </w:rPr>
    </w:lvl>
    <w:lvl w:ilvl="8">
      <w:start w:val="1"/>
      <w:numFmt w:val="bullet"/>
      <w:lvlText w:val=""/>
      <w:lvlJc w:val="left"/>
      <w:pPr>
        <w:tabs>
          <w:tab w:val="num" w:pos="1080"/>
        </w:tabs>
        <w:ind w:left="1080" w:hanging="360"/>
      </w:pPr>
      <w:rPr>
        <w:rFonts w:ascii="Symbol" w:hAnsi="Symbol" w:hint="default"/>
      </w:rPr>
    </w:lvl>
  </w:abstractNum>
  <w:abstractNum w:abstractNumId="36" w15:restartNumberingAfterBreak="0">
    <w:nsid w:val="3EAD46EE"/>
    <w:multiLevelType w:val="hybridMultilevel"/>
    <w:tmpl w:val="B858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77630C"/>
    <w:multiLevelType w:val="hybridMultilevel"/>
    <w:tmpl w:val="D578F2BC"/>
    <w:styleLink w:val="1ai11"/>
    <w:lvl w:ilvl="0" w:tplc="84B0E0E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996F5F"/>
    <w:multiLevelType w:val="hybridMultilevel"/>
    <w:tmpl w:val="D636926A"/>
    <w:lvl w:ilvl="0" w:tplc="CDD85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0E04D9"/>
    <w:multiLevelType w:val="hybridMultilevel"/>
    <w:tmpl w:val="43FC68C4"/>
    <w:lvl w:ilvl="0" w:tplc="92DEBF14">
      <w:start w:val="1"/>
      <w:numFmt w:val="decimal"/>
      <w:lvlText w:val="(%1)"/>
      <w:lvlJc w:val="left"/>
      <w:pPr>
        <w:ind w:left="1181" w:hanging="360"/>
      </w:pPr>
      <w:rPr>
        <w:rFonts w:asciiTheme="minorHAnsi" w:hAnsiTheme="minorHAnsi" w:cstheme="minorHAnsi" w:hint="default"/>
        <w:sz w:val="18"/>
        <w:szCs w:val="32"/>
        <w:vertAlign w:val="baseline"/>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40" w15:restartNumberingAfterBreak="0">
    <w:nsid w:val="4BC0463C"/>
    <w:multiLevelType w:val="hybridMultilevel"/>
    <w:tmpl w:val="4E00E05A"/>
    <w:styleLink w:val="ArticleSection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50633C"/>
    <w:multiLevelType w:val="multilevel"/>
    <w:tmpl w:val="04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752A36"/>
    <w:multiLevelType w:val="hybridMultilevel"/>
    <w:tmpl w:val="6A0CBB6E"/>
    <w:lvl w:ilvl="0" w:tplc="3BA6B230">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E44957"/>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323224F"/>
    <w:multiLevelType w:val="hybridMultilevel"/>
    <w:tmpl w:val="E042FEBC"/>
    <w:lvl w:ilvl="0" w:tplc="CDD85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972ACA"/>
    <w:multiLevelType w:val="hybridMultilevel"/>
    <w:tmpl w:val="79FE79B2"/>
    <w:styleLink w:val="1111114"/>
    <w:lvl w:ilvl="0" w:tplc="70C498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81A2111"/>
    <w:multiLevelType w:val="hybridMultilevel"/>
    <w:tmpl w:val="F75ADF66"/>
    <w:lvl w:ilvl="0" w:tplc="04090001">
      <w:start w:val="1"/>
      <w:numFmt w:val="bullet"/>
      <w:lvlText w:val=""/>
      <w:lvlJc w:val="left"/>
      <w:pPr>
        <w:ind w:left="720" w:hanging="360"/>
      </w:pPr>
      <w:rPr>
        <w:rFonts w:ascii="Symbol" w:hAnsi="Symbol" w:hint="default"/>
      </w:rPr>
    </w:lvl>
    <w:lvl w:ilvl="1" w:tplc="F25C7A9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917CBB"/>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D350B19"/>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5D4C0290"/>
    <w:multiLevelType w:val="hybridMultilevel"/>
    <w:tmpl w:val="D8C225BE"/>
    <w:lvl w:ilvl="0" w:tplc="EFECC108">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50" w15:restartNumberingAfterBreak="0">
    <w:nsid w:val="64224977"/>
    <w:multiLevelType w:val="hybridMultilevel"/>
    <w:tmpl w:val="2336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9C6B17"/>
    <w:multiLevelType w:val="hybridMultilevel"/>
    <w:tmpl w:val="433E0F6E"/>
    <w:lvl w:ilvl="0" w:tplc="D2246194">
      <w:numFmt w:val="bullet"/>
      <w:lvlText w:val="-"/>
      <w:lvlJc w:val="left"/>
      <w:pPr>
        <w:ind w:left="1181" w:hanging="360"/>
      </w:pPr>
      <w:rPr>
        <w:rFonts w:ascii="Times New Roman" w:eastAsia="Times New Roman" w:hAnsi="Times New Roman" w:cs="Times New Roman"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52" w15:restartNumberingAfterBreak="0">
    <w:nsid w:val="67DB16B7"/>
    <w:multiLevelType w:val="hybridMultilevel"/>
    <w:tmpl w:val="51CC73E8"/>
    <w:lvl w:ilvl="0" w:tplc="3B627CDE">
      <w:start w:val="3"/>
      <w:numFmt w:val="bullet"/>
      <w:lvlText w:val=""/>
      <w:lvlJc w:val="left"/>
      <w:pPr>
        <w:ind w:left="1584" w:hanging="360"/>
      </w:pPr>
      <w:rPr>
        <w:rFonts w:ascii="Symbol" w:eastAsiaTheme="minorHAnsi" w:hAnsi="Symbol" w:cstheme="minorHAnsi"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3" w15:restartNumberingAfterBreak="0">
    <w:nsid w:val="699C5C04"/>
    <w:multiLevelType w:val="hybridMultilevel"/>
    <w:tmpl w:val="87A0A344"/>
    <w:lvl w:ilvl="0" w:tplc="D224619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A812821"/>
    <w:multiLevelType w:val="hybridMultilevel"/>
    <w:tmpl w:val="5964EA16"/>
    <w:lvl w:ilvl="0" w:tplc="3BA6B230">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702105"/>
    <w:multiLevelType w:val="hybridMultilevel"/>
    <w:tmpl w:val="DC68FC96"/>
    <w:lvl w:ilvl="0" w:tplc="FFFFFFFF">
      <w:numFmt w:val="bullet"/>
      <w:lvlText w:val="-"/>
      <w:lvlJc w:val="left"/>
      <w:pPr>
        <w:ind w:left="1180" w:hanging="360"/>
      </w:pPr>
      <w:rPr>
        <w:rFonts w:ascii="Times New Roman" w:eastAsia="Times New Roman" w:hAnsi="Times New Roman" w:cs="Times New Roman" w:hint="default"/>
      </w:rPr>
    </w:lvl>
    <w:lvl w:ilvl="1" w:tplc="D2246194">
      <w:numFmt w:val="bullet"/>
      <w:lvlText w:val="-"/>
      <w:lvlJc w:val="left"/>
      <w:pPr>
        <w:ind w:left="1900" w:hanging="360"/>
      </w:pPr>
      <w:rPr>
        <w:rFonts w:ascii="Times New Roman" w:eastAsia="Times New Roman" w:hAnsi="Times New Roman" w:cs="Times New Roman" w:hint="default"/>
      </w:rPr>
    </w:lvl>
    <w:lvl w:ilvl="2" w:tplc="FFFFFFFF" w:tentative="1">
      <w:start w:val="1"/>
      <w:numFmt w:val="bullet"/>
      <w:lvlText w:val=""/>
      <w:lvlJc w:val="left"/>
      <w:pPr>
        <w:ind w:left="2620" w:hanging="360"/>
      </w:pPr>
      <w:rPr>
        <w:rFonts w:ascii="Wingdings" w:hAnsi="Wingdings" w:hint="default"/>
      </w:rPr>
    </w:lvl>
    <w:lvl w:ilvl="3" w:tplc="FFFFFFFF" w:tentative="1">
      <w:start w:val="1"/>
      <w:numFmt w:val="bullet"/>
      <w:lvlText w:val=""/>
      <w:lvlJc w:val="left"/>
      <w:pPr>
        <w:ind w:left="3340" w:hanging="360"/>
      </w:pPr>
      <w:rPr>
        <w:rFonts w:ascii="Symbol" w:hAnsi="Symbol" w:hint="default"/>
      </w:rPr>
    </w:lvl>
    <w:lvl w:ilvl="4" w:tplc="FFFFFFFF" w:tentative="1">
      <w:start w:val="1"/>
      <w:numFmt w:val="bullet"/>
      <w:lvlText w:val="o"/>
      <w:lvlJc w:val="left"/>
      <w:pPr>
        <w:ind w:left="4060" w:hanging="360"/>
      </w:pPr>
      <w:rPr>
        <w:rFonts w:ascii="Courier New" w:hAnsi="Courier New" w:cs="Courier New" w:hint="default"/>
      </w:rPr>
    </w:lvl>
    <w:lvl w:ilvl="5" w:tplc="FFFFFFFF" w:tentative="1">
      <w:start w:val="1"/>
      <w:numFmt w:val="bullet"/>
      <w:lvlText w:val=""/>
      <w:lvlJc w:val="left"/>
      <w:pPr>
        <w:ind w:left="4780" w:hanging="360"/>
      </w:pPr>
      <w:rPr>
        <w:rFonts w:ascii="Wingdings" w:hAnsi="Wingdings" w:hint="default"/>
      </w:rPr>
    </w:lvl>
    <w:lvl w:ilvl="6" w:tplc="FFFFFFFF" w:tentative="1">
      <w:start w:val="1"/>
      <w:numFmt w:val="bullet"/>
      <w:lvlText w:val=""/>
      <w:lvlJc w:val="left"/>
      <w:pPr>
        <w:ind w:left="5500" w:hanging="360"/>
      </w:pPr>
      <w:rPr>
        <w:rFonts w:ascii="Symbol" w:hAnsi="Symbol" w:hint="default"/>
      </w:rPr>
    </w:lvl>
    <w:lvl w:ilvl="7" w:tplc="FFFFFFFF" w:tentative="1">
      <w:start w:val="1"/>
      <w:numFmt w:val="bullet"/>
      <w:lvlText w:val="o"/>
      <w:lvlJc w:val="left"/>
      <w:pPr>
        <w:ind w:left="6220" w:hanging="360"/>
      </w:pPr>
      <w:rPr>
        <w:rFonts w:ascii="Courier New" w:hAnsi="Courier New" w:cs="Courier New" w:hint="default"/>
      </w:rPr>
    </w:lvl>
    <w:lvl w:ilvl="8" w:tplc="FFFFFFFF" w:tentative="1">
      <w:start w:val="1"/>
      <w:numFmt w:val="bullet"/>
      <w:lvlText w:val=""/>
      <w:lvlJc w:val="left"/>
      <w:pPr>
        <w:ind w:left="6940" w:hanging="360"/>
      </w:pPr>
      <w:rPr>
        <w:rFonts w:ascii="Wingdings" w:hAnsi="Wingdings" w:hint="default"/>
      </w:rPr>
    </w:lvl>
  </w:abstractNum>
  <w:abstractNum w:abstractNumId="56" w15:restartNumberingAfterBreak="0">
    <w:nsid w:val="72A27F94"/>
    <w:multiLevelType w:val="hybridMultilevel"/>
    <w:tmpl w:val="B3204AE4"/>
    <w:lvl w:ilvl="0" w:tplc="3B627CDE">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E13144"/>
    <w:multiLevelType w:val="hybridMultilevel"/>
    <w:tmpl w:val="626091FE"/>
    <w:lvl w:ilvl="0" w:tplc="3B627CDE">
      <w:start w:val="3"/>
      <w:numFmt w:val="bullet"/>
      <w:lvlText w:val=""/>
      <w:lvlJc w:val="left"/>
      <w:pPr>
        <w:ind w:left="1181" w:hanging="360"/>
      </w:pPr>
      <w:rPr>
        <w:rFonts w:ascii="Symbol" w:eastAsiaTheme="minorHAnsi" w:hAnsi="Symbol" w:cstheme="minorHAnsi"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58" w15:restartNumberingAfterBreak="0">
    <w:nsid w:val="799067DD"/>
    <w:multiLevelType w:val="hybridMultilevel"/>
    <w:tmpl w:val="D2F21E68"/>
    <w:lvl w:ilvl="0" w:tplc="AA807390">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167141"/>
    <w:multiLevelType w:val="hybridMultilevel"/>
    <w:tmpl w:val="4638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A8346F"/>
    <w:multiLevelType w:val="hybridMultilevel"/>
    <w:tmpl w:val="8ECC9B2C"/>
    <w:lvl w:ilvl="0" w:tplc="3B627CDE">
      <w:start w:val="3"/>
      <w:numFmt w:val="bullet"/>
      <w:lvlText w:val=""/>
      <w:lvlJc w:val="left"/>
      <w:pPr>
        <w:ind w:left="1180" w:hanging="360"/>
      </w:pPr>
      <w:rPr>
        <w:rFonts w:ascii="Symbol" w:eastAsiaTheme="minorHAnsi" w:hAnsi="Symbol" w:cstheme="minorHAns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16cid:durableId="361319566">
    <w:abstractNumId w:val="7"/>
  </w:num>
  <w:num w:numId="2" w16cid:durableId="1551381938">
    <w:abstractNumId w:val="5"/>
  </w:num>
  <w:num w:numId="3" w16cid:durableId="1197698399">
    <w:abstractNumId w:val="9"/>
  </w:num>
  <w:num w:numId="4" w16cid:durableId="744960969">
    <w:abstractNumId w:val="35"/>
  </w:num>
  <w:num w:numId="5" w16cid:durableId="1562666676">
    <w:abstractNumId w:val="41"/>
  </w:num>
  <w:num w:numId="6" w16cid:durableId="733284267">
    <w:abstractNumId w:val="30"/>
  </w:num>
  <w:num w:numId="7" w16cid:durableId="529076910">
    <w:abstractNumId w:val="22"/>
  </w:num>
  <w:num w:numId="8" w16cid:durableId="1963803944">
    <w:abstractNumId w:val="6"/>
  </w:num>
  <w:num w:numId="9" w16cid:durableId="1091001212">
    <w:abstractNumId w:val="4"/>
  </w:num>
  <w:num w:numId="10" w16cid:durableId="2064476004">
    <w:abstractNumId w:val="8"/>
  </w:num>
  <w:num w:numId="11" w16cid:durableId="1962490366">
    <w:abstractNumId w:val="3"/>
  </w:num>
  <w:num w:numId="12" w16cid:durableId="2014063049">
    <w:abstractNumId w:val="2"/>
  </w:num>
  <w:num w:numId="13" w16cid:durableId="330642402">
    <w:abstractNumId w:val="1"/>
  </w:num>
  <w:num w:numId="14" w16cid:durableId="1861501948">
    <w:abstractNumId w:val="0"/>
  </w:num>
  <w:num w:numId="15" w16cid:durableId="1411341855">
    <w:abstractNumId w:val="25"/>
  </w:num>
  <w:num w:numId="16" w16cid:durableId="1429426419">
    <w:abstractNumId w:val="32"/>
  </w:num>
  <w:num w:numId="17" w16cid:durableId="1876455456">
    <w:abstractNumId w:val="45"/>
  </w:num>
  <w:num w:numId="18" w16cid:durableId="1054550343">
    <w:abstractNumId w:val="37"/>
  </w:num>
  <w:num w:numId="19" w16cid:durableId="109401469">
    <w:abstractNumId w:val="18"/>
  </w:num>
  <w:num w:numId="20" w16cid:durableId="1907449209">
    <w:abstractNumId w:val="40"/>
  </w:num>
  <w:num w:numId="21" w16cid:durableId="1545797905">
    <w:abstractNumId w:val="48"/>
  </w:num>
  <w:num w:numId="22" w16cid:durableId="1419792799">
    <w:abstractNumId w:val="43"/>
  </w:num>
  <w:num w:numId="23" w16cid:durableId="1915241595">
    <w:abstractNumId w:val="47"/>
  </w:num>
  <w:num w:numId="24" w16cid:durableId="966854777">
    <w:abstractNumId w:val="10"/>
  </w:num>
  <w:num w:numId="25" w16cid:durableId="568078485">
    <w:abstractNumId w:val="38"/>
  </w:num>
  <w:num w:numId="26" w16cid:durableId="648945337">
    <w:abstractNumId w:val="16"/>
  </w:num>
  <w:num w:numId="27" w16cid:durableId="587278604">
    <w:abstractNumId w:val="58"/>
  </w:num>
  <w:num w:numId="28" w16cid:durableId="2012370379">
    <w:abstractNumId w:val="28"/>
  </w:num>
  <w:num w:numId="29" w16cid:durableId="1855265566">
    <w:abstractNumId w:val="34"/>
  </w:num>
  <w:num w:numId="30" w16cid:durableId="1956710471">
    <w:abstractNumId w:val="21"/>
  </w:num>
  <w:num w:numId="31" w16cid:durableId="1267688408">
    <w:abstractNumId w:val="56"/>
  </w:num>
  <w:num w:numId="32" w16cid:durableId="707724540">
    <w:abstractNumId w:val="42"/>
  </w:num>
  <w:num w:numId="33" w16cid:durableId="1572037899">
    <w:abstractNumId w:val="54"/>
  </w:num>
  <w:num w:numId="34" w16cid:durableId="1237133563">
    <w:abstractNumId w:val="33"/>
  </w:num>
  <w:num w:numId="35" w16cid:durableId="1215199059">
    <w:abstractNumId w:val="44"/>
  </w:num>
  <w:num w:numId="36" w16cid:durableId="1277563832">
    <w:abstractNumId w:val="12"/>
  </w:num>
  <w:num w:numId="37" w16cid:durableId="1589120889">
    <w:abstractNumId w:val="46"/>
  </w:num>
  <w:num w:numId="38" w16cid:durableId="515845376">
    <w:abstractNumId w:val="23"/>
  </w:num>
  <w:num w:numId="39" w16cid:durableId="256254356">
    <w:abstractNumId w:val="36"/>
  </w:num>
  <w:num w:numId="40" w16cid:durableId="2030787660">
    <w:abstractNumId w:val="59"/>
  </w:num>
  <w:num w:numId="41" w16cid:durableId="1239294049">
    <w:abstractNumId w:val="13"/>
  </w:num>
  <w:num w:numId="42" w16cid:durableId="116261359">
    <w:abstractNumId w:val="49"/>
  </w:num>
  <w:num w:numId="43" w16cid:durableId="131555959">
    <w:abstractNumId w:val="50"/>
  </w:num>
  <w:num w:numId="44" w16cid:durableId="791172127">
    <w:abstractNumId w:val="60"/>
  </w:num>
  <w:num w:numId="45" w16cid:durableId="1647320771">
    <w:abstractNumId w:val="39"/>
  </w:num>
  <w:num w:numId="46" w16cid:durableId="1911499117">
    <w:abstractNumId w:val="15"/>
  </w:num>
  <w:num w:numId="47" w16cid:durableId="790440390">
    <w:abstractNumId w:val="26"/>
  </w:num>
  <w:num w:numId="48" w16cid:durableId="8266157">
    <w:abstractNumId w:val="55"/>
  </w:num>
  <w:num w:numId="49" w16cid:durableId="2046178741">
    <w:abstractNumId w:val="51"/>
  </w:num>
  <w:num w:numId="50" w16cid:durableId="2073697299">
    <w:abstractNumId w:val="24"/>
  </w:num>
  <w:num w:numId="51" w16cid:durableId="514804724">
    <w:abstractNumId w:val="57"/>
  </w:num>
  <w:num w:numId="52" w16cid:durableId="908808690">
    <w:abstractNumId w:val="52"/>
  </w:num>
  <w:num w:numId="53" w16cid:durableId="760683041">
    <w:abstractNumId w:val="53"/>
  </w:num>
  <w:num w:numId="54" w16cid:durableId="578177243">
    <w:abstractNumId w:val="20"/>
  </w:num>
  <w:num w:numId="55" w16cid:durableId="1900095860">
    <w:abstractNumId w:val="17"/>
  </w:num>
  <w:num w:numId="56" w16cid:durableId="290357231">
    <w:abstractNumId w:val="31"/>
  </w:num>
  <w:num w:numId="57" w16cid:durableId="1355770616">
    <w:abstractNumId w:val="19"/>
  </w:num>
  <w:num w:numId="58" w16cid:durableId="547961314">
    <w:abstractNumId w:val="29"/>
  </w:num>
  <w:num w:numId="59" w16cid:durableId="1699697139">
    <w:abstractNumId w:val="27"/>
  </w:num>
  <w:num w:numId="60" w16cid:durableId="281304191">
    <w:abstractNumId w:val="14"/>
  </w:num>
  <w:num w:numId="61" w16cid:durableId="27337982">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displayBackgroundShape/>
  <w:hideSpellingErrors/>
  <w:hideGrammatical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Moves/>
  <w:doNotTrackFormatting/>
  <w:documentProtection w:edit="readOnly" w:enforcement="0"/>
  <w:defaultTabStop w:val="720"/>
  <w:defaultTableStyle w:val="TableNormal"/>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4E2"/>
    <w:rsid w:val="000C5197"/>
    <w:rsid w:val="000D34E3"/>
    <w:rsid w:val="001F5A48"/>
    <w:rsid w:val="002931B3"/>
    <w:rsid w:val="003369EB"/>
    <w:rsid w:val="003D0CAA"/>
    <w:rsid w:val="003D0E56"/>
    <w:rsid w:val="00614420"/>
    <w:rsid w:val="00641503"/>
    <w:rsid w:val="007A1879"/>
    <w:rsid w:val="00880CE3"/>
    <w:rsid w:val="009534E2"/>
    <w:rsid w:val="00A27544"/>
    <w:rsid w:val="00AA425A"/>
    <w:rsid w:val="00EC0AE1"/>
    <w:rsid w:val="00F00840"/>
    <w:rsid w:val="00FB65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57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qFormat="1"/>
    <w:lsdException w:name="heading 3" w:semiHidden="1" w:uiPriority="5" w:qFormat="1"/>
    <w:lsdException w:name="heading 4" w:semiHidden="1" w:uiPriority="6" w:qFormat="1"/>
    <w:lsdException w:name="heading 5" w:semiHidden="1" w:uiPriority="7" w:qFormat="1"/>
    <w:lsdException w:name="heading 6" w:semiHidden="1" w:uiPriority="8" w:unhideWhenUsed="1" w:qFormat="1"/>
    <w:lsdException w:name="heading 7" w:semiHidden="1" w:uiPriority="9" w:unhideWhenUsed="1" w:qFormat="1"/>
    <w:lsdException w:name="heading 8" w:semiHidden="1" w:uiPriority="10"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HAnsi"/>
    </w:rPr>
  </w:style>
  <w:style w:type="paragraph" w:styleId="Heading1">
    <w:name w:val="heading 1"/>
    <w:basedOn w:val="Normal"/>
    <w:next w:val="BodyText"/>
    <w:link w:val="Heading1Char"/>
    <w:uiPriority w:val="3"/>
    <w:qFormat/>
    <w:pPr>
      <w:keepNext/>
      <w:keepLines/>
      <w:spacing w:after="200"/>
      <w:outlineLvl w:val="0"/>
    </w:pPr>
    <w:rPr>
      <w:rFonts w:asciiTheme="majorHAnsi" w:eastAsiaTheme="majorEastAsia" w:hAnsiTheme="majorHAnsi" w:cstheme="majorHAnsi"/>
      <w:b/>
      <w:szCs w:val="32"/>
    </w:rPr>
  </w:style>
  <w:style w:type="paragraph" w:styleId="Heading2">
    <w:name w:val="heading 2"/>
    <w:basedOn w:val="Normal"/>
    <w:next w:val="BodyText"/>
    <w:link w:val="Heading2Char"/>
    <w:uiPriority w:val="4"/>
    <w:qFormat/>
    <w:pPr>
      <w:keepNext/>
      <w:keepLines/>
      <w:spacing w:after="200"/>
      <w:outlineLvl w:val="1"/>
    </w:pPr>
    <w:rPr>
      <w:rFonts w:asciiTheme="majorHAnsi" w:eastAsiaTheme="majorEastAsia" w:hAnsiTheme="majorHAnsi" w:cstheme="majorHAnsi"/>
      <w:i/>
      <w:szCs w:val="26"/>
    </w:rPr>
  </w:style>
  <w:style w:type="paragraph" w:styleId="Heading3">
    <w:name w:val="heading 3"/>
    <w:basedOn w:val="Normal"/>
    <w:next w:val="BodyText"/>
    <w:link w:val="Heading3Char"/>
    <w:uiPriority w:val="5"/>
    <w:qFormat/>
    <w:pPr>
      <w:keepNext/>
      <w:keepLines/>
      <w:spacing w:after="200"/>
      <w:outlineLvl w:val="2"/>
    </w:pPr>
    <w:rPr>
      <w:rFonts w:asciiTheme="majorHAnsi" w:eastAsiaTheme="majorEastAsia" w:hAnsiTheme="majorHAnsi" w:cstheme="majorHAnsi"/>
      <w:b/>
      <w:i/>
    </w:rPr>
  </w:style>
  <w:style w:type="paragraph" w:styleId="Heading4">
    <w:name w:val="heading 4"/>
    <w:basedOn w:val="Normal"/>
    <w:next w:val="BodyText"/>
    <w:link w:val="Heading4Char"/>
    <w:uiPriority w:val="6"/>
    <w:qFormat/>
    <w:pPr>
      <w:keepNext/>
      <w:keepLines/>
      <w:spacing w:after="200"/>
      <w:outlineLvl w:val="3"/>
    </w:pPr>
    <w:rPr>
      <w:rFonts w:asciiTheme="majorHAnsi" w:eastAsiaTheme="majorEastAsia" w:hAnsiTheme="majorHAnsi" w:cstheme="majorHAnsi"/>
      <w:b/>
      <w:iCs/>
    </w:rPr>
  </w:style>
  <w:style w:type="paragraph" w:styleId="Heading5">
    <w:name w:val="heading 5"/>
    <w:basedOn w:val="Normal"/>
    <w:next w:val="BodyText"/>
    <w:link w:val="Heading5Char"/>
    <w:uiPriority w:val="7"/>
    <w:qFormat/>
    <w:pPr>
      <w:keepNext/>
      <w:keepLines/>
      <w:spacing w:after="200"/>
      <w:outlineLvl w:val="4"/>
    </w:pPr>
    <w:rPr>
      <w:rFonts w:asciiTheme="majorHAnsi" w:eastAsiaTheme="majorEastAsia" w:hAnsiTheme="majorHAnsi" w:cstheme="majorHAnsi"/>
      <w:i/>
      <w:u w:val="single"/>
    </w:rPr>
  </w:style>
  <w:style w:type="paragraph" w:styleId="Heading6">
    <w:name w:val="heading 6"/>
    <w:basedOn w:val="Normal"/>
    <w:next w:val="BodyText"/>
    <w:link w:val="Heading6Char"/>
    <w:uiPriority w:val="8"/>
    <w:semiHidden/>
    <w:unhideWhenUsed/>
    <w:qFormat/>
    <w:pPr>
      <w:keepNext/>
      <w:keepLines/>
      <w:spacing w:after="200"/>
      <w:outlineLvl w:val="5"/>
    </w:pPr>
    <w:rPr>
      <w:rFonts w:asciiTheme="majorHAnsi" w:eastAsiaTheme="majorEastAsia" w:hAnsiTheme="majorHAnsi" w:cstheme="majorHAnsi"/>
    </w:rPr>
  </w:style>
  <w:style w:type="paragraph" w:styleId="Heading7">
    <w:name w:val="heading 7"/>
    <w:basedOn w:val="Normal"/>
    <w:next w:val="BodyText"/>
    <w:link w:val="Heading7Char"/>
    <w:uiPriority w:val="9"/>
    <w:semiHidden/>
    <w:unhideWhenUsed/>
    <w:qFormat/>
    <w:pPr>
      <w:keepNext/>
      <w:keepLines/>
      <w:spacing w:after="200"/>
      <w:outlineLvl w:val="6"/>
    </w:pPr>
    <w:rPr>
      <w:rFonts w:asciiTheme="majorHAnsi" w:eastAsiaTheme="majorEastAsia" w:hAnsiTheme="majorHAnsi" w:cstheme="majorHAnsi"/>
      <w:iCs/>
    </w:rPr>
  </w:style>
  <w:style w:type="paragraph" w:styleId="Heading8">
    <w:name w:val="heading 8"/>
    <w:basedOn w:val="Normal"/>
    <w:next w:val="BodyText"/>
    <w:link w:val="Heading8Char"/>
    <w:uiPriority w:val="10"/>
    <w:semiHidden/>
    <w:unhideWhenUsed/>
    <w:qFormat/>
    <w:pPr>
      <w:keepNext/>
      <w:keepLines/>
      <w:spacing w:after="200"/>
      <w:outlineLvl w:val="7"/>
    </w:pPr>
    <w:rPr>
      <w:rFonts w:asciiTheme="majorHAnsi" w:eastAsiaTheme="majorEastAsia" w:hAnsiTheme="majorHAnsi" w:cstheme="majorHAnsi"/>
      <w:szCs w:val="21"/>
    </w:rPr>
  </w:style>
  <w:style w:type="paragraph" w:styleId="Heading9">
    <w:name w:val="heading 9"/>
    <w:basedOn w:val="Normal"/>
    <w:next w:val="BodyText"/>
    <w:link w:val="Heading9Char"/>
    <w:uiPriority w:val="11"/>
    <w:semiHidden/>
    <w:unhideWhenUsed/>
    <w:qFormat/>
    <w:pPr>
      <w:keepNext/>
      <w:keepLines/>
      <w:spacing w:after="200"/>
      <w:outlineLvl w:val="8"/>
    </w:pPr>
    <w:rPr>
      <w:rFonts w:asciiTheme="majorHAnsi" w:eastAsiaTheme="majorEastAsia" w:hAnsiTheme="majorHAnsi" w:cstheme="majorHAns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ridgeTempStyle1206">
    <w:name w:val="BridgeTempStyle1206"/>
    <w:semiHidden/>
    <w:pPr>
      <w:numPr>
        <w:numId w:val="4"/>
      </w:numPr>
    </w:pPr>
  </w:style>
  <w:style w:type="character" w:customStyle="1" w:styleId="Heading1Char">
    <w:name w:val="Heading 1 Char"/>
    <w:basedOn w:val="DefaultParagraphFont"/>
    <w:link w:val="Heading1"/>
    <w:uiPriority w:val="3"/>
    <w:rPr>
      <w:rFonts w:asciiTheme="majorHAnsi" w:eastAsiaTheme="majorEastAsia" w:hAnsiTheme="majorHAnsi" w:cstheme="majorHAnsi"/>
      <w:b/>
      <w:szCs w:val="32"/>
    </w:rPr>
  </w:style>
  <w:style w:type="character" w:customStyle="1" w:styleId="Heading2Char">
    <w:name w:val="Heading 2 Char"/>
    <w:basedOn w:val="DefaultParagraphFont"/>
    <w:link w:val="Heading2"/>
    <w:uiPriority w:val="4"/>
    <w:rPr>
      <w:rFonts w:asciiTheme="majorHAnsi" w:eastAsiaTheme="majorEastAsia" w:hAnsiTheme="majorHAnsi" w:cstheme="majorHAnsi"/>
      <w:i/>
      <w:szCs w:val="26"/>
    </w:rPr>
  </w:style>
  <w:style w:type="character" w:customStyle="1" w:styleId="Heading3Char">
    <w:name w:val="Heading 3 Char"/>
    <w:basedOn w:val="DefaultParagraphFont"/>
    <w:link w:val="Heading3"/>
    <w:uiPriority w:val="5"/>
    <w:rPr>
      <w:rFonts w:asciiTheme="majorHAnsi" w:eastAsiaTheme="majorEastAsia" w:hAnsiTheme="majorHAnsi" w:cstheme="majorHAnsi"/>
      <w:b/>
      <w:i/>
    </w:rPr>
  </w:style>
  <w:style w:type="character" w:customStyle="1" w:styleId="Heading4Char">
    <w:name w:val="Heading 4 Char"/>
    <w:basedOn w:val="DefaultParagraphFont"/>
    <w:link w:val="Heading4"/>
    <w:uiPriority w:val="6"/>
    <w:rPr>
      <w:rFonts w:asciiTheme="majorHAnsi" w:eastAsiaTheme="majorEastAsia" w:hAnsiTheme="majorHAnsi" w:cstheme="majorHAnsi"/>
      <w:b/>
      <w:iCs/>
    </w:rPr>
  </w:style>
  <w:style w:type="character" w:customStyle="1" w:styleId="Heading5Char">
    <w:name w:val="Heading 5 Char"/>
    <w:basedOn w:val="DefaultParagraphFont"/>
    <w:link w:val="Heading5"/>
    <w:uiPriority w:val="7"/>
    <w:rPr>
      <w:rFonts w:asciiTheme="majorHAnsi" w:eastAsiaTheme="majorEastAsia" w:hAnsiTheme="majorHAnsi" w:cstheme="majorHAnsi"/>
      <w:i/>
      <w:u w:val="single"/>
    </w:rPr>
  </w:style>
  <w:style w:type="character" w:customStyle="1" w:styleId="Heading6Char">
    <w:name w:val="Heading 6 Char"/>
    <w:basedOn w:val="DefaultParagraphFont"/>
    <w:link w:val="Heading6"/>
    <w:uiPriority w:val="8"/>
    <w:semiHidden/>
    <w:rPr>
      <w:rFonts w:asciiTheme="majorHAnsi" w:eastAsiaTheme="majorEastAsia" w:hAnsiTheme="majorHAnsi" w:cstheme="majorHAnsi"/>
    </w:rPr>
  </w:style>
  <w:style w:type="character" w:customStyle="1" w:styleId="Heading7Char">
    <w:name w:val="Heading 7 Char"/>
    <w:basedOn w:val="DefaultParagraphFont"/>
    <w:link w:val="Heading7"/>
    <w:uiPriority w:val="9"/>
    <w:semiHidden/>
    <w:rPr>
      <w:rFonts w:asciiTheme="majorHAnsi" w:eastAsiaTheme="majorEastAsia" w:hAnsiTheme="majorHAnsi" w:cstheme="majorHAnsi"/>
      <w:iCs/>
    </w:rPr>
  </w:style>
  <w:style w:type="character" w:customStyle="1" w:styleId="Heading8Char">
    <w:name w:val="Heading 8 Char"/>
    <w:basedOn w:val="DefaultParagraphFont"/>
    <w:link w:val="Heading8"/>
    <w:uiPriority w:val="10"/>
    <w:semiHidden/>
    <w:rPr>
      <w:rFonts w:asciiTheme="majorHAnsi" w:eastAsiaTheme="majorEastAsia" w:hAnsiTheme="majorHAnsi" w:cstheme="majorHAnsi"/>
      <w:szCs w:val="21"/>
    </w:rPr>
  </w:style>
  <w:style w:type="character" w:customStyle="1" w:styleId="Heading9Char">
    <w:name w:val="Heading 9 Char"/>
    <w:basedOn w:val="DefaultParagraphFont"/>
    <w:link w:val="Heading9"/>
    <w:uiPriority w:val="11"/>
    <w:semiHidden/>
    <w:rPr>
      <w:rFonts w:asciiTheme="majorHAnsi" w:eastAsiaTheme="majorEastAsia" w:hAnsiTheme="majorHAnsi" w:cstheme="majorHAnsi"/>
      <w:iCs/>
      <w:szCs w:val="21"/>
    </w:rPr>
  </w:style>
  <w:style w:type="paragraph" w:styleId="BalloonText">
    <w:name w:val="Balloon Text"/>
    <w:basedOn w:val="Normal"/>
    <w:link w:val="BalloonTextChar"/>
    <w:uiPriority w:val="99"/>
    <w:semiHidden/>
    <w:rPr>
      <w:sz w:val="18"/>
      <w:szCs w:val="18"/>
    </w:rPr>
  </w:style>
  <w:style w:type="character" w:customStyle="1" w:styleId="BalloonTextChar">
    <w:name w:val="Balloon Text Char"/>
    <w:basedOn w:val="DefaultParagraphFont"/>
    <w:link w:val="BalloonText"/>
    <w:uiPriority w:val="99"/>
    <w:semiHidden/>
    <w:rPr>
      <w:rFonts w:asciiTheme="minorHAnsi" w:eastAsiaTheme="minorHAnsi" w:hAnsiTheme="minorHAnsi" w:cstheme="minorHAnsi"/>
      <w:sz w:val="18"/>
      <w:szCs w:val="18"/>
    </w:rPr>
  </w:style>
  <w:style w:type="table" w:styleId="TableGrid">
    <w:name w:val="Table Grid"/>
    <w:basedOn w:val="TableNormal"/>
    <w:uiPriority w:val="3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heme="minorHAnsi" w:eastAsiaTheme="minorHAnsi" w:hAnsiTheme="minorHAnsi" w:cstheme="minorHAnsi"/>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heme="minorHAnsi" w:eastAsiaTheme="minorHAnsi" w:hAnsiTheme="minorHAnsi" w:cstheme="minorHAnsi"/>
    </w:rPr>
  </w:style>
  <w:style w:type="numbering" w:styleId="111111">
    <w:name w:val="Outline List 2"/>
    <w:basedOn w:val="NoList"/>
    <w:uiPriority w:val="99"/>
    <w:semiHidden/>
    <w:unhideWhenUsed/>
    <w:pPr>
      <w:numPr>
        <w:numId w:val="5"/>
      </w:numPr>
    </w:pPr>
  </w:style>
  <w:style w:type="numbering" w:styleId="1ai">
    <w:name w:val="Outline List 1"/>
    <w:basedOn w:val="NoList"/>
    <w:uiPriority w:val="99"/>
    <w:semiHidden/>
    <w:unhideWhenUsed/>
    <w:pPr>
      <w:numPr>
        <w:numId w:val="6"/>
      </w:numPr>
    </w:pPr>
  </w:style>
  <w:style w:type="numbering" w:styleId="ArticleSection">
    <w:name w:val="Outline List 3"/>
    <w:basedOn w:val="NoList"/>
    <w:uiPriority w:val="99"/>
    <w:semiHidden/>
    <w:unhideWhenUsed/>
    <w:pPr>
      <w:numPr>
        <w:numId w:val="7"/>
      </w:numPr>
    </w:p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1"/>
    <w:qFormat/>
    <w:pPr>
      <w:spacing w:after="200"/>
    </w:pPr>
  </w:style>
  <w:style w:type="character" w:customStyle="1" w:styleId="BodyTextChar">
    <w:name w:val="Body Text Char"/>
    <w:basedOn w:val="DefaultParagraphFont"/>
    <w:link w:val="BodyText"/>
    <w:uiPriority w:val="1"/>
    <w:rPr>
      <w:rFonts w:asciiTheme="minorHAnsi" w:eastAsiaTheme="minorHAnsi" w:hAnsiTheme="minorHAnsi" w:cstheme="minorHAnsi"/>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heme="minorHAnsi" w:eastAsiaTheme="minorHAnsi" w:hAnsiTheme="minorHAnsi" w:cstheme="minorHAnsi"/>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heme="minorHAnsi" w:eastAsiaTheme="minorHAnsi" w:hAnsiTheme="minorHAnsi" w:cstheme="minorHAnsi"/>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asciiTheme="minorHAnsi" w:eastAsiaTheme="minorHAnsi" w:hAnsiTheme="minorHAnsi" w:cstheme="minorHAnsi"/>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heme="minorHAnsi" w:eastAsiaTheme="minorHAnsi" w:hAnsiTheme="minorHAnsi" w:cstheme="minorHAnsi"/>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asciiTheme="minorHAnsi" w:eastAsiaTheme="minorHAnsi" w:hAnsiTheme="minorHAnsi" w:cstheme="minorHAnsi"/>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heme="minorHAnsi" w:eastAsiaTheme="minorHAnsi" w:hAnsiTheme="minorHAnsi" w:cstheme="minorHAnsi"/>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Theme="minorHAnsi" w:eastAsiaTheme="minorHAnsi" w:hAnsiTheme="minorHAnsi" w:cstheme="minorHAnsi"/>
      <w:sz w:val="16"/>
      <w:szCs w:val="16"/>
    </w:rPr>
  </w:style>
  <w:style w:type="character" w:styleId="BookTitle">
    <w:name w:val="Book Title"/>
    <w:basedOn w:val="DefaultParagraphFont"/>
    <w:uiPriority w:val="33"/>
    <w:qFormat/>
    <w:rPr>
      <w:rFonts w:asciiTheme="minorHAnsi" w:hAnsiTheme="minorHAnsi" w:cstheme="minorHAnsi"/>
      <w:b/>
      <w:bCs/>
      <w:i/>
      <w:iCs/>
      <w:spacing w:val="5"/>
    </w:rPr>
  </w:style>
  <w:style w:type="paragraph" w:styleId="Caption">
    <w:name w:val="caption"/>
    <w:basedOn w:val="Normal"/>
    <w:next w:val="Normal"/>
    <w:uiPriority w:val="35"/>
    <w:semiHidden/>
    <w:unhideWhenUsed/>
    <w:qFormat/>
    <w:pPr>
      <w:spacing w:after="200"/>
    </w:pPr>
    <w:rPr>
      <w:i/>
      <w:iCs/>
      <w:color w:val="1F497D" w:themeColor="text2"/>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rFonts w:asciiTheme="minorHAnsi" w:eastAsiaTheme="minorHAnsi" w:hAnsiTheme="minorHAnsi" w:cstheme="minorHAnsi"/>
    </w:rPr>
  </w:style>
  <w:style w:type="table" w:styleId="ColorfulGrid">
    <w:name w:val="Colorful Grid"/>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unhideWhenUsed/>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unhideWhenUsed/>
    <w:rPr>
      <w:rFonts w:asciiTheme="minorHAnsi" w:eastAsiaTheme="minorHAnsi" w:hAnsiTheme="minorHAnsi" w:cstheme="minorBidi"/>
      <w:color w:val="000000" w:themeColor="text1"/>
      <w:sz w:val="22"/>
      <w:szCs w:val="22"/>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Pr>
      <w:rFonts w:asciiTheme="minorHAnsi" w:eastAsiaTheme="minorHAnsi" w:hAnsiTheme="minorHAnsi" w:cstheme="minorBidi"/>
      <w:color w:val="000000" w:themeColor="text1"/>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rFonts w:asciiTheme="minorHAnsi" w:hAnsiTheme="minorHAnsi" w:cstheme="minorHAnsi"/>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heme="minorHAnsi" w:eastAsiaTheme="minorHAnsi" w:hAnsiTheme="minorHAnsi" w:cstheme="minorHAn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HAnsi"/>
      <w:b/>
      <w:bCs/>
    </w:rPr>
  </w:style>
  <w:style w:type="table" w:styleId="DarkList">
    <w:name w:val="Dark List"/>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unhideWhenUsed/>
    <w:rPr>
      <w:rFonts w:asciiTheme="minorHAnsi" w:eastAsiaTheme="minorHAnsi" w:hAnsiTheme="minorHAnsi" w:cstheme="minorBidi"/>
      <w:color w:val="FFFFFF" w:themeColor="background1"/>
      <w:sz w:val="22"/>
      <w:szCs w:val="22"/>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heme="minorHAnsi" w:eastAsiaTheme="minorHAnsi" w:hAnsiTheme="minorHAnsi" w:cstheme="minorHAnsi"/>
    </w:rPr>
  </w:style>
  <w:style w:type="paragraph" w:styleId="DocumentMap">
    <w:name w:val="Document Map"/>
    <w:basedOn w:val="Normal"/>
    <w:link w:val="DocumentMapChar"/>
    <w:uiPriority w:val="99"/>
    <w:semiHidden/>
    <w:unhideWhenUsed/>
    <w:rPr>
      <w:sz w:val="16"/>
      <w:szCs w:val="16"/>
    </w:rPr>
  </w:style>
  <w:style w:type="character" w:customStyle="1" w:styleId="DocumentMapChar">
    <w:name w:val="Document Map Char"/>
    <w:basedOn w:val="DefaultParagraphFont"/>
    <w:link w:val="DocumentMap"/>
    <w:uiPriority w:val="99"/>
    <w:semiHidden/>
    <w:rPr>
      <w:rFonts w:asciiTheme="minorHAnsi" w:eastAsiaTheme="minorHAnsi" w:hAnsiTheme="minorHAnsi" w:cstheme="minorHAnsi"/>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Theme="minorHAnsi" w:eastAsiaTheme="minorHAnsi" w:hAnsiTheme="minorHAnsi" w:cstheme="minorHAnsi"/>
    </w:rPr>
  </w:style>
  <w:style w:type="character" w:styleId="Emphasis">
    <w:name w:val="Emphasis"/>
    <w:basedOn w:val="DefaultParagraphFont"/>
    <w:uiPriority w:val="20"/>
    <w:qFormat/>
    <w:rPr>
      <w:rFonts w:asciiTheme="minorHAnsi" w:hAnsiTheme="minorHAnsi" w:cstheme="minorHAnsi"/>
      <w:i/>
      <w:iCs/>
    </w:rPr>
  </w:style>
  <w:style w:type="character" w:styleId="EndnoteReference">
    <w:name w:val="endnote reference"/>
    <w:basedOn w:val="DefaultParagraphFont"/>
    <w:uiPriority w:val="99"/>
    <w:semiHidden/>
    <w:unhideWhenUsed/>
    <w:rPr>
      <w:rFonts w:asciiTheme="minorHAnsi" w:hAnsiTheme="minorHAnsi" w:cstheme="minorHAnsi"/>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rFonts w:asciiTheme="minorHAnsi" w:eastAsiaTheme="minorHAnsi" w:hAnsiTheme="minorHAnsi" w:cstheme="minorHAnsi"/>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Pr>
      <w:rFonts w:eastAsiaTheme="majorEastAsia"/>
    </w:rPr>
  </w:style>
  <w:style w:type="character" w:styleId="FollowedHyperlink">
    <w:name w:val="FollowedHyperlink"/>
    <w:basedOn w:val="DefaultParagraphFont"/>
    <w:uiPriority w:val="99"/>
    <w:semiHidden/>
    <w:unhideWhenUsed/>
    <w:rPr>
      <w:rFonts w:asciiTheme="minorHAnsi" w:hAnsiTheme="minorHAnsi" w:cstheme="minorHAnsi"/>
      <w:color w:val="auto"/>
      <w:u w:val="none"/>
    </w:rPr>
  </w:style>
  <w:style w:type="character" w:styleId="FootnoteReference">
    <w:name w:val="footnote reference"/>
    <w:basedOn w:val="DefaultParagraphFont"/>
    <w:uiPriority w:val="99"/>
    <w:semiHidden/>
    <w:unhideWhenUsed/>
    <w:rPr>
      <w:rFonts w:asciiTheme="minorHAnsi" w:hAnsiTheme="minorHAnsi" w:cstheme="minorHAnsi"/>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HAnsi"/>
    </w:rPr>
  </w:style>
  <w:style w:type="table" w:styleId="GridTable1Light">
    <w:name w:val="Grid Table 1 Light"/>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Pr>
      <w:rFonts w:asciiTheme="minorHAnsi" w:eastAsiaTheme="minorHAnsi" w:hAnsiTheme="minorHAnsi" w:cstheme="minorBidi"/>
      <w:sz w:val="22"/>
      <w:szCs w:val="22"/>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Pr>
      <w:rFonts w:asciiTheme="minorHAnsi" w:eastAsiaTheme="minorHAnsi"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Pr>
      <w:rFonts w:asciiTheme="minorHAnsi" w:eastAsiaTheme="minorHAnsi" w:hAnsiTheme="minorHAnsi" w:cstheme="minorBidi"/>
      <w:color w:val="943634" w:themeColor="accent2" w:themeShade="BF"/>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Pr>
      <w:rFonts w:asciiTheme="minorHAnsi" w:eastAsiaTheme="minorHAnsi" w:hAnsiTheme="minorHAnsi" w:cstheme="minorBidi"/>
      <w:color w:val="76923C" w:themeColor="accent3" w:themeShade="BF"/>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Pr>
      <w:rFonts w:asciiTheme="minorHAnsi" w:eastAsiaTheme="minorHAnsi" w:hAnsiTheme="minorHAnsi" w:cstheme="minorBidi"/>
      <w:color w:val="5F497A" w:themeColor="accent4" w:themeShade="BF"/>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Pr>
      <w:rFonts w:asciiTheme="minorHAnsi" w:eastAsiaTheme="minorHAnsi" w:hAnsiTheme="minorHAnsi" w:cstheme="minorBidi"/>
      <w:color w:val="31849B" w:themeColor="accent5" w:themeShade="BF"/>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Pr>
      <w:rFonts w:asciiTheme="minorHAnsi" w:eastAsiaTheme="minorHAnsi" w:hAnsiTheme="minorHAnsi" w:cstheme="minorBidi"/>
      <w:color w:val="E36C0A" w:themeColor="accent6" w:themeShade="BF"/>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Pr>
      <w:rFonts w:asciiTheme="minorHAnsi" w:eastAsiaTheme="minorHAnsi"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Pr>
      <w:rFonts w:asciiTheme="minorHAnsi" w:eastAsiaTheme="minorHAnsi" w:hAnsiTheme="minorHAnsi" w:cstheme="minorBidi"/>
      <w:color w:val="943634" w:themeColor="accent2" w:themeShade="BF"/>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Pr>
      <w:rFonts w:asciiTheme="minorHAnsi" w:eastAsiaTheme="minorHAnsi" w:hAnsiTheme="minorHAnsi" w:cstheme="minorBidi"/>
      <w:color w:val="76923C" w:themeColor="accent3" w:themeShade="BF"/>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Pr>
      <w:rFonts w:asciiTheme="minorHAnsi" w:eastAsiaTheme="minorHAnsi" w:hAnsiTheme="minorHAnsi" w:cstheme="minorBidi"/>
      <w:color w:val="5F497A" w:themeColor="accent4" w:themeShade="BF"/>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Pr>
      <w:rFonts w:asciiTheme="minorHAnsi" w:eastAsiaTheme="minorHAnsi" w:hAnsiTheme="minorHAnsi" w:cstheme="minorBidi"/>
      <w:color w:val="31849B" w:themeColor="accent5" w:themeShade="BF"/>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Pr>
      <w:rFonts w:asciiTheme="minorHAnsi" w:eastAsiaTheme="minorHAnsi" w:hAnsiTheme="minorHAnsi" w:cstheme="minorBidi"/>
      <w:color w:val="E36C0A" w:themeColor="accent6" w:themeShade="BF"/>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Pr>
      <w:rFonts w:asciiTheme="minorHAnsi" w:hAnsiTheme="minorHAnsi" w:cstheme="minorHAnsi"/>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Theme="minorHAnsi" w:eastAsiaTheme="minorHAnsi" w:hAnsiTheme="minorHAnsi" w:cstheme="minorHAnsi"/>
      <w:i/>
      <w:iCs/>
    </w:rPr>
  </w:style>
  <w:style w:type="character" w:styleId="HTMLCite">
    <w:name w:val="HTML Cite"/>
    <w:basedOn w:val="DefaultParagraphFont"/>
    <w:uiPriority w:val="99"/>
    <w:semiHidden/>
    <w:unhideWhenUsed/>
    <w:rPr>
      <w:rFonts w:asciiTheme="minorHAnsi" w:hAnsiTheme="minorHAnsi" w:cstheme="minorHAnsi"/>
      <w:i/>
      <w:iCs/>
    </w:rPr>
  </w:style>
  <w:style w:type="character" w:styleId="HTMLCode">
    <w:name w:val="HTML Code"/>
    <w:basedOn w:val="DefaultParagraphFont"/>
    <w:uiPriority w:val="99"/>
    <w:semiHidden/>
    <w:unhideWhenUsed/>
    <w:rPr>
      <w:rFonts w:asciiTheme="minorHAnsi" w:hAnsiTheme="minorHAnsi" w:cstheme="minorHAnsi"/>
      <w:sz w:val="20"/>
      <w:szCs w:val="20"/>
    </w:rPr>
  </w:style>
  <w:style w:type="character" w:styleId="HTMLDefinition">
    <w:name w:val="HTML Definition"/>
    <w:basedOn w:val="DefaultParagraphFont"/>
    <w:uiPriority w:val="99"/>
    <w:semiHidden/>
    <w:unhideWhenUsed/>
    <w:rPr>
      <w:rFonts w:asciiTheme="minorHAnsi" w:hAnsiTheme="minorHAnsi" w:cstheme="minorHAnsi"/>
      <w:i/>
      <w:iCs/>
    </w:rPr>
  </w:style>
  <w:style w:type="character" w:styleId="HTMLKeyboard">
    <w:name w:val="HTML Keyboard"/>
    <w:basedOn w:val="DefaultParagraphFont"/>
    <w:uiPriority w:val="99"/>
    <w:semiHidden/>
    <w:unhideWhenUsed/>
    <w:rPr>
      <w:rFonts w:asciiTheme="minorHAnsi" w:hAnsiTheme="minorHAnsi" w:cstheme="minorHAnsi"/>
      <w:sz w:val="20"/>
      <w:szCs w:val="20"/>
    </w:rPr>
  </w:style>
  <w:style w:type="paragraph" w:styleId="HTMLPreformatted">
    <w:name w:val="HTML Preformatted"/>
    <w:basedOn w:val="Normal"/>
    <w:link w:val="HTMLPreformattedChar"/>
    <w:uiPriority w:val="99"/>
    <w:semiHidden/>
    <w:unhideWhenUsed/>
  </w:style>
  <w:style w:type="character" w:customStyle="1" w:styleId="HTMLPreformattedChar">
    <w:name w:val="HTML Preformatted Char"/>
    <w:basedOn w:val="DefaultParagraphFont"/>
    <w:link w:val="HTMLPreformatted"/>
    <w:uiPriority w:val="99"/>
    <w:semiHidden/>
    <w:rPr>
      <w:rFonts w:asciiTheme="minorHAnsi" w:eastAsiaTheme="minorHAnsi" w:hAnsiTheme="minorHAnsi" w:cstheme="minorHAnsi"/>
    </w:rPr>
  </w:style>
  <w:style w:type="character" w:styleId="HTMLSample">
    <w:name w:val="HTML Sample"/>
    <w:basedOn w:val="DefaultParagraphFont"/>
    <w:uiPriority w:val="99"/>
    <w:semiHidden/>
    <w:unhideWhenUsed/>
    <w:rPr>
      <w:rFonts w:asciiTheme="minorHAnsi" w:hAnsiTheme="minorHAnsi" w:cstheme="minorHAnsi"/>
      <w:sz w:val="24"/>
      <w:szCs w:val="24"/>
    </w:rPr>
  </w:style>
  <w:style w:type="character" w:styleId="HTMLTypewriter">
    <w:name w:val="HTML Typewriter"/>
    <w:basedOn w:val="DefaultParagraphFont"/>
    <w:uiPriority w:val="99"/>
    <w:semiHidden/>
    <w:unhideWhenUsed/>
    <w:rPr>
      <w:rFonts w:asciiTheme="minorHAnsi" w:hAnsiTheme="minorHAnsi" w:cstheme="minorHAnsi"/>
      <w:sz w:val="20"/>
      <w:szCs w:val="20"/>
    </w:rPr>
  </w:style>
  <w:style w:type="character" w:styleId="HTMLVariable">
    <w:name w:val="HTML Variable"/>
    <w:basedOn w:val="DefaultParagraphFont"/>
    <w:uiPriority w:val="99"/>
    <w:semiHidden/>
    <w:unhideWhenUsed/>
    <w:rPr>
      <w:rFonts w:asciiTheme="minorHAnsi" w:hAnsiTheme="minorHAnsi" w:cstheme="minorHAnsi"/>
      <w:i/>
      <w:iCs/>
    </w:rPr>
  </w:style>
  <w:style w:type="character" w:styleId="Hyperlink">
    <w:name w:val="Hyperlink"/>
    <w:basedOn w:val="DefaultParagraphFont"/>
    <w:uiPriority w:val="99"/>
    <w:unhideWhenUsed/>
    <w:rPr>
      <w:rFonts w:asciiTheme="minorHAnsi" w:hAnsiTheme="minorHAnsi" w:cstheme="minorHAnsi"/>
      <w:color w:val="auto"/>
      <w:u w:val="none"/>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eastAsiaTheme="majorEastAsia"/>
      <w:b/>
      <w:bCs/>
    </w:rPr>
  </w:style>
  <w:style w:type="character" w:styleId="IntenseEmphasis">
    <w:name w:val="Intense Emphasis"/>
    <w:basedOn w:val="DefaultParagraphFont"/>
    <w:uiPriority w:val="21"/>
    <w:qFormat/>
    <w:rPr>
      <w:rFonts w:asciiTheme="minorHAnsi" w:hAnsiTheme="minorHAnsi" w:cstheme="minorHAnsi"/>
      <w:i/>
      <w:iCs/>
      <w:color w:val="4F81BD" w:themeColor="accent1"/>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HAnsi"/>
      <w:i/>
      <w:iCs/>
      <w:color w:val="4F81BD" w:themeColor="accent1"/>
    </w:rPr>
  </w:style>
  <w:style w:type="character" w:styleId="IntenseReference">
    <w:name w:val="Intense Reference"/>
    <w:basedOn w:val="DefaultParagraphFont"/>
    <w:uiPriority w:val="32"/>
    <w:qFormat/>
    <w:rPr>
      <w:rFonts w:asciiTheme="minorHAnsi" w:hAnsiTheme="minorHAnsi" w:cstheme="minorHAnsi"/>
      <w:b/>
      <w:bCs/>
      <w:smallCaps/>
      <w:color w:val="4F81BD" w:themeColor="accent1"/>
      <w:spacing w:val="5"/>
    </w:rPr>
  </w:style>
  <w:style w:type="table" w:styleId="LightGrid">
    <w:name w:val="Light Grid"/>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unhideWhenUsed/>
    <w:rPr>
      <w:rFonts w:asciiTheme="minorHAnsi" w:eastAsiaTheme="minorHAnsi"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unhideWhenUsed/>
    <w:rPr>
      <w:rFonts w:asciiTheme="minorHAnsi" w:eastAsiaTheme="minorHAnsi"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unhideWhenUse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unhideWhenUsed/>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unhideWhenUsed/>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unhideWhenUsed/>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unhideWhenUsed/>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unhideWhenUsed/>
    <w:rPr>
      <w:rFonts w:asciiTheme="minorHAnsi" w:eastAsiaTheme="minorHAnsi" w:hAnsiTheme="minorHAnsi" w:cstheme="minorBid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Pr>
      <w:rFonts w:asciiTheme="minorHAnsi" w:hAnsiTheme="minorHAnsi" w:cstheme="minorHAnsi"/>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1"/>
      </w:numPr>
      <w:tabs>
        <w:tab w:val="clear" w:pos="720"/>
        <w:tab w:val="num" w:pos="360"/>
      </w:tabs>
      <w:ind w:left="360"/>
      <w:contextualSpacing/>
    </w:pPr>
  </w:style>
  <w:style w:type="paragraph" w:styleId="ListBullet3">
    <w:name w:val="List Bullet 3"/>
    <w:basedOn w:val="Normal"/>
    <w:uiPriority w:val="99"/>
    <w:semiHidden/>
    <w:unhideWhenUsed/>
    <w:pPr>
      <w:numPr>
        <w:numId w:val="8"/>
      </w:numPr>
      <w:tabs>
        <w:tab w:val="clear" w:pos="1080"/>
        <w:tab w:val="num" w:pos="720"/>
      </w:tabs>
      <w:ind w:left="720"/>
      <w:contextualSpacing/>
    </w:pPr>
  </w:style>
  <w:style w:type="paragraph" w:styleId="ListBullet4">
    <w:name w:val="List Bullet 4"/>
    <w:basedOn w:val="Normal"/>
    <w:uiPriority w:val="99"/>
    <w:semiHidden/>
    <w:unhideWhenUsed/>
    <w:pPr>
      <w:numPr>
        <w:numId w:val="2"/>
      </w:numPr>
      <w:tabs>
        <w:tab w:val="clear" w:pos="1440"/>
        <w:tab w:val="num" w:pos="360"/>
      </w:tabs>
      <w:ind w:left="360"/>
      <w:contextualSpacing/>
    </w:pPr>
  </w:style>
  <w:style w:type="paragraph" w:styleId="ListBullet5">
    <w:name w:val="List Bullet 5"/>
    <w:basedOn w:val="Normal"/>
    <w:uiPriority w:val="99"/>
    <w:semiHidden/>
    <w:unhideWhenUsed/>
    <w:pPr>
      <w:numPr>
        <w:numId w:val="9"/>
      </w:numPr>
      <w:tabs>
        <w:tab w:val="clear" w:pos="1800"/>
        <w:tab w:val="num" w:pos="1080"/>
      </w:tabs>
      <w:ind w:left="108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10"/>
      </w:numPr>
      <w:tabs>
        <w:tab w:val="clear" w:pos="360"/>
        <w:tab w:val="num" w:pos="1440"/>
      </w:tabs>
      <w:ind w:left="1440"/>
      <w:contextualSpacing/>
    </w:pPr>
  </w:style>
  <w:style w:type="paragraph" w:styleId="ListNumber2">
    <w:name w:val="List Number 2"/>
    <w:basedOn w:val="Normal"/>
    <w:uiPriority w:val="99"/>
    <w:semiHidden/>
    <w:unhideWhenUsed/>
    <w:pPr>
      <w:numPr>
        <w:numId w:val="11"/>
      </w:numPr>
      <w:tabs>
        <w:tab w:val="clear" w:pos="720"/>
        <w:tab w:val="num" w:pos="1800"/>
      </w:tabs>
      <w:ind w:left="1800"/>
      <w:contextualSpacing/>
    </w:pPr>
  </w:style>
  <w:style w:type="paragraph" w:styleId="ListNumber3">
    <w:name w:val="List Number 3"/>
    <w:basedOn w:val="Normal"/>
    <w:uiPriority w:val="99"/>
    <w:semiHidden/>
    <w:unhideWhenUsed/>
    <w:pPr>
      <w:numPr>
        <w:numId w:val="12"/>
      </w:numPr>
      <w:tabs>
        <w:tab w:val="clear" w:pos="1080"/>
        <w:tab w:val="num" w:pos="1800"/>
      </w:tabs>
      <w:ind w:left="1800"/>
      <w:contextualSpacing/>
    </w:pPr>
  </w:style>
  <w:style w:type="paragraph" w:styleId="ListNumber4">
    <w:name w:val="List Number 4"/>
    <w:basedOn w:val="Normal"/>
    <w:uiPriority w:val="99"/>
    <w:semiHidden/>
    <w:unhideWhenUsed/>
    <w:pPr>
      <w:numPr>
        <w:numId w:val="13"/>
      </w:numPr>
      <w:tabs>
        <w:tab w:val="clear" w:pos="1440"/>
      </w:tabs>
      <w:ind w:left="0" w:firstLine="0"/>
      <w:contextualSpacing/>
    </w:pPr>
  </w:style>
  <w:style w:type="paragraph" w:styleId="ListNumber5">
    <w:name w:val="List Number 5"/>
    <w:basedOn w:val="Normal"/>
    <w:uiPriority w:val="99"/>
    <w:semiHidden/>
    <w:unhideWhenUsed/>
    <w:pPr>
      <w:numPr>
        <w:numId w:val="14"/>
      </w:numPr>
      <w:tabs>
        <w:tab w:val="clear" w:pos="1800"/>
      </w:tabs>
      <w:ind w:left="1146" w:hanging="720"/>
      <w:contextualSpacing/>
    </w:pPr>
  </w:style>
  <w:style w:type="paragraph" w:styleId="ListParagraph">
    <w:name w:val="List Paragraph"/>
    <w:basedOn w:val="Normal"/>
    <w:uiPriority w:val="12"/>
    <w:qFormat/>
  </w:style>
  <w:style w:type="table" w:styleId="ListTable1Light">
    <w:name w:val="List Table 1 Light"/>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Pr>
      <w:rFonts w:asciiTheme="minorHAnsi" w:eastAsiaTheme="minorHAnsi" w:hAnsiTheme="minorHAnsi" w:cstheme="minorBidi"/>
      <w:sz w:val="22"/>
      <w:szCs w:val="22"/>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Pr>
      <w:rFonts w:asciiTheme="minorHAnsi" w:eastAsiaTheme="minorHAnsi" w:hAnsiTheme="minorHAnsi" w:cstheme="minorBid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Pr>
      <w:rFonts w:asciiTheme="minorHAnsi" w:eastAsiaTheme="minorHAnsi" w:hAnsiTheme="minorHAnsi" w:cstheme="minorBidi"/>
      <w:color w:val="365F91" w:themeColor="accent1" w:themeShade="BF"/>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Pr>
      <w:rFonts w:asciiTheme="minorHAnsi" w:eastAsiaTheme="minorHAnsi" w:hAnsiTheme="minorHAnsi" w:cstheme="minorBidi"/>
      <w:color w:val="943634" w:themeColor="accent2" w:themeShade="BF"/>
      <w:sz w:val="22"/>
      <w:szCs w:val="22"/>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Pr>
      <w:rFonts w:asciiTheme="minorHAnsi" w:eastAsiaTheme="minorHAnsi" w:hAnsiTheme="minorHAnsi" w:cstheme="minorBidi"/>
      <w:color w:val="76923C" w:themeColor="accent3" w:themeShade="BF"/>
      <w:sz w:val="22"/>
      <w:szCs w:val="22"/>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Pr>
      <w:rFonts w:asciiTheme="minorHAnsi" w:eastAsiaTheme="minorHAnsi" w:hAnsiTheme="minorHAnsi" w:cstheme="minorBidi"/>
      <w:color w:val="5F497A" w:themeColor="accent4" w:themeShade="BF"/>
      <w:sz w:val="22"/>
      <w:szCs w:val="22"/>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Pr>
      <w:rFonts w:asciiTheme="minorHAnsi" w:eastAsiaTheme="minorHAnsi" w:hAnsiTheme="minorHAnsi" w:cstheme="minorBidi"/>
      <w:color w:val="31849B" w:themeColor="accent5" w:themeShade="BF"/>
      <w:sz w:val="22"/>
      <w:szCs w:val="22"/>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Pr>
      <w:rFonts w:asciiTheme="minorHAnsi" w:eastAsiaTheme="minorHAnsi" w:hAnsiTheme="minorHAnsi" w:cstheme="minorBidi"/>
      <w:color w:val="E36C0A" w:themeColor="accent6" w:themeShade="BF"/>
      <w:sz w:val="22"/>
      <w:szCs w:val="22"/>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Pr>
      <w:rFonts w:asciiTheme="minorHAnsi" w:eastAsiaTheme="minorHAnsi" w:hAnsiTheme="minorHAnsi" w:cstheme="minorBidi"/>
      <w:color w:val="365F91"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Pr>
      <w:rFonts w:asciiTheme="minorHAnsi" w:eastAsiaTheme="minorHAnsi" w:hAnsiTheme="minorHAnsi" w:cstheme="minorBidi"/>
      <w:color w:val="943634"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Pr>
      <w:rFonts w:asciiTheme="minorHAnsi" w:eastAsiaTheme="minorHAnsi" w:hAnsiTheme="minorHAnsi" w:cstheme="minorBidi"/>
      <w:color w:val="76923C"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Pr>
      <w:rFonts w:asciiTheme="minorHAnsi" w:eastAsiaTheme="minorHAnsi" w:hAnsiTheme="minorHAnsi" w:cstheme="minorBidi"/>
      <w:color w:val="5F497A"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Pr>
      <w:rFonts w:asciiTheme="minorHAnsi" w:eastAsiaTheme="minorHAnsi" w:hAnsiTheme="minorHAnsi" w:cstheme="minorBidi"/>
      <w:color w:val="31849B"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Pr>
      <w:rFonts w:asciiTheme="minorHAnsi" w:eastAsiaTheme="minorHAnsi" w:hAnsiTheme="minorHAnsi" w:cstheme="minorBidi"/>
      <w:color w:val="E36C0A"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cstheme="minorHAnsi"/>
    </w:rPr>
  </w:style>
  <w:style w:type="character" w:customStyle="1" w:styleId="MacroTextChar">
    <w:name w:val="Macro Text Char"/>
    <w:basedOn w:val="DefaultParagraphFont"/>
    <w:link w:val="MacroText"/>
    <w:uiPriority w:val="99"/>
    <w:semiHidden/>
    <w:rPr>
      <w:rFonts w:asciiTheme="minorHAnsi" w:hAnsiTheme="minorHAnsi" w:cstheme="minorHAnsi"/>
    </w:rPr>
  </w:style>
  <w:style w:type="table" w:styleId="MediumGrid1">
    <w:name w:val="Medium Grid 1"/>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unhideWhenUsed/>
    <w:rPr>
      <w:rFonts w:asciiTheme="minorHAnsi" w:eastAsiaTheme="minorHAnsi"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unhideWhenUsed/>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unhideWhenUsed/>
    <w:rPr>
      <w:rFonts w:asciiTheme="minorHAnsi" w:eastAsiaTheme="minorHAnsi" w:hAnsiTheme="minorHAnsi" w:cstheme="minorBidi"/>
      <w:color w:val="000000" w:themeColor="text1"/>
      <w:sz w:val="22"/>
      <w:szCs w:val="22"/>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Pr>
      <w:rFonts w:asciiTheme="minorHAnsi" w:eastAsiaTheme="majorEastAsia" w:hAnsiTheme="minorHAnsi" w:cstheme="min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Pr>
      <w:rFonts w:asciiTheme="minorHAnsi" w:eastAsiaTheme="minorHAnsi"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semiHidden/>
    <w:rPr>
      <w:rFonts w:asciiTheme="minorHAnsi" w:eastAsiaTheme="majorEastAsia" w:hAnsiTheme="minorHAnsi" w:cstheme="minorHAnsi"/>
      <w:shd w:val="pct20" w:color="auto" w:fill="auto"/>
    </w:rPr>
  </w:style>
  <w:style w:type="paragraph" w:styleId="NoSpacing">
    <w:name w:val="No Spacing"/>
    <w:uiPriority w:val="1"/>
    <w:qFormat/>
    <w:rPr>
      <w:rFonts w:asciiTheme="minorHAnsi" w:hAnsiTheme="minorHAnsi" w:cstheme="minorHAnsi"/>
      <w:sz w:val="24"/>
      <w:szCs w:val="24"/>
    </w:rPr>
  </w:style>
  <w:style w:type="paragraph" w:styleId="NormalWeb">
    <w:name w:val="Normal (Web)"/>
    <w:basedOn w:val="Normal"/>
    <w:uiPriority w:val="99"/>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Theme="minorHAnsi" w:eastAsiaTheme="minorHAnsi" w:hAnsiTheme="minorHAnsi" w:cstheme="minorHAnsi"/>
    </w:rPr>
  </w:style>
  <w:style w:type="character" w:styleId="PageNumber">
    <w:name w:val="page number"/>
    <w:basedOn w:val="DefaultParagraphFont"/>
    <w:uiPriority w:val="99"/>
    <w:semiHidden/>
    <w:unhideWhenUsed/>
    <w:rPr>
      <w:rFonts w:asciiTheme="minorHAnsi" w:hAnsiTheme="minorHAnsi" w:cstheme="minorHAnsi"/>
    </w:rPr>
  </w:style>
  <w:style w:type="character" w:styleId="PlaceholderText">
    <w:name w:val="Placeholder Text"/>
    <w:basedOn w:val="DefaultParagraphFont"/>
    <w:uiPriority w:val="99"/>
    <w:semiHidden/>
    <w:rPr>
      <w:rFonts w:asciiTheme="minorHAnsi" w:hAnsiTheme="minorHAnsi" w:cstheme="minorHAnsi"/>
      <w:color w:val="808080"/>
    </w:rPr>
  </w:style>
  <w:style w:type="table" w:styleId="PlainTable1">
    <w:name w:val="Plain Table 1"/>
    <w:basedOn w:val="TableNormal"/>
    <w:uiPriority w:val="41"/>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Pr>
      <w:sz w:val="21"/>
      <w:szCs w:val="21"/>
    </w:rPr>
  </w:style>
  <w:style w:type="character" w:customStyle="1" w:styleId="PlainTextChar">
    <w:name w:val="Plain Text Char"/>
    <w:basedOn w:val="DefaultParagraphFont"/>
    <w:link w:val="PlainText"/>
    <w:uiPriority w:val="99"/>
    <w:semiHidden/>
    <w:rPr>
      <w:rFonts w:asciiTheme="minorHAnsi" w:eastAsiaTheme="minorHAnsi" w:hAnsiTheme="minorHAnsi" w:cstheme="minorHAnsi"/>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heme="minorHAnsi" w:eastAsiaTheme="minorHAnsi" w:hAnsiTheme="minorHAnsi" w:cstheme="minorHAnsi"/>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heme="minorHAnsi" w:eastAsiaTheme="minorHAnsi" w:hAnsiTheme="minorHAnsi" w:cstheme="minorHAnsi"/>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rFonts w:asciiTheme="minorHAnsi" w:eastAsiaTheme="minorHAnsi" w:hAnsiTheme="minorHAnsi" w:cstheme="minorHAnsi"/>
    </w:rPr>
  </w:style>
  <w:style w:type="character" w:styleId="Strong">
    <w:name w:val="Strong"/>
    <w:basedOn w:val="DefaultParagraphFont"/>
    <w:uiPriority w:val="22"/>
    <w:qFormat/>
    <w:rPr>
      <w:rFonts w:asciiTheme="minorHAnsi" w:hAnsiTheme="minorHAnsi" w:cstheme="minorHAnsi"/>
      <w:b/>
      <w:bCs/>
    </w:rPr>
  </w:style>
  <w:style w:type="paragraph" w:styleId="Subtitle">
    <w:name w:val="Subtitle"/>
    <w:basedOn w:val="Normal"/>
    <w:next w:val="Normal"/>
    <w:link w:val="SubtitleChar"/>
    <w:uiPriority w:val="11"/>
    <w:qFormat/>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Pr>
      <w:rFonts w:asciiTheme="minorHAnsi" w:eastAsiaTheme="minorEastAsia" w:hAnsiTheme="minorHAnsi" w:cstheme="minorHAnsi"/>
      <w:color w:val="5A5A5A" w:themeColor="text1" w:themeTint="A5"/>
      <w:spacing w:val="15"/>
      <w:sz w:val="22"/>
      <w:szCs w:val="22"/>
    </w:rPr>
  </w:style>
  <w:style w:type="character" w:styleId="SubtleEmphasis">
    <w:name w:val="Subtle Emphasis"/>
    <w:basedOn w:val="DefaultParagraphFont"/>
    <w:uiPriority w:val="19"/>
    <w:qFormat/>
    <w:rPr>
      <w:rFonts w:asciiTheme="minorHAnsi" w:hAnsiTheme="minorHAnsi" w:cstheme="minorHAnsi"/>
      <w:i/>
      <w:iCs/>
      <w:color w:val="404040" w:themeColor="text1" w:themeTint="BF"/>
    </w:rPr>
  </w:style>
  <w:style w:type="character" w:styleId="SubtleReference">
    <w:name w:val="Subtle Reference"/>
    <w:basedOn w:val="DefaultParagraphFont"/>
    <w:uiPriority w:val="31"/>
    <w:qFormat/>
    <w:rPr>
      <w:rFonts w:asciiTheme="minorHAnsi" w:hAnsiTheme="minorHAnsi" w:cstheme="minorHAnsi"/>
      <w:smallCaps/>
      <w:color w:val="5A5A5A" w:themeColor="text1" w:themeTint="A5"/>
    </w:rPr>
  </w:style>
  <w:style w:type="table" w:styleId="Table3Deffects1">
    <w:name w:val="Table 3D effects 1"/>
    <w:basedOn w:val="TableNormal"/>
    <w:uiPriority w:val="99"/>
    <w:unhideWhenUsed/>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Pr>
      <w:rFonts w:asciiTheme="minorHAnsi" w:eastAsia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Pr>
      <w:rFonts w:asciiTheme="minorHAnsi" w:eastAsia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Pr>
      <w:rFonts w:asciiTheme="minorHAnsi" w:eastAsia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Pr>
      <w:rFonts w:asciiTheme="minorHAnsi" w:eastAsia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unhideWhenUsed/>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Pr>
      <w:rFonts w:asciiTheme="minorHAnsi" w:eastAsia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Pr>
      <w:rFonts w:asciiTheme="minorHAnsi" w:eastAsia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Pr>
      <w:rFonts w:asciiTheme="minorHAnsi" w:eastAsia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
    <w:link w:val="TitleChar"/>
    <w:uiPriority w:val="2"/>
    <w:qFormat/>
    <w:pPr>
      <w:keepNext/>
      <w:keepLines/>
      <w:spacing w:after="200"/>
      <w:jc w:val="center"/>
      <w:outlineLvl w:val="0"/>
    </w:pPr>
    <w:rPr>
      <w:rFonts w:asciiTheme="majorHAnsi" w:eastAsiaTheme="majorEastAsia" w:hAnsiTheme="majorHAnsi"/>
      <w:b/>
      <w:szCs w:val="56"/>
    </w:rPr>
  </w:style>
  <w:style w:type="character" w:customStyle="1" w:styleId="TitleChar">
    <w:name w:val="Title Char"/>
    <w:basedOn w:val="DefaultParagraphFont"/>
    <w:link w:val="Title"/>
    <w:uiPriority w:val="2"/>
    <w:rPr>
      <w:rFonts w:asciiTheme="majorHAnsi" w:eastAsiaTheme="majorEastAsia" w:hAnsiTheme="majorHAnsi" w:cstheme="minorHAnsi"/>
      <w:b/>
      <w:szCs w:val="56"/>
    </w:rPr>
  </w:style>
  <w:style w:type="paragraph" w:styleId="TOAHeading">
    <w:name w:val="toa heading"/>
    <w:basedOn w:val="Normal"/>
    <w:next w:val="Normal"/>
    <w:uiPriority w:val="99"/>
    <w:semiHidden/>
    <w:unhideWhenUsed/>
    <w:pPr>
      <w:spacing w:before="120"/>
    </w:pPr>
    <w:rPr>
      <w:rFonts w:eastAsiaTheme="majorEastAsia"/>
      <w:b/>
      <w:b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40"/>
    </w:pPr>
  </w:style>
  <w:style w:type="paragraph" w:styleId="TOC3">
    <w:name w:val="toc 3"/>
    <w:basedOn w:val="Normal"/>
    <w:next w:val="Normal"/>
    <w:autoRedefine/>
    <w:uiPriority w:val="39"/>
    <w:semiHidden/>
    <w:unhideWhenUsed/>
    <w:pPr>
      <w:spacing w:after="100"/>
      <w:ind w:left="480"/>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paragraph" w:styleId="TOCHeading">
    <w:name w:val="TOC Heading"/>
    <w:basedOn w:val="Heading1"/>
    <w:next w:val="Normal"/>
    <w:uiPriority w:val="39"/>
    <w:semiHidden/>
    <w:unhideWhenUsed/>
    <w:qFormat/>
    <w:pPr>
      <w:outlineLvl w:val="9"/>
    </w:pPr>
    <w:rPr>
      <w:rFonts w:asciiTheme="minorHAnsi" w:hAnsiTheme="minorHAnsi" w:cstheme="minorHAnsi"/>
    </w:rPr>
  </w:style>
  <w:style w:type="character" w:styleId="Hashtag">
    <w:name w:val="Hashtag"/>
    <w:basedOn w:val="DefaultParagraphFont"/>
    <w:uiPriority w:val="99"/>
    <w:semiHidden/>
    <w:unhideWhenUsed/>
    <w:rPr>
      <w:color w:val="2B579A"/>
      <w:shd w:val="clear" w:color="auto" w:fill="E6E6E6"/>
    </w:rPr>
  </w:style>
  <w:style w:type="character" w:styleId="Mention">
    <w:name w:val="Mention"/>
    <w:basedOn w:val="DefaultParagraphFont"/>
    <w:uiPriority w:val="99"/>
    <w:semiHidden/>
    <w:unhideWhenUsed/>
    <w:rPr>
      <w:color w:val="2B579A"/>
      <w:shd w:val="clear" w:color="auto" w:fill="E6E6E6"/>
    </w:rPr>
  </w:style>
  <w:style w:type="character" w:styleId="SmartHyperlink">
    <w:name w:val="Smart Hyperlink"/>
    <w:basedOn w:val="DefaultParagraphFont"/>
    <w:uiPriority w:val="99"/>
    <w:semiHidden/>
    <w:unhideWhenUsed/>
    <w:rPr>
      <w:u w:val="dotted"/>
    </w:rPr>
  </w:style>
  <w:style w:type="character" w:styleId="UnresolvedMention">
    <w:name w:val="Unresolved Mention"/>
    <w:basedOn w:val="DefaultParagraphFont"/>
    <w:uiPriority w:val="99"/>
    <w:semiHidden/>
    <w:unhideWhenUsed/>
    <w:rPr>
      <w:color w:val="808080"/>
      <w:shd w:val="clear" w:color="auto" w:fill="E6E6E6"/>
    </w:rPr>
  </w:style>
  <w:style w:type="numbering" w:customStyle="1" w:styleId="NoList1">
    <w:name w:val="No List1"/>
    <w:next w:val="NoList"/>
    <w:uiPriority w:val="99"/>
    <w:semiHidden/>
    <w:unhideWhenUsed/>
  </w:style>
  <w:style w:type="paragraph" w:customStyle="1" w:styleId="msonormal0">
    <w:name w:val="msonormal"/>
    <w:basedOn w:val="Normal"/>
    <w:uiPriority w:val="99"/>
    <w:semiHidden/>
    <w:rPr>
      <w:rFonts w:ascii="Calibri" w:eastAsia="Calibri" w:hAnsi="Calibri" w:cs="Times New Roman"/>
    </w:rPr>
  </w:style>
  <w:style w:type="paragraph" w:customStyle="1" w:styleId="Heading11">
    <w:name w:val="Heading 11"/>
    <w:basedOn w:val="Normal"/>
    <w:next w:val="BodyText"/>
    <w:uiPriority w:val="3"/>
    <w:semiHidden/>
    <w:qFormat/>
    <w:pPr>
      <w:keepNext/>
      <w:keepLines/>
      <w:spacing w:after="240"/>
      <w:outlineLvl w:val="0"/>
    </w:pPr>
    <w:rPr>
      <w:rFonts w:ascii="Calibri Light" w:eastAsia="Yu Gothic Light" w:hAnsi="Calibri Light" w:cs="Times New Roman"/>
      <w:color w:val="2F5496"/>
      <w:sz w:val="32"/>
      <w:szCs w:val="32"/>
    </w:rPr>
  </w:style>
  <w:style w:type="paragraph" w:customStyle="1" w:styleId="Heading21">
    <w:name w:val="Heading 21"/>
    <w:basedOn w:val="Normal"/>
    <w:next w:val="BodyText"/>
    <w:uiPriority w:val="4"/>
    <w:semiHidden/>
    <w:qFormat/>
    <w:pPr>
      <w:keepNext/>
      <w:keepLines/>
      <w:spacing w:after="240"/>
      <w:outlineLvl w:val="1"/>
    </w:pPr>
    <w:rPr>
      <w:rFonts w:ascii="Calibri Light" w:eastAsia="Yu Gothic Light" w:hAnsi="Calibri Light" w:cs="Times New Roman"/>
      <w:color w:val="2F5496"/>
      <w:sz w:val="26"/>
      <w:szCs w:val="26"/>
    </w:rPr>
  </w:style>
  <w:style w:type="paragraph" w:customStyle="1" w:styleId="Heading31">
    <w:name w:val="Heading 31"/>
    <w:basedOn w:val="Normal"/>
    <w:next w:val="BodyText"/>
    <w:uiPriority w:val="5"/>
    <w:semiHidden/>
    <w:qFormat/>
    <w:pPr>
      <w:keepNext/>
      <w:keepLines/>
      <w:spacing w:after="240"/>
      <w:outlineLvl w:val="2"/>
    </w:pPr>
    <w:rPr>
      <w:rFonts w:ascii="Calibri Light" w:eastAsia="Yu Gothic Light" w:hAnsi="Calibri Light" w:cs="Times New Roman"/>
      <w:color w:val="1F3763"/>
      <w:sz w:val="24"/>
      <w:szCs w:val="24"/>
    </w:rPr>
  </w:style>
  <w:style w:type="paragraph" w:customStyle="1" w:styleId="Heading41">
    <w:name w:val="Heading 41"/>
    <w:basedOn w:val="Normal"/>
    <w:next w:val="BodyText"/>
    <w:uiPriority w:val="6"/>
    <w:semiHidden/>
    <w:qFormat/>
    <w:pPr>
      <w:keepNext/>
      <w:keepLines/>
      <w:spacing w:after="240"/>
      <w:outlineLvl w:val="3"/>
    </w:pPr>
    <w:rPr>
      <w:rFonts w:ascii="Calibri Light" w:eastAsia="Yu Gothic Light" w:hAnsi="Calibri Light" w:cs="Times New Roman"/>
      <w:i/>
      <w:iCs/>
      <w:color w:val="2F5496"/>
      <w:sz w:val="22"/>
      <w:szCs w:val="22"/>
    </w:rPr>
  </w:style>
  <w:style w:type="paragraph" w:customStyle="1" w:styleId="Heading51">
    <w:name w:val="Heading 51"/>
    <w:basedOn w:val="Normal"/>
    <w:next w:val="BodyText"/>
    <w:uiPriority w:val="7"/>
    <w:semiHidden/>
    <w:qFormat/>
    <w:pPr>
      <w:keepNext/>
      <w:keepLines/>
      <w:spacing w:after="240"/>
      <w:outlineLvl w:val="4"/>
    </w:pPr>
    <w:rPr>
      <w:rFonts w:ascii="Calibri Light" w:eastAsia="Yu Gothic Light" w:hAnsi="Calibri Light" w:cs="Times New Roman"/>
      <w:color w:val="2F5496"/>
      <w:sz w:val="22"/>
      <w:szCs w:val="22"/>
    </w:rPr>
  </w:style>
  <w:style w:type="paragraph" w:customStyle="1" w:styleId="Heading61">
    <w:name w:val="Heading 61"/>
    <w:basedOn w:val="Normal"/>
    <w:next w:val="BodyText"/>
    <w:uiPriority w:val="8"/>
    <w:semiHidden/>
    <w:qFormat/>
    <w:pPr>
      <w:keepNext/>
      <w:keepLines/>
      <w:spacing w:after="240"/>
      <w:outlineLvl w:val="5"/>
    </w:pPr>
    <w:rPr>
      <w:rFonts w:ascii="Calibri Light" w:eastAsia="Yu Gothic Light" w:hAnsi="Calibri Light" w:cs="Times New Roman"/>
      <w:color w:val="1F3763"/>
      <w:sz w:val="22"/>
      <w:szCs w:val="22"/>
    </w:rPr>
  </w:style>
  <w:style w:type="paragraph" w:customStyle="1" w:styleId="Heading71">
    <w:name w:val="Heading 71"/>
    <w:basedOn w:val="Normal"/>
    <w:next w:val="BodyText"/>
    <w:uiPriority w:val="9"/>
    <w:semiHidden/>
    <w:qFormat/>
    <w:pPr>
      <w:keepNext/>
      <w:keepLines/>
      <w:spacing w:after="240"/>
      <w:outlineLvl w:val="6"/>
    </w:pPr>
    <w:rPr>
      <w:rFonts w:ascii="Calibri Light" w:eastAsia="Yu Gothic Light" w:hAnsi="Calibri Light" w:cs="Times New Roman"/>
      <w:i/>
      <w:iCs/>
      <w:color w:val="1F3763"/>
      <w:sz w:val="22"/>
      <w:szCs w:val="22"/>
    </w:rPr>
  </w:style>
  <w:style w:type="paragraph" w:customStyle="1" w:styleId="Heading81">
    <w:name w:val="Heading 81"/>
    <w:basedOn w:val="Normal"/>
    <w:next w:val="BodyText"/>
    <w:uiPriority w:val="10"/>
    <w:semiHidden/>
    <w:qFormat/>
    <w:pPr>
      <w:keepNext/>
      <w:keepLines/>
      <w:spacing w:after="240"/>
      <w:outlineLvl w:val="7"/>
    </w:pPr>
    <w:rPr>
      <w:rFonts w:ascii="Calibri Light" w:eastAsia="Yu Gothic Light" w:hAnsi="Calibri Light" w:cs="Times New Roman"/>
      <w:color w:val="272727"/>
      <w:sz w:val="21"/>
      <w:szCs w:val="21"/>
    </w:rPr>
  </w:style>
  <w:style w:type="paragraph" w:customStyle="1" w:styleId="Heading91">
    <w:name w:val="Heading 91"/>
    <w:basedOn w:val="Normal"/>
    <w:next w:val="BodyText"/>
    <w:uiPriority w:val="11"/>
    <w:semiHidden/>
    <w:qFormat/>
    <w:pPr>
      <w:keepNext/>
      <w:keepLines/>
      <w:spacing w:after="240"/>
      <w:outlineLvl w:val="8"/>
    </w:pPr>
    <w:rPr>
      <w:rFonts w:ascii="Calibri Light" w:eastAsia="Yu Gothic Light" w:hAnsi="Calibri Light" w:cs="Times New Roman"/>
      <w:i/>
      <w:iCs/>
      <w:color w:val="272727"/>
      <w:sz w:val="21"/>
      <w:szCs w:val="21"/>
    </w:rPr>
  </w:style>
  <w:style w:type="paragraph" w:customStyle="1" w:styleId="BlockText1">
    <w:name w:val="Block Text1"/>
    <w:basedOn w:val="Normal"/>
    <w:next w:val="BlockText"/>
    <w:uiPriority w:val="99"/>
    <w:semiHidden/>
    <w:pPr>
      <w:pBdr>
        <w:top w:val="single" w:sz="2" w:space="10" w:color="5B9BD5"/>
        <w:left w:val="single" w:sz="2" w:space="10" w:color="5B9BD5"/>
        <w:bottom w:val="single" w:sz="2" w:space="10" w:color="5B9BD5"/>
        <w:right w:val="single" w:sz="2" w:space="10" w:color="5B9BD5"/>
      </w:pBdr>
      <w:ind w:left="1152" w:right="1152"/>
    </w:pPr>
    <w:rPr>
      <w:rFonts w:ascii="Calibri" w:eastAsia="Times New Roman" w:hAnsi="Calibri" w:cs="Times New Roman"/>
      <w:i/>
      <w:iCs/>
      <w:color w:val="5B9BD5"/>
    </w:rPr>
  </w:style>
  <w:style w:type="paragraph" w:customStyle="1" w:styleId="Caption1">
    <w:name w:val="Caption1"/>
    <w:basedOn w:val="Normal"/>
    <w:next w:val="Normal"/>
    <w:uiPriority w:val="35"/>
    <w:semiHidden/>
    <w:qFormat/>
    <w:pPr>
      <w:spacing w:after="200"/>
    </w:pPr>
    <w:rPr>
      <w:rFonts w:ascii="Calibri" w:eastAsia="Calibri" w:hAnsi="Calibri" w:cs="Times New Roman"/>
      <w:i/>
      <w:iCs/>
      <w:color w:val="44546A"/>
      <w:sz w:val="18"/>
      <w:szCs w:val="18"/>
    </w:rPr>
  </w:style>
  <w:style w:type="paragraph" w:customStyle="1" w:styleId="EnvelopeAddress1">
    <w:name w:val="Envelope Address1"/>
    <w:basedOn w:val="Normal"/>
    <w:next w:val="EnvelopeAddress"/>
    <w:uiPriority w:val="99"/>
    <w:semiHidden/>
    <w:pPr>
      <w:framePr w:w="7920" w:h="1980" w:hSpace="180" w:wrap="auto" w:hAnchor="page" w:xAlign="center" w:yAlign="bottom"/>
      <w:ind w:left="2880"/>
    </w:pPr>
    <w:rPr>
      <w:rFonts w:ascii="Calibri" w:eastAsia="Times New Roman" w:hAnsi="Calibri" w:cs="Times New Roman"/>
    </w:rPr>
  </w:style>
  <w:style w:type="paragraph" w:customStyle="1" w:styleId="EnvelopeReturn1">
    <w:name w:val="Envelope Return1"/>
    <w:basedOn w:val="Normal"/>
    <w:next w:val="EnvelopeReturn"/>
    <w:uiPriority w:val="99"/>
    <w:semiHidden/>
    <w:rPr>
      <w:rFonts w:ascii="Calibri" w:eastAsia="Times New Roman" w:hAnsi="Calibri" w:cs="Times New Roman"/>
    </w:rPr>
  </w:style>
  <w:style w:type="paragraph" w:customStyle="1" w:styleId="IndexHeading1">
    <w:name w:val="Index Heading1"/>
    <w:basedOn w:val="Normal"/>
    <w:next w:val="Index1"/>
    <w:uiPriority w:val="99"/>
    <w:semiHidden/>
    <w:rPr>
      <w:rFonts w:ascii="Calibri" w:eastAsia="Times New Roman" w:hAnsi="Calibri" w:cs="Times New Roman"/>
      <w:b/>
      <w:bCs/>
    </w:rPr>
  </w:style>
  <w:style w:type="paragraph" w:customStyle="1" w:styleId="IntenseQuote1">
    <w:name w:val="Intense Quote1"/>
    <w:basedOn w:val="Normal"/>
    <w:next w:val="Normal"/>
    <w:uiPriority w:val="30"/>
    <w:semiHidden/>
    <w:qFormat/>
    <w:pPr>
      <w:pBdr>
        <w:top w:val="single" w:sz="4" w:space="10" w:color="5B9BD5"/>
        <w:bottom w:val="single" w:sz="4" w:space="10" w:color="5B9BD5"/>
      </w:pBdr>
      <w:spacing w:before="360" w:after="360"/>
      <w:ind w:left="864" w:right="864"/>
      <w:jc w:val="center"/>
    </w:pPr>
    <w:rPr>
      <w:rFonts w:ascii="Calibri" w:eastAsia="Calibri" w:hAnsi="Calibri" w:cs="Times New Roman"/>
      <w:i/>
      <w:iCs/>
      <w:color w:val="5B9BD5"/>
    </w:rPr>
  </w:style>
  <w:style w:type="paragraph" w:customStyle="1" w:styleId="MacroText1">
    <w:name w:val="Macro Text1"/>
    <w:next w:val="MacroText"/>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rPr>
  </w:style>
  <w:style w:type="paragraph" w:customStyle="1" w:styleId="MessageHeader1">
    <w:name w:val="Message Header1"/>
    <w:basedOn w:val="Normal"/>
    <w:next w:val="MessageHeade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Yu Gothic Light" w:hAnsi="Calibri Light" w:cs="Times New Roman"/>
      <w:sz w:val="24"/>
      <w:szCs w:val="24"/>
    </w:rPr>
  </w:style>
  <w:style w:type="paragraph" w:customStyle="1" w:styleId="NoSpacing1">
    <w:name w:val="No Spacing1"/>
    <w:next w:val="NoSpacing"/>
    <w:uiPriority w:val="1"/>
    <w:semiHidden/>
    <w:qFormat/>
    <w:rPr>
      <w:rFonts w:ascii="Calibri" w:hAnsi="Calibri"/>
      <w:sz w:val="24"/>
      <w:szCs w:val="24"/>
    </w:rPr>
  </w:style>
  <w:style w:type="paragraph" w:customStyle="1" w:styleId="Quote1">
    <w:name w:val="Quote1"/>
    <w:basedOn w:val="Normal"/>
    <w:next w:val="Normal"/>
    <w:uiPriority w:val="29"/>
    <w:semiHidden/>
    <w:qFormat/>
    <w:pPr>
      <w:spacing w:before="200" w:after="160"/>
      <w:ind w:left="864" w:right="864"/>
      <w:jc w:val="center"/>
    </w:pPr>
    <w:rPr>
      <w:rFonts w:ascii="Calibri" w:eastAsia="Calibri" w:hAnsi="Calibri" w:cs="Times New Roman"/>
      <w:i/>
      <w:iCs/>
      <w:color w:val="404040"/>
    </w:rPr>
  </w:style>
  <w:style w:type="paragraph" w:customStyle="1" w:styleId="Subtitle1">
    <w:name w:val="Subtitle1"/>
    <w:basedOn w:val="Normal"/>
    <w:next w:val="Normal"/>
    <w:uiPriority w:val="11"/>
    <w:semiHidden/>
    <w:qFormat/>
    <w:pPr>
      <w:spacing w:after="160"/>
    </w:pPr>
    <w:rPr>
      <w:rFonts w:ascii="Calibri" w:eastAsia="Times New Roman" w:hAnsi="Calibri" w:cs="Times New Roman"/>
      <w:color w:val="5A5A5A"/>
      <w:spacing w:val="15"/>
      <w:sz w:val="22"/>
      <w:szCs w:val="22"/>
    </w:rPr>
  </w:style>
  <w:style w:type="paragraph" w:customStyle="1" w:styleId="Title1">
    <w:name w:val="Title1"/>
    <w:basedOn w:val="Normal"/>
    <w:next w:val="BodyText"/>
    <w:uiPriority w:val="2"/>
    <w:semiHidden/>
    <w:qFormat/>
    <w:pPr>
      <w:keepNext/>
      <w:keepLines/>
      <w:spacing w:after="240"/>
      <w:jc w:val="center"/>
      <w:outlineLvl w:val="0"/>
    </w:pPr>
    <w:rPr>
      <w:rFonts w:ascii="Times New Roman" w:eastAsia="Times New Roman" w:hAnsi="Times New Roman" w:cs="Times New Roman"/>
      <w:b/>
      <w:szCs w:val="56"/>
    </w:rPr>
  </w:style>
  <w:style w:type="paragraph" w:customStyle="1" w:styleId="TOAHeading1">
    <w:name w:val="TOA Heading1"/>
    <w:basedOn w:val="Normal"/>
    <w:next w:val="Normal"/>
    <w:uiPriority w:val="99"/>
    <w:semiHidden/>
    <w:pPr>
      <w:spacing w:before="120"/>
    </w:pPr>
    <w:rPr>
      <w:rFonts w:ascii="Calibri" w:eastAsia="Times New Roman" w:hAnsi="Calibri" w:cs="Times New Roman"/>
      <w:b/>
      <w:bCs/>
    </w:rPr>
  </w:style>
  <w:style w:type="paragraph" w:customStyle="1" w:styleId="TOCHeading1">
    <w:name w:val="TOC Heading1"/>
    <w:basedOn w:val="Heading1"/>
    <w:next w:val="Normal"/>
    <w:uiPriority w:val="39"/>
    <w:semiHidden/>
    <w:qFormat/>
    <w:pPr>
      <w:spacing w:after="240"/>
      <w:outlineLvl w:val="9"/>
    </w:pPr>
    <w:rPr>
      <w:rFonts w:ascii="Times New Roman" w:eastAsia="Times New Roman" w:hAnsi="Times New Roman" w:cs="Times New Roman"/>
    </w:rPr>
  </w:style>
  <w:style w:type="paragraph" w:customStyle="1" w:styleId="Caption2">
    <w:name w:val="Caption2"/>
    <w:basedOn w:val="Normal"/>
    <w:next w:val="Normal"/>
    <w:uiPriority w:val="35"/>
    <w:semiHidden/>
    <w:qFormat/>
    <w:pPr>
      <w:spacing w:after="200"/>
    </w:pPr>
    <w:rPr>
      <w:rFonts w:ascii="Calibri" w:eastAsia="Calibri" w:hAnsi="Calibri" w:cs="Times New Roman"/>
      <w:i/>
      <w:iCs/>
      <w:color w:val="44546A"/>
      <w:sz w:val="18"/>
      <w:szCs w:val="18"/>
    </w:rPr>
  </w:style>
  <w:style w:type="paragraph" w:customStyle="1" w:styleId="IndexHeading2">
    <w:name w:val="Index Heading2"/>
    <w:basedOn w:val="Normal"/>
    <w:next w:val="Index1"/>
    <w:uiPriority w:val="99"/>
    <w:semiHidden/>
    <w:rPr>
      <w:rFonts w:ascii="Calibri" w:eastAsia="Times New Roman" w:hAnsi="Calibri" w:cs="Times New Roman"/>
      <w:b/>
      <w:bCs/>
    </w:rPr>
  </w:style>
  <w:style w:type="paragraph" w:customStyle="1" w:styleId="TOAHeading2">
    <w:name w:val="TOA Heading2"/>
    <w:basedOn w:val="Normal"/>
    <w:next w:val="Normal"/>
    <w:uiPriority w:val="99"/>
    <w:semiHidden/>
    <w:pPr>
      <w:spacing w:before="120"/>
    </w:pPr>
    <w:rPr>
      <w:rFonts w:ascii="Calibri" w:eastAsia="Times New Roman" w:hAnsi="Calibri" w:cs="Times New Roman"/>
      <w:b/>
      <w:bCs/>
    </w:rPr>
  </w:style>
  <w:style w:type="paragraph" w:customStyle="1" w:styleId="TOCHeading2">
    <w:name w:val="TOC Heading2"/>
    <w:basedOn w:val="Heading1"/>
    <w:next w:val="Normal"/>
    <w:uiPriority w:val="39"/>
    <w:semiHidden/>
    <w:qFormat/>
    <w:pPr>
      <w:spacing w:after="240"/>
      <w:outlineLvl w:val="9"/>
    </w:pPr>
    <w:rPr>
      <w:rFonts w:ascii="Times New Roman" w:eastAsia="Times New Roman" w:hAnsi="Times New Roman" w:cs="Times New Roman"/>
    </w:rPr>
  </w:style>
  <w:style w:type="character" w:styleId="SmartLink">
    <w:name w:val="Smart Link"/>
    <w:basedOn w:val="DefaultParagraphFont"/>
    <w:uiPriority w:val="99"/>
    <w:semiHidden/>
    <w:unhideWhenUsed/>
    <w:rPr>
      <w:color w:val="0000FF"/>
      <w:u w:val="single"/>
      <w:shd w:val="clear" w:color="auto" w:fill="F3F2F1"/>
    </w:rPr>
  </w:style>
  <w:style w:type="character" w:customStyle="1" w:styleId="Heading1Char1">
    <w:name w:val="Heading 1 Char1"/>
    <w:basedOn w:val="DefaultParagraphFont"/>
    <w:uiPriority w:val="3"/>
    <w:locked/>
    <w:rPr>
      <w:rFonts w:ascii="Calibri Light" w:hAnsi="Calibri Light"/>
      <w:color w:val="2F5496"/>
      <w:sz w:val="32"/>
      <w:szCs w:val="32"/>
    </w:rPr>
  </w:style>
  <w:style w:type="character" w:customStyle="1" w:styleId="Heading2Char1">
    <w:name w:val="Heading 2 Char1"/>
    <w:basedOn w:val="DefaultParagraphFont"/>
    <w:uiPriority w:val="4"/>
    <w:semiHidden/>
    <w:locked/>
    <w:rPr>
      <w:rFonts w:ascii="Calibri Light" w:hAnsi="Calibri Light"/>
      <w:color w:val="2F5496"/>
      <w:sz w:val="26"/>
      <w:szCs w:val="26"/>
    </w:rPr>
  </w:style>
  <w:style w:type="character" w:customStyle="1" w:styleId="Heading3Char1">
    <w:name w:val="Heading 3 Char1"/>
    <w:basedOn w:val="DefaultParagraphFont"/>
    <w:uiPriority w:val="5"/>
    <w:semiHidden/>
    <w:locked/>
    <w:rPr>
      <w:rFonts w:ascii="Calibri Light" w:hAnsi="Calibri Light"/>
      <w:color w:val="1F3763"/>
      <w:sz w:val="24"/>
      <w:szCs w:val="24"/>
    </w:rPr>
  </w:style>
  <w:style w:type="character" w:customStyle="1" w:styleId="Heading4Char1">
    <w:name w:val="Heading 4 Char1"/>
    <w:basedOn w:val="DefaultParagraphFont"/>
    <w:uiPriority w:val="6"/>
    <w:semiHidden/>
    <w:locked/>
    <w:rPr>
      <w:rFonts w:ascii="Calibri Light" w:hAnsi="Calibri Light"/>
      <w:i/>
      <w:iCs/>
      <w:color w:val="2F5496"/>
      <w:sz w:val="22"/>
      <w:szCs w:val="22"/>
    </w:rPr>
  </w:style>
  <w:style w:type="character" w:customStyle="1" w:styleId="Heading5Char1">
    <w:name w:val="Heading 5 Char1"/>
    <w:basedOn w:val="DefaultParagraphFont"/>
    <w:uiPriority w:val="7"/>
    <w:semiHidden/>
    <w:locked/>
    <w:rPr>
      <w:rFonts w:ascii="Calibri Light" w:hAnsi="Calibri Light"/>
      <w:color w:val="2F5496"/>
      <w:sz w:val="22"/>
      <w:szCs w:val="22"/>
    </w:rPr>
  </w:style>
  <w:style w:type="character" w:customStyle="1" w:styleId="Heading6Char1">
    <w:name w:val="Heading 6 Char1"/>
    <w:basedOn w:val="DefaultParagraphFont"/>
    <w:uiPriority w:val="8"/>
    <w:semiHidden/>
    <w:locked/>
    <w:rPr>
      <w:rFonts w:ascii="Calibri Light" w:hAnsi="Calibri Light"/>
      <w:color w:val="1F3763"/>
      <w:sz w:val="22"/>
      <w:szCs w:val="22"/>
    </w:rPr>
  </w:style>
  <w:style w:type="character" w:customStyle="1" w:styleId="Heading7Char1">
    <w:name w:val="Heading 7 Char1"/>
    <w:basedOn w:val="DefaultParagraphFont"/>
    <w:uiPriority w:val="9"/>
    <w:semiHidden/>
    <w:locked/>
    <w:rPr>
      <w:rFonts w:ascii="Calibri Light" w:hAnsi="Calibri Light"/>
      <w:i/>
      <w:iCs/>
      <w:color w:val="1F3763"/>
      <w:sz w:val="22"/>
      <w:szCs w:val="22"/>
    </w:rPr>
  </w:style>
  <w:style w:type="character" w:customStyle="1" w:styleId="Heading8Char1">
    <w:name w:val="Heading 8 Char1"/>
    <w:basedOn w:val="DefaultParagraphFont"/>
    <w:uiPriority w:val="10"/>
    <w:semiHidden/>
    <w:locked/>
    <w:rPr>
      <w:rFonts w:ascii="Calibri Light" w:hAnsi="Calibri Light"/>
      <w:color w:val="272727"/>
      <w:sz w:val="21"/>
      <w:szCs w:val="21"/>
    </w:rPr>
  </w:style>
  <w:style w:type="character" w:customStyle="1" w:styleId="Heading9Char1">
    <w:name w:val="Heading 9 Char1"/>
    <w:basedOn w:val="DefaultParagraphFont"/>
    <w:uiPriority w:val="11"/>
    <w:semiHidden/>
    <w:locked/>
    <w:rPr>
      <w:rFonts w:ascii="Calibri Light" w:hAnsi="Calibri Light"/>
      <w:i/>
      <w:iCs/>
      <w:color w:val="272727"/>
      <w:sz w:val="21"/>
      <w:szCs w:val="21"/>
    </w:rPr>
  </w:style>
  <w:style w:type="character" w:customStyle="1" w:styleId="BookTitle1">
    <w:name w:val="Book Title1"/>
    <w:basedOn w:val="DefaultParagraphFont"/>
    <w:uiPriority w:val="33"/>
    <w:semiHidden/>
    <w:qFormat/>
    <w:rPr>
      <w:rFonts w:ascii="Times New Roman" w:hAnsi="Times New Roman" w:cs="Times New Roman" w:hint="default"/>
      <w:b/>
      <w:bCs/>
      <w:i/>
      <w:iCs/>
      <w:spacing w:val="5"/>
    </w:rPr>
  </w:style>
  <w:style w:type="character" w:customStyle="1" w:styleId="CommentReference1">
    <w:name w:val="Comment Reference1"/>
    <w:basedOn w:val="DefaultParagraphFont"/>
    <w:uiPriority w:val="99"/>
    <w:semiHidden/>
    <w:rPr>
      <w:rFonts w:ascii="Times New Roman" w:hAnsi="Times New Roman" w:cs="Times New Roman" w:hint="default"/>
      <w:sz w:val="16"/>
      <w:szCs w:val="16"/>
    </w:rPr>
  </w:style>
  <w:style w:type="character" w:customStyle="1" w:styleId="Emphasis1">
    <w:name w:val="Emphasis1"/>
    <w:basedOn w:val="DefaultParagraphFont"/>
    <w:uiPriority w:val="20"/>
    <w:semiHidden/>
    <w:qFormat/>
    <w:rPr>
      <w:rFonts w:ascii="Times New Roman" w:hAnsi="Times New Roman" w:cs="Times New Roman" w:hint="default"/>
      <w:i/>
      <w:iCs/>
    </w:rPr>
  </w:style>
  <w:style w:type="character" w:customStyle="1" w:styleId="EndnoteReference1">
    <w:name w:val="Endnote Reference1"/>
    <w:basedOn w:val="DefaultParagraphFont"/>
    <w:uiPriority w:val="99"/>
    <w:semiHidden/>
    <w:rPr>
      <w:rFonts w:ascii="Times New Roman" w:hAnsi="Times New Roman" w:cs="Times New Roman" w:hint="default"/>
      <w:vertAlign w:val="superscript"/>
    </w:rPr>
  </w:style>
  <w:style w:type="character" w:customStyle="1" w:styleId="FollowedHyperlink1">
    <w:name w:val="FollowedHyperlink1"/>
    <w:basedOn w:val="DefaultParagraphFont"/>
    <w:uiPriority w:val="99"/>
    <w:semiHidden/>
    <w:rPr>
      <w:rFonts w:ascii="Times New Roman" w:hAnsi="Times New Roman" w:cs="Times New Roman" w:hint="default"/>
      <w:strike w:val="0"/>
      <w:dstrike w:val="0"/>
      <w:color w:val="auto"/>
      <w:u w:val="none"/>
      <w:effect w:val="none"/>
    </w:rPr>
  </w:style>
  <w:style w:type="character" w:customStyle="1" w:styleId="FootnoteReference1">
    <w:name w:val="Footnote Reference1"/>
    <w:basedOn w:val="DefaultParagraphFont"/>
    <w:uiPriority w:val="99"/>
    <w:semiHidden/>
    <w:rPr>
      <w:rFonts w:ascii="Times New Roman" w:hAnsi="Times New Roman" w:cs="Times New Roman" w:hint="default"/>
      <w:vertAlign w:val="superscript"/>
    </w:rPr>
  </w:style>
  <w:style w:type="character" w:customStyle="1" w:styleId="HTMLAcronym1">
    <w:name w:val="HTML Acronym1"/>
    <w:basedOn w:val="DefaultParagraphFont"/>
    <w:uiPriority w:val="99"/>
    <w:semiHidden/>
    <w:rPr>
      <w:rFonts w:ascii="Times New Roman" w:hAnsi="Times New Roman" w:cs="Times New Roman" w:hint="default"/>
    </w:rPr>
  </w:style>
  <w:style w:type="character" w:customStyle="1" w:styleId="HTMLCite1">
    <w:name w:val="HTML Cite1"/>
    <w:basedOn w:val="DefaultParagraphFont"/>
    <w:uiPriority w:val="99"/>
    <w:semiHidden/>
    <w:rPr>
      <w:rFonts w:ascii="Times New Roman" w:hAnsi="Times New Roman" w:cs="Times New Roman" w:hint="default"/>
      <w:i/>
      <w:iCs/>
    </w:rPr>
  </w:style>
  <w:style w:type="character" w:customStyle="1" w:styleId="HTMLCode1">
    <w:name w:val="HTML Code1"/>
    <w:basedOn w:val="DefaultParagraphFont"/>
    <w:uiPriority w:val="99"/>
    <w:semiHidden/>
    <w:rPr>
      <w:rFonts w:ascii="Times New Roman" w:hAnsi="Times New Roman" w:cs="Times New Roman" w:hint="default"/>
      <w:sz w:val="20"/>
      <w:szCs w:val="20"/>
    </w:rPr>
  </w:style>
  <w:style w:type="character" w:customStyle="1" w:styleId="HTMLDefinition1">
    <w:name w:val="HTML Definition1"/>
    <w:basedOn w:val="DefaultParagraphFont"/>
    <w:uiPriority w:val="99"/>
    <w:semiHidden/>
    <w:rPr>
      <w:rFonts w:ascii="Times New Roman" w:hAnsi="Times New Roman" w:cs="Times New Roman" w:hint="default"/>
      <w:i/>
      <w:iCs/>
    </w:rPr>
  </w:style>
  <w:style w:type="character" w:customStyle="1" w:styleId="HTMLKeyboard1">
    <w:name w:val="HTML Keyboard1"/>
    <w:basedOn w:val="DefaultParagraphFont"/>
    <w:uiPriority w:val="99"/>
    <w:semiHidden/>
    <w:rPr>
      <w:rFonts w:ascii="Times New Roman" w:hAnsi="Times New Roman" w:cs="Times New Roman" w:hint="default"/>
      <w:sz w:val="20"/>
      <w:szCs w:val="20"/>
    </w:rPr>
  </w:style>
  <w:style w:type="character" w:customStyle="1" w:styleId="HTMLSample1">
    <w:name w:val="HTML Sample1"/>
    <w:basedOn w:val="DefaultParagraphFont"/>
    <w:uiPriority w:val="99"/>
    <w:semiHidden/>
    <w:rPr>
      <w:rFonts w:ascii="Times New Roman" w:hAnsi="Times New Roman" w:cs="Times New Roman" w:hint="default"/>
      <w:sz w:val="24"/>
      <w:szCs w:val="24"/>
    </w:rPr>
  </w:style>
  <w:style w:type="character" w:customStyle="1" w:styleId="HTMLTypewriter1">
    <w:name w:val="HTML Typewriter1"/>
    <w:basedOn w:val="DefaultParagraphFont"/>
    <w:uiPriority w:val="99"/>
    <w:semiHidden/>
    <w:rPr>
      <w:rFonts w:ascii="Times New Roman" w:hAnsi="Times New Roman" w:cs="Times New Roman" w:hint="default"/>
      <w:sz w:val="20"/>
      <w:szCs w:val="20"/>
    </w:rPr>
  </w:style>
  <w:style w:type="character" w:customStyle="1" w:styleId="HTMLVariable1">
    <w:name w:val="HTML Variable1"/>
    <w:basedOn w:val="DefaultParagraphFont"/>
    <w:uiPriority w:val="99"/>
    <w:semiHidden/>
    <w:rPr>
      <w:rFonts w:ascii="Times New Roman" w:hAnsi="Times New Roman" w:cs="Times New Roman" w:hint="default"/>
      <w:i/>
      <w:iCs/>
    </w:rPr>
  </w:style>
  <w:style w:type="character" w:customStyle="1" w:styleId="Hyperlink1">
    <w:name w:val="Hyperlink1"/>
    <w:basedOn w:val="DefaultParagraphFont"/>
    <w:uiPriority w:val="99"/>
    <w:semiHidden/>
    <w:rPr>
      <w:rFonts w:ascii="Times New Roman" w:hAnsi="Times New Roman" w:cs="Times New Roman" w:hint="default"/>
      <w:strike w:val="0"/>
      <w:dstrike w:val="0"/>
      <w:color w:val="auto"/>
      <w:u w:val="none"/>
      <w:effect w:val="none"/>
    </w:rPr>
  </w:style>
  <w:style w:type="character" w:customStyle="1" w:styleId="IntenseEmphasis1">
    <w:name w:val="Intense Emphasis1"/>
    <w:basedOn w:val="DefaultParagraphFont"/>
    <w:uiPriority w:val="21"/>
    <w:semiHidden/>
    <w:qFormat/>
    <w:rPr>
      <w:rFonts w:ascii="Times New Roman" w:hAnsi="Times New Roman" w:cs="Times New Roman" w:hint="default"/>
      <w:i/>
      <w:iCs/>
      <w:color w:val="5B9BD5"/>
    </w:rPr>
  </w:style>
  <w:style w:type="character" w:customStyle="1" w:styleId="IntenseReference1">
    <w:name w:val="Intense Reference1"/>
    <w:basedOn w:val="DefaultParagraphFont"/>
    <w:uiPriority w:val="32"/>
    <w:semiHidden/>
    <w:qFormat/>
    <w:rPr>
      <w:rFonts w:ascii="Times New Roman" w:hAnsi="Times New Roman" w:cs="Times New Roman" w:hint="default"/>
      <w:b/>
      <w:bCs/>
      <w:smallCaps/>
      <w:color w:val="5B9BD5"/>
      <w:spacing w:val="5"/>
    </w:rPr>
  </w:style>
  <w:style w:type="character" w:customStyle="1" w:styleId="LineNumber1">
    <w:name w:val="Line Number1"/>
    <w:basedOn w:val="DefaultParagraphFont"/>
    <w:uiPriority w:val="99"/>
    <w:semiHidden/>
    <w:rPr>
      <w:rFonts w:ascii="Times New Roman" w:hAnsi="Times New Roman" w:cs="Times New Roman" w:hint="default"/>
    </w:rPr>
  </w:style>
  <w:style w:type="character" w:customStyle="1" w:styleId="PageNumber1">
    <w:name w:val="Page Number1"/>
    <w:basedOn w:val="DefaultParagraphFont"/>
    <w:uiPriority w:val="99"/>
    <w:semiHidden/>
    <w:rPr>
      <w:rFonts w:ascii="Times New Roman" w:hAnsi="Times New Roman" w:cs="Times New Roman" w:hint="default"/>
    </w:rPr>
  </w:style>
  <w:style w:type="character" w:customStyle="1" w:styleId="PlaceholderText1">
    <w:name w:val="Placeholder Text1"/>
    <w:basedOn w:val="DefaultParagraphFont"/>
    <w:uiPriority w:val="99"/>
    <w:semiHidden/>
    <w:rPr>
      <w:rFonts w:ascii="Times New Roman" w:hAnsi="Times New Roman" w:cs="Times New Roman" w:hint="default"/>
      <w:color w:val="808080"/>
    </w:rPr>
  </w:style>
  <w:style w:type="character" w:customStyle="1" w:styleId="Strong1">
    <w:name w:val="Strong1"/>
    <w:basedOn w:val="DefaultParagraphFont"/>
    <w:uiPriority w:val="22"/>
    <w:semiHidden/>
    <w:qFormat/>
    <w:rPr>
      <w:rFonts w:ascii="Times New Roman" w:hAnsi="Times New Roman" w:cs="Times New Roman" w:hint="default"/>
      <w:b/>
      <w:bCs/>
    </w:rPr>
  </w:style>
  <w:style w:type="character" w:customStyle="1" w:styleId="SubtleEmphasis1">
    <w:name w:val="Subtle Emphasis1"/>
    <w:basedOn w:val="DefaultParagraphFont"/>
    <w:uiPriority w:val="19"/>
    <w:semiHidden/>
    <w:qFormat/>
    <w:rPr>
      <w:rFonts w:ascii="Times New Roman" w:hAnsi="Times New Roman" w:cs="Times New Roman" w:hint="default"/>
      <w:i/>
      <w:iCs/>
      <w:color w:val="404040"/>
    </w:rPr>
  </w:style>
  <w:style w:type="character" w:customStyle="1" w:styleId="SubtleReference1">
    <w:name w:val="Subtle Reference1"/>
    <w:basedOn w:val="DefaultParagraphFont"/>
    <w:uiPriority w:val="31"/>
    <w:semiHidden/>
    <w:qFormat/>
    <w:rPr>
      <w:rFonts w:ascii="Times New Roman" w:hAnsi="Times New Roman" w:cs="Times New Roman" w:hint="default"/>
      <w:smallCaps/>
      <w:color w:val="5A5A5A"/>
    </w:rPr>
  </w:style>
  <w:style w:type="character" w:customStyle="1" w:styleId="IntenseQuoteChar1">
    <w:name w:val="Intense Quote Char1"/>
    <w:basedOn w:val="DefaultParagraphFont"/>
    <w:uiPriority w:val="30"/>
    <w:rPr>
      <w:i/>
      <w:iCs/>
      <w:color w:val="4472C4"/>
    </w:rPr>
  </w:style>
  <w:style w:type="character" w:customStyle="1" w:styleId="MacroTextChar1">
    <w:name w:val="Macro Text Char1"/>
    <w:basedOn w:val="DefaultParagraphFont"/>
    <w:uiPriority w:val="99"/>
    <w:semiHidden/>
    <w:locked/>
    <w:rPr>
      <w:rFonts w:ascii="Consolas" w:eastAsia="Calibri" w:hAnsi="Consolas"/>
    </w:rPr>
  </w:style>
  <w:style w:type="character" w:customStyle="1" w:styleId="MessageHeaderChar1">
    <w:name w:val="Message Header Char1"/>
    <w:basedOn w:val="DefaultParagraphFont"/>
    <w:uiPriority w:val="99"/>
    <w:semiHidden/>
    <w:locked/>
    <w:rPr>
      <w:rFonts w:ascii="Calibri Light" w:hAnsi="Calibri Light"/>
      <w:sz w:val="24"/>
      <w:szCs w:val="24"/>
      <w:shd w:val="pct20" w:color="auto" w:fill="auto"/>
    </w:rPr>
  </w:style>
  <w:style w:type="character" w:customStyle="1" w:styleId="QuoteChar1">
    <w:name w:val="Quote Char1"/>
    <w:basedOn w:val="DefaultParagraphFont"/>
    <w:uiPriority w:val="29"/>
    <w:rPr>
      <w:i/>
      <w:iCs/>
      <w:color w:val="404040"/>
    </w:rPr>
  </w:style>
  <w:style w:type="character" w:customStyle="1" w:styleId="SubtitleChar1">
    <w:name w:val="Subtitle Char1"/>
    <w:basedOn w:val="DefaultParagraphFont"/>
    <w:uiPriority w:val="11"/>
    <w:rPr>
      <w:rFonts w:ascii="Times New Roman" w:eastAsia="Times New Roman" w:hAnsi="Times New Roman" w:cs="Times New Roman" w:hint="default"/>
      <w:color w:val="5A5A5A"/>
      <w:spacing w:val="15"/>
    </w:rPr>
  </w:style>
  <w:style w:type="character" w:customStyle="1" w:styleId="TitleChar1">
    <w:name w:val="Title Char1"/>
    <w:basedOn w:val="DefaultParagraphFont"/>
    <w:uiPriority w:val="10"/>
    <w:rPr>
      <w:rFonts w:ascii="Calibri Light" w:eastAsia="Times New Roman" w:hAnsi="Calibri Light" w:cs="Times New Roman" w:hint="default"/>
      <w:spacing w:val="-10"/>
      <w:kern w:val="28"/>
      <w:sz w:val="56"/>
      <w:szCs w:val="56"/>
    </w:rPr>
  </w:style>
  <w:style w:type="table" w:customStyle="1" w:styleId="TableSimple11">
    <w:name w:val="Table Simple 11"/>
    <w:basedOn w:val="TableNormal"/>
    <w:next w:val="TableSimple1"/>
    <w:uiPriority w:val="99"/>
    <w:semiHidden/>
    <w:unhideWhenUsed/>
    <w:pPr>
      <w:spacing w:after="160" w:line="256" w:lineRule="auto"/>
    </w:pPr>
    <w:rPr>
      <w:rFonts w:ascii="Calibri" w:eastAsia="Calibri" w:hAnsi="Calibri"/>
      <w:sz w:val="22"/>
      <w:szCs w:val="22"/>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pPr>
      <w:spacing w:after="160" w:line="256" w:lineRule="auto"/>
    </w:pPr>
    <w:rPr>
      <w:rFonts w:ascii="Calibri" w:eastAsia="Calibri" w:hAnsi="Calibri"/>
      <w:sz w:val="22"/>
      <w:szCs w:val="22"/>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pPr>
      <w:spacing w:after="160" w:line="256" w:lineRule="auto"/>
    </w:pPr>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uiPriority w:val="99"/>
    <w:semiHidden/>
    <w:unhideWhenUsed/>
    <w:pPr>
      <w:spacing w:after="160" w:line="256" w:lineRule="auto"/>
    </w:pPr>
    <w:rPr>
      <w:rFonts w:ascii="Calibri" w:eastAsia="Calibri" w:hAnsi="Calibri"/>
      <w:sz w:val="22"/>
      <w:szCs w:val="22"/>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pPr>
      <w:spacing w:after="160" w:line="256" w:lineRule="auto"/>
    </w:pPr>
    <w:rPr>
      <w:rFonts w:ascii="Calibri" w:eastAsia="Calibri" w:hAnsi="Calibri"/>
      <w:sz w:val="22"/>
      <w:szCs w:val="22"/>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pPr>
      <w:spacing w:after="160" w:line="256" w:lineRule="auto"/>
    </w:pPr>
    <w:rPr>
      <w:rFonts w:ascii="Calibri" w:eastAsia="Calibri" w:hAnsi="Calibri"/>
      <w:color w:val="000080"/>
      <w:sz w:val="22"/>
      <w:szCs w:val="22"/>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pPr>
      <w:spacing w:after="160" w:line="256" w:lineRule="auto"/>
    </w:pPr>
    <w:rPr>
      <w:rFonts w:ascii="Calibri" w:eastAsia="Calibri" w:hAnsi="Calibri"/>
      <w:sz w:val="22"/>
      <w:szCs w:val="22"/>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pPr>
      <w:spacing w:after="160" w:line="256" w:lineRule="auto"/>
    </w:pPr>
    <w:rPr>
      <w:rFonts w:ascii="Calibri" w:eastAsia="Calibri" w:hAnsi="Calibri"/>
      <w:color w:val="FFFFFF"/>
      <w:sz w:val="22"/>
      <w:szCs w:val="22"/>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pPr>
      <w:spacing w:after="160" w:line="256" w:lineRule="auto"/>
    </w:pPr>
    <w:rPr>
      <w:rFonts w:ascii="Calibri" w:eastAsia="Calibri" w:hAnsi="Calibri"/>
      <w:sz w:val="22"/>
      <w:szCs w:val="22"/>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pPr>
      <w:spacing w:after="160" w:line="256" w:lineRule="auto"/>
    </w:pPr>
    <w:rPr>
      <w:rFonts w:ascii="Calibri" w:eastAsia="Calibri" w:hAnsi="Calibri"/>
      <w:sz w:val="22"/>
      <w:szCs w:val="22"/>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pPr>
      <w:spacing w:after="160" w:line="256" w:lineRule="auto"/>
    </w:pPr>
    <w:rPr>
      <w:rFonts w:ascii="Calibri" w:eastAsia="Calibri" w:hAnsi="Calibri"/>
      <w:b/>
      <w:bCs/>
      <w:sz w:val="22"/>
      <w:szCs w:val="22"/>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pPr>
      <w:spacing w:after="160" w:line="256" w:lineRule="auto"/>
    </w:pPr>
    <w:rPr>
      <w:rFonts w:ascii="Calibri" w:eastAsia="Calibri" w:hAnsi="Calibri"/>
      <w:b/>
      <w:bCs/>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pPr>
      <w:spacing w:after="160" w:line="256" w:lineRule="auto"/>
    </w:pPr>
    <w:rPr>
      <w:rFonts w:ascii="Calibri" w:eastAsia="Calibri" w:hAnsi="Calibri"/>
      <w:b/>
      <w:bCs/>
      <w:sz w:val="22"/>
      <w:szCs w:val="22"/>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pPr>
      <w:spacing w:after="160" w:line="256" w:lineRule="auto"/>
    </w:pPr>
    <w:rPr>
      <w:rFonts w:ascii="Calibri" w:eastAsia="Calibri" w:hAnsi="Calibri"/>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pPr>
      <w:spacing w:after="160" w:line="256" w:lineRule="auto"/>
    </w:pPr>
    <w:rPr>
      <w:rFonts w:ascii="Calibri" w:eastAsia="Calibri" w:hAnsi="Calibri"/>
      <w:sz w:val="22"/>
      <w:szCs w:val="22"/>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TableNormal"/>
    <w:next w:val="TableGrid1"/>
    <w:uiPriority w:val="99"/>
    <w:semiHidden/>
    <w:unhideWhenUsed/>
    <w:pPr>
      <w:spacing w:after="160" w:line="256" w:lineRule="auto"/>
    </w:pPr>
    <w:rPr>
      <w:rFonts w:ascii="Calibri" w:eastAsia="Calibri" w:hAnsi="Calibri"/>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pPr>
      <w:spacing w:after="160" w:line="256" w:lineRule="auto"/>
    </w:pPr>
    <w:rPr>
      <w:rFonts w:ascii="Calibri" w:eastAsia="Calibri" w:hAnsi="Calibri"/>
      <w:sz w:val="22"/>
      <w:szCs w:val="22"/>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pPr>
      <w:spacing w:after="160" w:line="256" w:lineRule="auto"/>
    </w:pPr>
    <w:rPr>
      <w:rFonts w:ascii="Calibri" w:eastAsia="Calibri" w:hAnsi="Calibri"/>
      <w:sz w:val="22"/>
      <w:szCs w:val="22"/>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pPr>
      <w:spacing w:after="160" w:line="256" w:lineRule="auto"/>
    </w:pPr>
    <w:rPr>
      <w:rFonts w:ascii="Calibri" w:eastAsia="Calibri" w:hAnsi="Calibri"/>
      <w:sz w:val="22"/>
      <w:szCs w:val="22"/>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pPr>
      <w:spacing w:after="160" w:line="256" w:lineRule="auto"/>
    </w:pPr>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pPr>
      <w:spacing w:after="160" w:line="256" w:lineRule="auto"/>
    </w:pPr>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pPr>
      <w:spacing w:after="160" w:line="256" w:lineRule="auto"/>
    </w:pPr>
    <w:rPr>
      <w:rFonts w:ascii="Calibri" w:eastAsia="Calibri" w:hAnsi="Calibri"/>
      <w:b/>
      <w:bCs/>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pPr>
      <w:spacing w:after="160" w:line="256" w:lineRule="auto"/>
    </w:pPr>
    <w:rPr>
      <w:rFonts w:ascii="Calibri" w:eastAsia="Calibri" w:hAnsi="Calibri"/>
      <w:sz w:val="22"/>
      <w:szCs w:val="22"/>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pPr>
      <w:spacing w:after="160" w:line="256" w:lineRule="auto"/>
    </w:pPr>
    <w:rPr>
      <w:rFonts w:ascii="Calibri" w:eastAsia="Calibri" w:hAnsi="Calibri"/>
      <w:sz w:val="22"/>
      <w:szCs w:val="22"/>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pPr>
      <w:spacing w:after="160" w:line="256" w:lineRule="auto"/>
    </w:pPr>
    <w:rPr>
      <w:rFonts w:ascii="Calibri" w:eastAsia="Calibri" w:hAnsi="Calibri"/>
      <w:sz w:val="22"/>
      <w:szCs w:val="22"/>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pPr>
      <w:spacing w:after="160" w:line="256" w:lineRule="auto"/>
    </w:pPr>
    <w:rPr>
      <w:rFonts w:ascii="Calibri" w:eastAsia="Calibri" w:hAnsi="Calibri"/>
      <w:sz w:val="22"/>
      <w:szCs w:val="22"/>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pPr>
      <w:spacing w:after="160" w:line="256" w:lineRule="auto"/>
    </w:pPr>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pPr>
      <w:spacing w:after="160" w:line="256" w:lineRule="auto"/>
    </w:pPr>
    <w:rPr>
      <w:rFonts w:ascii="Calibri" w:eastAsia="Calibri" w:hAnsi="Calibri"/>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pPr>
      <w:spacing w:after="160" w:line="256" w:lineRule="auto"/>
    </w:pPr>
    <w:rPr>
      <w:rFonts w:ascii="Calibri" w:eastAsia="Calibri" w:hAnsi="Calibri"/>
      <w:sz w:val="22"/>
      <w:szCs w:val="22"/>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pPr>
      <w:spacing w:after="160" w:line="256" w:lineRule="auto"/>
    </w:pPr>
    <w:rPr>
      <w:rFonts w:ascii="Calibri" w:eastAsia="Calibri" w:hAnsi="Calibri"/>
      <w:sz w:val="22"/>
      <w:szCs w:val="22"/>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pPr>
      <w:spacing w:after="160" w:line="256" w:lineRule="auto"/>
    </w:pPr>
    <w:rPr>
      <w:rFonts w:ascii="Calibri" w:eastAsia="Calibri" w:hAnsi="Calibri"/>
      <w:sz w:val="22"/>
      <w:szCs w:val="22"/>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uiPriority w:val="99"/>
    <w:semiHidden/>
    <w:unhideWhenUsed/>
    <w:pPr>
      <w:spacing w:after="160" w:line="256" w:lineRule="auto"/>
    </w:pPr>
    <w:rPr>
      <w:rFonts w:ascii="Calibri" w:eastAsia="Calibri" w:hAnsi="Calibri"/>
      <w:sz w:val="22"/>
      <w:szCs w:val="22"/>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pPr>
      <w:spacing w:after="160" w:line="256" w:lineRule="auto"/>
    </w:pPr>
    <w:rPr>
      <w:rFonts w:ascii="Calibri" w:eastAsia="Calibri" w:hAnsi="Calibri"/>
      <w:sz w:val="22"/>
      <w:szCs w:val="22"/>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pPr>
      <w:spacing w:after="160" w:line="256" w:lineRule="auto"/>
    </w:pPr>
    <w:rPr>
      <w:rFonts w:ascii="Calibri" w:eastAsia="Calibri" w:hAnsi="Calibri"/>
      <w:sz w:val="22"/>
      <w:szCs w:val="22"/>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uiPriority w:val="99"/>
    <w:semiHidden/>
    <w:unhideWhenUsed/>
    <w:pPr>
      <w:spacing w:after="160" w:line="256" w:lineRule="auto"/>
    </w:pPr>
    <w:rPr>
      <w:rFonts w:ascii="Calibri" w:eastAsia="Calibri" w:hAnsi="Calibri"/>
      <w:sz w:val="22"/>
      <w:szCs w:val="22"/>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pPr>
      <w:spacing w:after="160" w:line="256" w:lineRule="auto"/>
    </w:pPr>
    <w:rPr>
      <w:rFonts w:ascii="Calibri" w:eastAsia="Calibri" w:hAnsi="Calibri"/>
      <w:sz w:val="22"/>
      <w:szCs w:val="22"/>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uiPriority w:val="99"/>
    <w:semiHidden/>
    <w:unhideWhenUsed/>
    <w:pPr>
      <w:spacing w:after="160" w:line="256" w:lineRule="auto"/>
    </w:pPr>
    <w:rPr>
      <w:rFonts w:ascii="Calibri" w:eastAsia="Calibri" w:hAnsi="Calibri"/>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pPr>
      <w:spacing w:after="160" w:line="256" w:lineRule="auto"/>
    </w:pPr>
    <w:rPr>
      <w:rFonts w:ascii="Calibri" w:eastAsia="Calibri" w:hAnsi="Calibri"/>
      <w:sz w:val="22"/>
      <w:szCs w:val="22"/>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pPr>
      <w:spacing w:after="160" w:line="256" w:lineRule="auto"/>
    </w:pPr>
    <w:rPr>
      <w:rFonts w:ascii="Calibri" w:eastAsia="Calibri" w:hAnsi="Calibri"/>
      <w:sz w:val="22"/>
      <w:szCs w:val="22"/>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1">
    <w:name w:val="Table Web 11"/>
    <w:basedOn w:val="TableNormal"/>
    <w:next w:val="TableWeb1"/>
    <w:uiPriority w:val="99"/>
    <w:semiHidden/>
    <w:unhideWhenUsed/>
    <w:pPr>
      <w:spacing w:after="160" w:line="256" w:lineRule="auto"/>
    </w:pPr>
    <w:rPr>
      <w:rFonts w:ascii="Calibri" w:eastAsia="Calibri" w:hAnsi="Calibri"/>
      <w:sz w:val="22"/>
      <w:szCs w:val="22"/>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pPr>
      <w:spacing w:after="160" w:line="256" w:lineRule="auto"/>
    </w:pPr>
    <w:rPr>
      <w:rFonts w:ascii="Calibri" w:eastAsia="Calibri" w:hAnsi="Calibri"/>
      <w:sz w:val="22"/>
      <w:szCs w:val="22"/>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pPr>
      <w:spacing w:after="160" w:line="256" w:lineRule="auto"/>
    </w:pPr>
    <w:rPr>
      <w:rFonts w:ascii="Calibri" w:eastAsia="Calibri" w:hAnsi="Calibri"/>
      <w:sz w:val="22"/>
      <w:szCs w:val="22"/>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uiPriority w:val="99"/>
    <w:semiHidden/>
    <w:unhideWhenUsed/>
    <w:pPr>
      <w:spacing w:after="160" w:line="256" w:lineRule="auto"/>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semiHidden/>
    <w:unhideWhenUsed/>
    <w:rPr>
      <w:rFonts w:ascii="Calibri" w:eastAsia="Calibri" w:hAnsi="Calibri"/>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next w:val="LightList"/>
    <w:uiPriority w:val="61"/>
    <w:semiHidden/>
    <w:unhideWhenUsed/>
    <w:rPr>
      <w:rFonts w:ascii="Calibri" w:eastAsia="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next w:val="LightGrid"/>
    <w:uiPriority w:val="62"/>
    <w:semiHidden/>
    <w:unhideWhenUsed/>
    <w:rPr>
      <w:rFonts w:ascii="Calibri" w:eastAsia="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TableNormal"/>
    <w:next w:val="MediumShading1"/>
    <w:uiPriority w:val="63"/>
    <w:semiHidden/>
    <w:unhideWhenUsed/>
    <w:rPr>
      <w:rFonts w:ascii="Calibri" w:eastAsia="Calibri" w:hAnsi="Calibri"/>
      <w:sz w:val="22"/>
      <w:szCs w:val="22"/>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semiHidden/>
    <w:unhideWhenUsed/>
    <w:rPr>
      <w:rFonts w:ascii="Calibri" w:eastAsia="Calibri" w:hAnsi="Calibri"/>
      <w:color w:val="000000"/>
      <w:sz w:val="22"/>
      <w:szCs w:val="22"/>
    </w:rPr>
    <w:tblPr>
      <w:tblStyleRowBandSize w:val="1"/>
      <w:tblStyleColBandSize w:val="1"/>
      <w:tblInd w:w="0" w:type="nil"/>
      <w:tblBorders>
        <w:top w:val="single" w:sz="8" w:space="0" w:color="000000"/>
        <w:bottom w:val="single" w:sz="8" w:space="0" w:color="000000"/>
      </w:tblBorders>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1">
    <w:name w:val="Medium List 21"/>
    <w:basedOn w:val="TableNormal"/>
    <w:next w:val="MediumList2"/>
    <w:uiPriority w:val="66"/>
    <w:semiHidden/>
    <w:unhideWhenUsed/>
    <w:rPr>
      <w:rFonts w:ascii="Calibri Light" w:hAnsi="Calibri Light"/>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semiHidden/>
    <w:unhideWhenUsed/>
    <w:rPr>
      <w:rFonts w:ascii="Calibri" w:eastAsia="Calibri" w:hAnsi="Calibri"/>
      <w:sz w:val="22"/>
      <w:szCs w:val="22"/>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next w:val="MediumGrid2"/>
    <w:uiPriority w:val="68"/>
    <w:semiHidden/>
    <w:unhideWhenUsed/>
    <w:rPr>
      <w:rFonts w:ascii="Calibri Light" w:hAnsi="Calibri Light"/>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DarkList1">
    <w:name w:val="Dark List1"/>
    <w:basedOn w:val="TableNormal"/>
    <w:next w:val="DarkList"/>
    <w:uiPriority w:val="70"/>
    <w:semiHidden/>
    <w:unhideWhenUsed/>
    <w:rPr>
      <w:rFonts w:ascii="Calibri" w:eastAsia="Calibri" w:hAnsi="Calibri"/>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olorfulShading1">
    <w:name w:val="Colorful Shading1"/>
    <w:basedOn w:val="TableNormal"/>
    <w:next w:val="ColorfulShading"/>
    <w:uiPriority w:val="71"/>
    <w:semiHidden/>
    <w:unhideWhenUsed/>
    <w:rPr>
      <w:rFonts w:ascii="Calibri" w:eastAsia="Calibri" w:hAnsi="Calibri"/>
      <w:color w:val="000000"/>
      <w:sz w:val="22"/>
      <w:szCs w:val="22"/>
    </w:rPr>
    <w:tblPr>
      <w:tblStyleRowBandSize w:val="1"/>
      <w:tblStyleColBandSize w:val="1"/>
      <w:tblInd w:w="0" w:type="nil"/>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semiHidden/>
    <w:unhideWhenUsed/>
    <w:rPr>
      <w:rFonts w:ascii="Calibri" w:eastAsia="Calibri" w:hAnsi="Calibri"/>
      <w:color w:val="000000"/>
      <w:sz w:val="22"/>
      <w:szCs w:val="22"/>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1">
    <w:name w:val="Colorful Grid1"/>
    <w:basedOn w:val="TableNormal"/>
    <w:next w:val="ColorfulGrid"/>
    <w:uiPriority w:val="73"/>
    <w:semiHidden/>
    <w:unhideWhenUsed/>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Shading-Accent11">
    <w:name w:val="Light Shading - Accent 11"/>
    <w:basedOn w:val="TableNormal"/>
    <w:next w:val="LightShading-Accent1"/>
    <w:uiPriority w:val="60"/>
    <w:semiHidden/>
    <w:unhideWhenUsed/>
    <w:rPr>
      <w:rFonts w:ascii="Calibri" w:eastAsia="Calibri" w:hAnsi="Calibri"/>
      <w:color w:val="2F5496"/>
      <w:sz w:val="22"/>
      <w:szCs w:val="22"/>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Accent11">
    <w:name w:val="Light List - Accent 11"/>
    <w:basedOn w:val="TableNormal"/>
    <w:next w:val="LightList-Accent1"/>
    <w:uiPriority w:val="61"/>
    <w:semiHidden/>
    <w:unhideWhenUsed/>
    <w:rPr>
      <w:rFonts w:ascii="Calibri" w:eastAsia="Calibri" w:hAnsi="Calibri"/>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line="240" w:lineRule="auto"/>
      </w:pPr>
      <w:rPr>
        <w:b/>
        <w:bCs/>
        <w:color w:val="FFFFFF"/>
      </w:rPr>
      <w:tblPr/>
      <w:tcPr>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Grid-Accent11">
    <w:name w:val="Light Grid - Accent 11"/>
    <w:basedOn w:val="TableNormal"/>
    <w:next w:val="LightGrid-Accent1"/>
    <w:uiPriority w:val="62"/>
    <w:semiHidden/>
    <w:unhideWhenUsed/>
    <w:rPr>
      <w:rFonts w:ascii="Calibri" w:eastAsia="Calibri" w:hAnsi="Calibri"/>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Accent11">
    <w:name w:val="Medium Shading 1 - Accent 11"/>
    <w:basedOn w:val="TableNormal"/>
    <w:next w:val="MediumShading1-Accent1"/>
    <w:uiPriority w:val="63"/>
    <w:semiHidden/>
    <w:unhideWhenUsed/>
    <w:rPr>
      <w:rFonts w:ascii="Calibri" w:eastAsia="Calibri" w:hAnsi="Calibri"/>
      <w:sz w:val="22"/>
      <w:szCs w:val="22"/>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2-Accent11">
    <w:name w:val="Medium Shading 2 - Accent 11"/>
    <w:basedOn w:val="TableNormal"/>
    <w:next w:val="MediumShading2-Accent1"/>
    <w:uiPriority w:val="64"/>
    <w:semiHidden/>
    <w:unhideWhenUsed/>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next w:val="MediumList1-Accent1"/>
    <w:uiPriority w:val="65"/>
    <w:semiHidden/>
    <w:unhideWhenUsed/>
    <w:rPr>
      <w:rFonts w:ascii="Calibri" w:eastAsia="Calibri" w:hAnsi="Calibri"/>
      <w:color w:val="000000"/>
      <w:sz w:val="22"/>
      <w:szCs w:val="22"/>
    </w:rPr>
    <w:tblPr>
      <w:tblStyleRowBandSize w:val="1"/>
      <w:tblStyleColBandSize w:val="1"/>
      <w:tblInd w:w="0" w:type="nil"/>
      <w:tblBorders>
        <w:top w:val="single" w:sz="8" w:space="0" w:color="4472C4"/>
        <w:bottom w:val="single" w:sz="8" w:space="0" w:color="4472C4"/>
      </w:tblBorders>
    </w:tblPr>
    <w:tblStylePr w:type="firstRow">
      <w:rPr>
        <w:rFonts w:ascii="Calibri Light" w:eastAsia="Times New Roman" w:hAnsi="Calibri Light" w:cs="Times New Roman" w:hint="default"/>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2-Accent11">
    <w:name w:val="Medium List 2 - Accent 11"/>
    <w:basedOn w:val="TableNormal"/>
    <w:next w:val="MediumList2-Accent1"/>
    <w:uiPriority w:val="66"/>
    <w:semiHidden/>
    <w:unhideWhenUsed/>
    <w:rPr>
      <w:rFonts w:ascii="Calibri Light" w:hAnsi="Calibri Light"/>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1-Accent11">
    <w:name w:val="Medium Grid 1 - Accent 11"/>
    <w:basedOn w:val="TableNormal"/>
    <w:next w:val="MediumGrid1-Accent1"/>
    <w:uiPriority w:val="67"/>
    <w:semiHidden/>
    <w:unhideWhenUsed/>
    <w:rPr>
      <w:rFonts w:ascii="Calibri" w:eastAsia="Calibri" w:hAnsi="Calibri"/>
      <w:sz w:val="22"/>
      <w:szCs w:val="22"/>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2-Accent11">
    <w:name w:val="Medium Grid 2 - Accent 11"/>
    <w:basedOn w:val="TableNormal"/>
    <w:next w:val="MediumGrid2-Accent1"/>
    <w:uiPriority w:val="68"/>
    <w:semiHidden/>
    <w:unhideWhenUsed/>
    <w:rPr>
      <w:rFonts w:ascii="Calibri Light" w:hAnsi="Calibri Light"/>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3-Accent11">
    <w:name w:val="Medium Grid 3 - Accent 11"/>
    <w:basedOn w:val="TableNormal"/>
    <w:next w:val="MediumGrid3-Accent1"/>
    <w:uiPriority w:val="69"/>
    <w:semiHidden/>
    <w:unhideWhenUsed/>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DarkList-Accent11">
    <w:name w:val="Dark List - Accent 11"/>
    <w:basedOn w:val="TableNormal"/>
    <w:next w:val="DarkList-Accent1"/>
    <w:uiPriority w:val="70"/>
    <w:semiHidden/>
    <w:unhideWhenUsed/>
    <w:rPr>
      <w:rFonts w:ascii="Calibri" w:eastAsia="Calibri" w:hAnsi="Calibri"/>
      <w:color w:val="FFFFFF"/>
      <w:sz w:val="22"/>
      <w:szCs w:val="22"/>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ColorfulShading-Accent11">
    <w:name w:val="Colorful Shading - Accent 11"/>
    <w:basedOn w:val="TableNormal"/>
    <w:next w:val="ColorfulShading-Accent1"/>
    <w:uiPriority w:val="71"/>
    <w:semiHidden/>
    <w:unhideWhenUsed/>
    <w:rPr>
      <w:rFonts w:ascii="Calibri" w:eastAsia="Calibri" w:hAnsi="Calibri"/>
      <w:color w:val="000000"/>
      <w:sz w:val="22"/>
      <w:szCs w:val="22"/>
    </w:rPr>
    <w:tblPr>
      <w:tblStyleRowBandSize w:val="1"/>
      <w:tblStyleColBandSize w:val="1"/>
      <w:tblInd w:w="0" w:type="nil"/>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List-Accent11">
    <w:name w:val="Colorful List - Accent 11"/>
    <w:basedOn w:val="TableNormal"/>
    <w:next w:val="ColorfulList-Accent1"/>
    <w:uiPriority w:val="72"/>
    <w:semiHidden/>
    <w:unhideWhenUsed/>
    <w:rPr>
      <w:rFonts w:ascii="Calibri" w:eastAsia="Calibri" w:hAnsi="Calibri"/>
      <w:color w:val="000000"/>
      <w:sz w:val="22"/>
      <w:szCs w:val="22"/>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Grid-Accent11">
    <w:name w:val="Colorful Grid - Accent 11"/>
    <w:basedOn w:val="TableNormal"/>
    <w:next w:val="ColorfulGrid-Accent1"/>
    <w:uiPriority w:val="73"/>
    <w:semiHidden/>
    <w:unhideWhenUsed/>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LightShading-Accent21">
    <w:name w:val="Light Shading - Accent 21"/>
    <w:basedOn w:val="TableNormal"/>
    <w:next w:val="LightShading-Accent2"/>
    <w:uiPriority w:val="60"/>
    <w:semiHidden/>
    <w:unhideWhenUsed/>
    <w:rPr>
      <w:rFonts w:ascii="Calibri" w:eastAsia="Calibri" w:hAnsi="Calibri"/>
      <w:color w:val="C45911"/>
      <w:sz w:val="22"/>
      <w:szCs w:val="22"/>
    </w:rPr>
    <w:tblPr>
      <w:tblStyleRowBandSize w:val="1"/>
      <w:tblStyleColBandSize w:val="1"/>
      <w:tblInd w:w="0" w:type="nil"/>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List-Accent21">
    <w:name w:val="Light List - Accent 21"/>
    <w:basedOn w:val="TableNormal"/>
    <w:next w:val="LightList-Accent2"/>
    <w:uiPriority w:val="61"/>
    <w:semiHidden/>
    <w:unhideWhenUsed/>
    <w:rPr>
      <w:rFonts w:ascii="Calibri" w:eastAsia="Calibri" w:hAnsi="Calibri"/>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pPr>
        <w:spacing w:beforeLines="0" w:before="0" w:beforeAutospacing="0" w:afterLines="0" w:after="0" w:afterAutospacing="0" w:line="240" w:lineRule="auto"/>
      </w:pPr>
      <w:rPr>
        <w:b/>
        <w:bCs/>
        <w:color w:val="FFFFFF"/>
      </w:rPr>
      <w:tblPr/>
      <w:tcPr>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Grid-Accent21">
    <w:name w:val="Light Grid - Accent 21"/>
    <w:basedOn w:val="TableNormal"/>
    <w:next w:val="LightGrid-Accent2"/>
    <w:uiPriority w:val="62"/>
    <w:semiHidden/>
    <w:unhideWhenUsed/>
    <w:rPr>
      <w:rFonts w:ascii="Calibri" w:eastAsia="Calibri" w:hAnsi="Calibri"/>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1">
    <w:name w:val="Medium Shading 1 - Accent 21"/>
    <w:basedOn w:val="TableNormal"/>
    <w:next w:val="MediumShading1-Accent2"/>
    <w:uiPriority w:val="63"/>
    <w:semiHidden/>
    <w:unhideWhenUsed/>
    <w:rPr>
      <w:rFonts w:ascii="Calibri" w:eastAsia="Calibri" w:hAnsi="Calibri"/>
      <w:sz w:val="22"/>
      <w:szCs w:val="22"/>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0" w:beforeAutospacing="0" w:afterLines="0" w:after="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2-Accent21">
    <w:name w:val="Medium Shading 2 - Accent 21"/>
    <w:basedOn w:val="TableNormal"/>
    <w:next w:val="MediumShading2-Accent2"/>
    <w:uiPriority w:val="64"/>
    <w:semiHidden/>
    <w:unhideWhenUsed/>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1">
    <w:name w:val="Medium List 1 - Accent 21"/>
    <w:basedOn w:val="TableNormal"/>
    <w:next w:val="MediumList1-Accent2"/>
    <w:uiPriority w:val="65"/>
    <w:semiHidden/>
    <w:unhideWhenUsed/>
    <w:rPr>
      <w:rFonts w:ascii="Calibri" w:eastAsia="Calibri" w:hAnsi="Calibri"/>
      <w:color w:val="000000"/>
      <w:sz w:val="22"/>
      <w:szCs w:val="22"/>
    </w:rPr>
    <w:tblPr>
      <w:tblStyleRowBandSize w:val="1"/>
      <w:tblStyleColBandSize w:val="1"/>
      <w:tblInd w:w="0" w:type="nil"/>
      <w:tblBorders>
        <w:top w:val="single" w:sz="8" w:space="0" w:color="ED7D31"/>
        <w:bottom w:val="single" w:sz="8" w:space="0" w:color="ED7D31"/>
      </w:tblBorders>
    </w:tblPr>
    <w:tblStylePr w:type="firstRow">
      <w:rPr>
        <w:rFonts w:ascii="Calibri Light" w:eastAsia="Times New Roman" w:hAnsi="Calibri Light" w:cs="Times New Roman" w:hint="default"/>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2-Accent21">
    <w:name w:val="Medium List 2 - Accent 21"/>
    <w:basedOn w:val="TableNormal"/>
    <w:next w:val="MediumList2-Accent2"/>
    <w:uiPriority w:val="66"/>
    <w:semiHidden/>
    <w:unhideWhenUsed/>
    <w:rPr>
      <w:rFonts w:ascii="Calibri Light" w:hAnsi="Calibri Light"/>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1-Accent21">
    <w:name w:val="Medium Grid 1 - Accent 21"/>
    <w:basedOn w:val="TableNormal"/>
    <w:next w:val="MediumGrid1-Accent2"/>
    <w:uiPriority w:val="67"/>
    <w:semiHidden/>
    <w:unhideWhenUsed/>
    <w:rPr>
      <w:rFonts w:ascii="Calibri" w:eastAsia="Calibri" w:hAnsi="Calibri"/>
      <w:sz w:val="22"/>
      <w:szCs w:val="22"/>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2-Accent21">
    <w:name w:val="Medium Grid 2 - Accent 21"/>
    <w:basedOn w:val="TableNormal"/>
    <w:next w:val="MediumGrid2-Accent2"/>
    <w:uiPriority w:val="68"/>
    <w:semiHidden/>
    <w:unhideWhenUsed/>
    <w:rPr>
      <w:rFonts w:ascii="Calibri Light" w:hAnsi="Calibri Light"/>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TableNormal"/>
    <w:next w:val="MediumGrid3-Accent2"/>
    <w:uiPriority w:val="69"/>
    <w:semiHidden/>
    <w:unhideWhenUsed/>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DarkList-Accent21">
    <w:name w:val="Dark List - Accent 21"/>
    <w:basedOn w:val="TableNormal"/>
    <w:next w:val="DarkList-Accent2"/>
    <w:uiPriority w:val="70"/>
    <w:semiHidden/>
    <w:unhideWhenUsed/>
    <w:rPr>
      <w:rFonts w:ascii="Calibri" w:eastAsia="Calibri" w:hAnsi="Calibri"/>
      <w:color w:val="FFFFFF"/>
      <w:sz w:val="22"/>
      <w:szCs w:val="22"/>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ColorfulShading-Accent21">
    <w:name w:val="Colorful Shading - Accent 21"/>
    <w:basedOn w:val="TableNormal"/>
    <w:next w:val="ColorfulShading-Accent2"/>
    <w:uiPriority w:val="71"/>
    <w:semiHidden/>
    <w:unhideWhenUsed/>
    <w:rPr>
      <w:rFonts w:ascii="Calibri" w:eastAsia="Calibri" w:hAnsi="Calibri"/>
      <w:color w:val="000000"/>
      <w:sz w:val="22"/>
      <w:szCs w:val="22"/>
    </w:rPr>
    <w:tblPr>
      <w:tblStyleRowBandSize w:val="1"/>
      <w:tblStyleColBandSize w:val="1"/>
      <w:tblInd w:w="0" w:type="nil"/>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List-Accent21">
    <w:name w:val="Colorful List - Accent 21"/>
    <w:basedOn w:val="TableNormal"/>
    <w:next w:val="ColorfulList-Accent2"/>
    <w:uiPriority w:val="72"/>
    <w:semiHidden/>
    <w:unhideWhenUsed/>
    <w:rPr>
      <w:rFonts w:ascii="Calibri" w:eastAsia="Calibri" w:hAnsi="Calibri"/>
      <w:color w:val="000000"/>
      <w:sz w:val="22"/>
      <w:szCs w:val="22"/>
    </w:rPr>
    <w:tblPr>
      <w:tblStyleRowBandSize w:val="1"/>
      <w:tblStyleColBandSize w:val="1"/>
      <w:tblInd w:w="0" w:type="nil"/>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Grid-Accent21">
    <w:name w:val="Colorful Grid - Accent 21"/>
    <w:basedOn w:val="TableNormal"/>
    <w:next w:val="ColorfulGrid-Accent2"/>
    <w:uiPriority w:val="73"/>
    <w:semiHidden/>
    <w:unhideWhenUsed/>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LightShading-Accent31">
    <w:name w:val="Light Shading - Accent 31"/>
    <w:basedOn w:val="TableNormal"/>
    <w:next w:val="LightShading-Accent3"/>
    <w:uiPriority w:val="60"/>
    <w:semiHidden/>
    <w:unhideWhenUsed/>
    <w:rPr>
      <w:rFonts w:ascii="Calibri" w:eastAsia="Calibri" w:hAnsi="Calibri"/>
      <w:color w:val="7B7B7B"/>
      <w:sz w:val="22"/>
      <w:szCs w:val="22"/>
    </w:rPr>
    <w:tblPr>
      <w:tblStyleRowBandSize w:val="1"/>
      <w:tblStyleColBandSize w:val="1"/>
      <w:tblInd w:w="0" w:type="nil"/>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Accent31">
    <w:name w:val="Light List - Accent 31"/>
    <w:basedOn w:val="TableNormal"/>
    <w:next w:val="LightList-Accent3"/>
    <w:uiPriority w:val="61"/>
    <w:semiHidden/>
    <w:unhideWhenUsed/>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Grid-Accent31">
    <w:name w:val="Light Grid - Accent 31"/>
    <w:basedOn w:val="TableNormal"/>
    <w:next w:val="LightGrid-Accent3"/>
    <w:uiPriority w:val="62"/>
    <w:semiHidden/>
    <w:unhideWhenUsed/>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1">
    <w:name w:val="Medium Shading 1 - Accent 31"/>
    <w:basedOn w:val="TableNormal"/>
    <w:next w:val="MediumShading1-Accent3"/>
    <w:uiPriority w:val="63"/>
    <w:semiHidden/>
    <w:unhideWhenUsed/>
    <w:rPr>
      <w:rFonts w:ascii="Calibri" w:eastAsia="Calibri" w:hAnsi="Calibri"/>
      <w:sz w:val="22"/>
      <w:szCs w:val="22"/>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0" w:beforeAutospacing="0" w:afterLines="0" w:after="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Accent31">
    <w:name w:val="Medium Shading 2 - Accent 31"/>
    <w:basedOn w:val="TableNormal"/>
    <w:next w:val="MediumShading2-Accent3"/>
    <w:uiPriority w:val="64"/>
    <w:semiHidden/>
    <w:unhideWhenUsed/>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31">
    <w:name w:val="Medium List 1 - Accent 31"/>
    <w:basedOn w:val="TableNormal"/>
    <w:next w:val="MediumList1-Accent3"/>
    <w:uiPriority w:val="65"/>
    <w:semiHidden/>
    <w:unhideWhenUsed/>
    <w:rPr>
      <w:rFonts w:ascii="Calibri" w:eastAsia="Calibri" w:hAnsi="Calibri"/>
      <w:color w:val="000000"/>
      <w:sz w:val="22"/>
      <w:szCs w:val="22"/>
    </w:rPr>
    <w:tblPr>
      <w:tblStyleRowBandSize w:val="1"/>
      <w:tblStyleColBandSize w:val="1"/>
      <w:tblInd w:w="0" w:type="nil"/>
      <w:tblBorders>
        <w:top w:val="single" w:sz="8" w:space="0" w:color="A5A5A5"/>
        <w:bottom w:val="single" w:sz="8" w:space="0" w:color="A5A5A5"/>
      </w:tblBorders>
    </w:tblPr>
    <w:tblStylePr w:type="firstRow">
      <w:rPr>
        <w:rFonts w:ascii="Calibri Light" w:eastAsia="Times New Roman" w:hAnsi="Calibri Light" w:cs="Times New Roman" w:hint="default"/>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2-Accent31">
    <w:name w:val="Medium List 2 - Accent 31"/>
    <w:basedOn w:val="TableNormal"/>
    <w:next w:val="MediumList2-Accent3"/>
    <w:uiPriority w:val="66"/>
    <w:semiHidden/>
    <w:unhideWhenUsed/>
    <w:rPr>
      <w:rFonts w:ascii="Calibri Light" w:hAnsi="Calibri Light"/>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Grid1-Accent31">
    <w:name w:val="Medium Grid 1 - Accent 31"/>
    <w:basedOn w:val="TableNormal"/>
    <w:next w:val="MediumGrid1-Accent3"/>
    <w:uiPriority w:val="67"/>
    <w:semiHidden/>
    <w:unhideWhenUsed/>
    <w:rPr>
      <w:rFonts w:ascii="Calibri" w:eastAsia="Calibri" w:hAnsi="Calibri"/>
      <w:sz w:val="22"/>
      <w:szCs w:val="22"/>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2-Accent31">
    <w:name w:val="Medium Grid 2 - Accent 31"/>
    <w:basedOn w:val="TableNormal"/>
    <w:next w:val="MediumGrid2-Accent3"/>
    <w:uiPriority w:val="68"/>
    <w:semiHidden/>
    <w:unhideWhenUsed/>
    <w:rPr>
      <w:rFonts w:ascii="Calibri Light" w:hAnsi="Calibri Light"/>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3-Accent31">
    <w:name w:val="Medium Grid 3 - Accent 31"/>
    <w:basedOn w:val="TableNormal"/>
    <w:next w:val="MediumGrid3-Accent3"/>
    <w:uiPriority w:val="69"/>
    <w:semiHidden/>
    <w:unhideWhenUsed/>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DarkList-Accent31">
    <w:name w:val="Dark List - Accent 31"/>
    <w:basedOn w:val="TableNormal"/>
    <w:next w:val="DarkList-Accent3"/>
    <w:uiPriority w:val="70"/>
    <w:semiHidden/>
    <w:unhideWhenUsed/>
    <w:rPr>
      <w:rFonts w:ascii="Calibri" w:eastAsia="Calibri" w:hAnsi="Calibri"/>
      <w:color w:val="FFFFFF"/>
      <w:sz w:val="22"/>
      <w:szCs w:val="22"/>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ColorfulShading-Accent31">
    <w:name w:val="Colorful Shading - Accent 31"/>
    <w:basedOn w:val="TableNormal"/>
    <w:next w:val="ColorfulShading-Accent3"/>
    <w:uiPriority w:val="71"/>
    <w:semiHidden/>
    <w:unhideWhenUsed/>
    <w:rPr>
      <w:rFonts w:ascii="Calibri" w:eastAsia="Calibri" w:hAnsi="Calibri"/>
      <w:color w:val="000000"/>
      <w:sz w:val="22"/>
      <w:szCs w:val="22"/>
    </w:rPr>
    <w:tblPr>
      <w:tblStyleRowBandSize w:val="1"/>
      <w:tblStyleColBandSize w:val="1"/>
      <w:tblInd w:w="0" w:type="nil"/>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List-Accent31">
    <w:name w:val="Colorful List - Accent 31"/>
    <w:basedOn w:val="TableNormal"/>
    <w:next w:val="ColorfulList-Accent3"/>
    <w:uiPriority w:val="72"/>
    <w:semiHidden/>
    <w:unhideWhenUsed/>
    <w:rPr>
      <w:rFonts w:ascii="Calibri" w:eastAsia="Calibri" w:hAnsi="Calibri"/>
      <w:color w:val="000000"/>
      <w:sz w:val="22"/>
      <w:szCs w:val="22"/>
    </w:rPr>
    <w:tblPr>
      <w:tblStyleRowBandSize w:val="1"/>
      <w:tblStyleColBandSize w:val="1"/>
      <w:tblInd w:w="0" w:type="nil"/>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Grid-Accent31">
    <w:name w:val="Colorful Grid - Accent 31"/>
    <w:basedOn w:val="TableNormal"/>
    <w:next w:val="ColorfulGrid-Accent3"/>
    <w:uiPriority w:val="73"/>
    <w:semiHidden/>
    <w:unhideWhenUsed/>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LightShading-Accent41">
    <w:name w:val="Light Shading - Accent 41"/>
    <w:basedOn w:val="TableNormal"/>
    <w:next w:val="LightShading-Accent4"/>
    <w:uiPriority w:val="60"/>
    <w:semiHidden/>
    <w:unhideWhenUsed/>
    <w:rPr>
      <w:rFonts w:ascii="Calibri" w:eastAsia="Calibri" w:hAnsi="Calibri"/>
      <w:color w:val="BF8F00"/>
      <w:sz w:val="22"/>
      <w:szCs w:val="22"/>
    </w:rPr>
    <w:tblPr>
      <w:tblStyleRowBandSize w:val="1"/>
      <w:tblStyleColBandSize w:val="1"/>
      <w:tblInd w:w="0" w:type="nil"/>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List-Accent41">
    <w:name w:val="Light List - Accent 41"/>
    <w:basedOn w:val="TableNormal"/>
    <w:next w:val="LightList-Accent4"/>
    <w:uiPriority w:val="61"/>
    <w:semiHidden/>
    <w:unhideWhenUsed/>
    <w:rPr>
      <w:rFonts w:ascii="Calibri" w:eastAsia="Calibri" w:hAnsi="Calibri"/>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pPr>
        <w:spacing w:beforeLines="0" w:before="0" w:beforeAutospacing="0" w:afterLines="0" w:after="0" w:afterAutospacing="0" w:line="240" w:lineRule="auto"/>
      </w:pPr>
      <w:rPr>
        <w:b/>
        <w:bCs/>
        <w:color w:val="FFFFFF"/>
      </w:rPr>
      <w:tblPr/>
      <w:tcPr>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1">
    <w:name w:val="Light Grid - Accent 41"/>
    <w:basedOn w:val="TableNormal"/>
    <w:next w:val="LightGrid-Accent4"/>
    <w:uiPriority w:val="62"/>
    <w:semiHidden/>
    <w:unhideWhenUsed/>
    <w:rPr>
      <w:rFonts w:ascii="Calibri" w:eastAsia="Calibri" w:hAnsi="Calibri"/>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Shading1-Accent41">
    <w:name w:val="Medium Shading 1 - Accent 41"/>
    <w:basedOn w:val="TableNormal"/>
    <w:next w:val="MediumShading1-Accent4"/>
    <w:uiPriority w:val="63"/>
    <w:semiHidden/>
    <w:unhideWhenUsed/>
    <w:rPr>
      <w:rFonts w:ascii="Calibri" w:eastAsia="Calibri" w:hAnsi="Calibri"/>
      <w:sz w:val="22"/>
      <w:szCs w:val="22"/>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0" w:beforeAutospacing="0" w:afterLines="0" w:after="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1">
    <w:name w:val="Medium Shading 2 - Accent 41"/>
    <w:basedOn w:val="TableNormal"/>
    <w:next w:val="MediumShading2-Accent4"/>
    <w:uiPriority w:val="64"/>
    <w:semiHidden/>
    <w:unhideWhenUsed/>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1">
    <w:name w:val="Medium List 1 - Accent 41"/>
    <w:basedOn w:val="TableNormal"/>
    <w:next w:val="MediumList1-Accent4"/>
    <w:uiPriority w:val="65"/>
    <w:semiHidden/>
    <w:unhideWhenUsed/>
    <w:rPr>
      <w:rFonts w:ascii="Calibri" w:eastAsia="Calibri" w:hAnsi="Calibri"/>
      <w:color w:val="000000"/>
      <w:sz w:val="22"/>
      <w:szCs w:val="22"/>
    </w:rPr>
    <w:tblPr>
      <w:tblStyleRowBandSize w:val="1"/>
      <w:tblStyleColBandSize w:val="1"/>
      <w:tblInd w:w="0" w:type="nil"/>
      <w:tblBorders>
        <w:top w:val="single" w:sz="8" w:space="0" w:color="FFC000"/>
        <w:bottom w:val="single" w:sz="8" w:space="0" w:color="FFC000"/>
      </w:tblBorders>
    </w:tblPr>
    <w:tblStylePr w:type="firstRow">
      <w:rPr>
        <w:rFonts w:ascii="Calibri Light" w:eastAsia="Times New Roman" w:hAnsi="Calibri Light" w:cs="Times New Roman" w:hint="default"/>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41">
    <w:name w:val="Medium List 2 - Accent 41"/>
    <w:basedOn w:val="TableNormal"/>
    <w:next w:val="MediumList2-Accent4"/>
    <w:uiPriority w:val="66"/>
    <w:semiHidden/>
    <w:unhideWhenUsed/>
    <w:rPr>
      <w:rFonts w:ascii="Calibri Light" w:hAnsi="Calibri Light"/>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Grid1-Accent41">
    <w:name w:val="Medium Grid 1 - Accent 41"/>
    <w:basedOn w:val="TableNormal"/>
    <w:next w:val="MediumGrid1-Accent4"/>
    <w:uiPriority w:val="67"/>
    <w:semiHidden/>
    <w:unhideWhenUsed/>
    <w:rPr>
      <w:rFonts w:ascii="Calibri" w:eastAsia="Calibri" w:hAnsi="Calibri"/>
      <w:sz w:val="22"/>
      <w:szCs w:val="22"/>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2-Accent41">
    <w:name w:val="Medium Grid 2 - Accent 41"/>
    <w:basedOn w:val="TableNormal"/>
    <w:next w:val="MediumGrid2-Accent4"/>
    <w:uiPriority w:val="68"/>
    <w:semiHidden/>
    <w:unhideWhenUsed/>
    <w:rPr>
      <w:rFonts w:ascii="Calibri Light" w:hAnsi="Calibri Light"/>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3-Accent41">
    <w:name w:val="Medium Grid 3 - Accent 41"/>
    <w:basedOn w:val="TableNormal"/>
    <w:next w:val="MediumGrid3-Accent4"/>
    <w:uiPriority w:val="69"/>
    <w:semiHidden/>
    <w:unhideWhenUsed/>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DarkList-Accent41">
    <w:name w:val="Dark List - Accent 41"/>
    <w:basedOn w:val="TableNormal"/>
    <w:next w:val="DarkList-Accent4"/>
    <w:uiPriority w:val="70"/>
    <w:semiHidden/>
    <w:unhideWhenUsed/>
    <w:rPr>
      <w:rFonts w:ascii="Calibri" w:eastAsia="Calibri" w:hAnsi="Calibri"/>
      <w:color w:val="FFFFFF"/>
      <w:sz w:val="22"/>
      <w:szCs w:val="22"/>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ColorfulShading-Accent41">
    <w:name w:val="Colorful Shading - Accent 41"/>
    <w:basedOn w:val="TableNormal"/>
    <w:next w:val="ColorfulShading-Accent4"/>
    <w:uiPriority w:val="71"/>
    <w:semiHidden/>
    <w:unhideWhenUsed/>
    <w:rPr>
      <w:rFonts w:ascii="Calibri" w:eastAsia="Calibri" w:hAnsi="Calibri"/>
      <w:color w:val="000000"/>
      <w:sz w:val="22"/>
      <w:szCs w:val="22"/>
    </w:rPr>
    <w:tblPr>
      <w:tblStyleRowBandSize w:val="1"/>
      <w:tblStyleColBandSize w:val="1"/>
      <w:tblInd w:w="0" w:type="nil"/>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List-Accent41">
    <w:name w:val="Colorful List - Accent 41"/>
    <w:basedOn w:val="TableNormal"/>
    <w:next w:val="ColorfulList-Accent4"/>
    <w:uiPriority w:val="72"/>
    <w:semiHidden/>
    <w:unhideWhenUsed/>
    <w:rPr>
      <w:rFonts w:ascii="Calibri" w:eastAsia="Calibri" w:hAnsi="Calibri"/>
      <w:color w:val="000000"/>
      <w:sz w:val="22"/>
      <w:szCs w:val="22"/>
    </w:rPr>
    <w:tblPr>
      <w:tblStyleRowBandSize w:val="1"/>
      <w:tblStyleColBandSize w:val="1"/>
      <w:tblInd w:w="0" w:type="nil"/>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Grid-Accent41">
    <w:name w:val="Colorful Grid - Accent 41"/>
    <w:basedOn w:val="TableNormal"/>
    <w:next w:val="ColorfulGrid-Accent4"/>
    <w:uiPriority w:val="73"/>
    <w:semiHidden/>
    <w:unhideWhenUsed/>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LightShading-Accent51">
    <w:name w:val="Light Shading - Accent 51"/>
    <w:basedOn w:val="TableNormal"/>
    <w:next w:val="LightShading-Accent5"/>
    <w:uiPriority w:val="60"/>
    <w:semiHidden/>
    <w:unhideWhenUsed/>
    <w:rPr>
      <w:rFonts w:ascii="Calibri" w:eastAsia="Calibri" w:hAnsi="Calibri"/>
      <w:color w:val="2E74B5"/>
      <w:sz w:val="22"/>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List-Accent51">
    <w:name w:val="Light List - Accent 51"/>
    <w:basedOn w:val="TableNormal"/>
    <w:next w:val="LightList-Accent5"/>
    <w:uiPriority w:val="61"/>
    <w:semiHidden/>
    <w:unhideWhenUsed/>
    <w:rPr>
      <w:rFonts w:ascii="Calibri" w:eastAsia="Calibri" w:hAnsi="Calibri"/>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51">
    <w:name w:val="Light Grid - Accent 51"/>
    <w:basedOn w:val="TableNormal"/>
    <w:next w:val="LightGrid-Accent5"/>
    <w:uiPriority w:val="62"/>
    <w:semiHidden/>
    <w:unhideWhenUsed/>
    <w:rPr>
      <w:rFonts w:ascii="Calibri" w:eastAsia="Calibri" w:hAnsi="Calibri"/>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Shading1-Accent51">
    <w:name w:val="Medium Shading 1 - Accent 51"/>
    <w:basedOn w:val="TableNormal"/>
    <w:next w:val="MediumShading1-Accent5"/>
    <w:uiPriority w:val="63"/>
    <w:semiHidden/>
    <w:unhideWhenUsed/>
    <w:rPr>
      <w:rFonts w:ascii="Calibri" w:eastAsia="Calibri" w:hAnsi="Calibri"/>
      <w:sz w:val="22"/>
      <w:szCs w:val="22"/>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0" w:beforeAutospacing="0" w:afterLines="0" w:after="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2-Accent51">
    <w:name w:val="Medium Shading 2 - Accent 51"/>
    <w:basedOn w:val="TableNormal"/>
    <w:next w:val="MediumShading2-Accent5"/>
    <w:uiPriority w:val="64"/>
    <w:semiHidden/>
    <w:unhideWhenUsed/>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51">
    <w:name w:val="Medium List 1 - Accent 51"/>
    <w:basedOn w:val="TableNormal"/>
    <w:next w:val="MediumList1-Accent5"/>
    <w:uiPriority w:val="65"/>
    <w:semiHidden/>
    <w:unhideWhenUsed/>
    <w:rPr>
      <w:rFonts w:ascii="Calibri" w:eastAsia="Calibri" w:hAnsi="Calibri"/>
      <w:color w:val="000000"/>
      <w:sz w:val="22"/>
      <w:szCs w:val="22"/>
    </w:rPr>
    <w:tblPr>
      <w:tblStyleRowBandSize w:val="1"/>
      <w:tblStyleColBandSize w:val="1"/>
      <w:tblInd w:w="0" w:type="nil"/>
      <w:tblBorders>
        <w:top w:val="single" w:sz="8" w:space="0" w:color="5B9BD5"/>
        <w:bottom w:val="single" w:sz="8" w:space="0" w:color="5B9BD5"/>
      </w:tblBorders>
    </w:tblPr>
    <w:tblStylePr w:type="firstRow">
      <w:rPr>
        <w:rFonts w:ascii="Calibri Light" w:eastAsia="Times New Roman" w:hAnsi="Calibri Light" w:cs="Times New Roman" w:hint="default"/>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2-Accent51">
    <w:name w:val="Medium List 2 - Accent 51"/>
    <w:basedOn w:val="TableNormal"/>
    <w:next w:val="MediumList2-Accent5"/>
    <w:uiPriority w:val="66"/>
    <w:semiHidden/>
    <w:unhideWhenUsed/>
    <w:rPr>
      <w:rFonts w:ascii="Calibri Light" w:hAnsi="Calibri Light"/>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Grid1-Accent51">
    <w:name w:val="Medium Grid 1 - Accent 51"/>
    <w:basedOn w:val="TableNormal"/>
    <w:next w:val="MediumGrid1-Accent5"/>
    <w:uiPriority w:val="67"/>
    <w:semiHidden/>
    <w:unhideWhenUsed/>
    <w:rPr>
      <w:rFonts w:ascii="Calibri" w:eastAsia="Calibri" w:hAnsi="Calibri"/>
      <w:sz w:val="22"/>
      <w:szCs w:val="22"/>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2-Accent51">
    <w:name w:val="Medium Grid 2 - Accent 51"/>
    <w:basedOn w:val="TableNormal"/>
    <w:next w:val="MediumGrid2-Accent5"/>
    <w:uiPriority w:val="68"/>
    <w:semiHidden/>
    <w:unhideWhenUsed/>
    <w:rPr>
      <w:rFonts w:ascii="Calibri Light" w:hAnsi="Calibri Light"/>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3-Accent51">
    <w:name w:val="Medium Grid 3 - Accent 51"/>
    <w:basedOn w:val="TableNormal"/>
    <w:next w:val="MediumGrid3-Accent5"/>
    <w:uiPriority w:val="69"/>
    <w:semiHidden/>
    <w:unhideWhenUsed/>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DarkList-Accent51">
    <w:name w:val="Dark List - Accent 51"/>
    <w:basedOn w:val="TableNormal"/>
    <w:next w:val="DarkList-Accent5"/>
    <w:uiPriority w:val="70"/>
    <w:semiHidden/>
    <w:unhideWhenUsed/>
    <w:rPr>
      <w:rFonts w:ascii="Calibri" w:eastAsia="Calibri" w:hAnsi="Calibri"/>
      <w:color w:val="FFFFFF"/>
      <w:sz w:val="22"/>
      <w:szCs w:val="22"/>
    </w:rPr>
    <w:tblPr>
      <w:tblStyleRowBandSize w:val="1"/>
      <w:tblStyleColBandSize w:val="1"/>
      <w:tblInd w:w="0" w:type="nil"/>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ColorfulShading-Accent51">
    <w:name w:val="Colorful Shading - Accent 51"/>
    <w:basedOn w:val="TableNormal"/>
    <w:next w:val="ColorfulShading-Accent5"/>
    <w:uiPriority w:val="71"/>
    <w:semiHidden/>
    <w:unhideWhenUsed/>
    <w:rPr>
      <w:rFonts w:ascii="Calibri" w:eastAsia="Calibri" w:hAnsi="Calibri"/>
      <w:color w:val="000000"/>
      <w:sz w:val="22"/>
      <w:szCs w:val="22"/>
    </w:rPr>
    <w:tblPr>
      <w:tblStyleRowBandSize w:val="1"/>
      <w:tblStyleColBandSize w:val="1"/>
      <w:tblInd w:w="0" w:type="nil"/>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List-Accent51">
    <w:name w:val="Colorful List - Accent 51"/>
    <w:basedOn w:val="TableNormal"/>
    <w:next w:val="ColorfulList-Accent5"/>
    <w:uiPriority w:val="72"/>
    <w:semiHidden/>
    <w:unhideWhenUsed/>
    <w:rPr>
      <w:rFonts w:ascii="Calibri" w:eastAsia="Calibri" w:hAnsi="Calibri"/>
      <w:color w:val="000000"/>
      <w:sz w:val="22"/>
      <w:szCs w:val="22"/>
    </w:rPr>
    <w:tblPr>
      <w:tblStyleRowBandSize w:val="1"/>
      <w:tblStyleColBandSize w:val="1"/>
      <w:tblInd w:w="0" w:type="nil"/>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Grid-Accent51">
    <w:name w:val="Colorful Grid - Accent 51"/>
    <w:basedOn w:val="TableNormal"/>
    <w:next w:val="ColorfulGrid-Accent5"/>
    <w:uiPriority w:val="73"/>
    <w:semiHidden/>
    <w:unhideWhenUsed/>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61">
    <w:name w:val="Light Shading - Accent 61"/>
    <w:basedOn w:val="TableNormal"/>
    <w:next w:val="LightShading-Accent6"/>
    <w:uiPriority w:val="60"/>
    <w:semiHidden/>
    <w:unhideWhenUsed/>
    <w:rPr>
      <w:rFonts w:ascii="Calibri" w:eastAsia="Calibri" w:hAnsi="Calibri"/>
      <w:color w:val="538135"/>
      <w:sz w:val="22"/>
      <w:szCs w:val="22"/>
    </w:rPr>
    <w:tblPr>
      <w:tblStyleRowBandSize w:val="1"/>
      <w:tblStyleColBandSize w:val="1"/>
      <w:tblInd w:w="0" w:type="nil"/>
      <w:tblBorders>
        <w:top w:val="single" w:sz="8" w:space="0" w:color="70AD47"/>
        <w:bottom w:val="single" w:sz="8" w:space="0" w:color="70AD47"/>
      </w:tblBorders>
    </w:tblPr>
    <w:tblStylePr w:type="firstRow">
      <w:pPr>
        <w:spacing w:beforeLines="0" w:before="0" w:beforeAutospacing="0" w:afterLines="0" w:after="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ghtList-Accent61">
    <w:name w:val="Light List - Accent 61"/>
    <w:basedOn w:val="TableNormal"/>
    <w:next w:val="LightList-Accent6"/>
    <w:uiPriority w:val="61"/>
    <w:semiHidden/>
    <w:unhideWhenUsed/>
    <w:rPr>
      <w:rFonts w:ascii="Calibri" w:eastAsia="Calibri" w:hAnsi="Calibri"/>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pPr>
        <w:spacing w:beforeLines="0" w:before="0" w:beforeAutospacing="0" w:afterLines="0" w:after="0" w:afterAutospacing="0" w:line="240" w:lineRule="auto"/>
      </w:pPr>
      <w:rPr>
        <w:b/>
        <w:bCs/>
        <w:color w:val="FFFFFF"/>
      </w:rPr>
      <w:tblPr/>
      <w:tcPr>
        <w:shd w:val="clear" w:color="auto" w:fill="70AD47"/>
      </w:tcPr>
    </w:tblStylePr>
    <w:tblStylePr w:type="lastRow">
      <w:pPr>
        <w:spacing w:beforeLines="0" w:before="0" w:beforeAutospacing="0" w:afterLines="0" w:after="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1">
    <w:name w:val="Light Grid - Accent 61"/>
    <w:basedOn w:val="TableNormal"/>
    <w:next w:val="LightGrid-Accent6"/>
    <w:uiPriority w:val="62"/>
    <w:semiHidden/>
    <w:unhideWhenUsed/>
    <w:rPr>
      <w:rFonts w:ascii="Calibri" w:eastAsia="Calibri" w:hAnsi="Calibri"/>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61">
    <w:name w:val="Medium Shading 1 - Accent 61"/>
    <w:basedOn w:val="TableNormal"/>
    <w:next w:val="MediumShading1-Accent6"/>
    <w:uiPriority w:val="63"/>
    <w:semiHidden/>
    <w:unhideWhenUsed/>
    <w:rPr>
      <w:rFonts w:ascii="Calibri" w:eastAsia="Calibri" w:hAnsi="Calibri"/>
      <w:sz w:val="22"/>
      <w:szCs w:val="22"/>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Lines="0" w:before="0" w:beforeAutospacing="0" w:afterLines="0" w:after="0" w:afterAutospacing="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Lines="0" w:before="0" w:beforeAutospacing="0" w:afterLines="0" w:after="0" w:afterAutospacing="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Accent61">
    <w:name w:val="Medium Shading 2 - Accent 61"/>
    <w:basedOn w:val="TableNormal"/>
    <w:next w:val="MediumShading2-Accent6"/>
    <w:uiPriority w:val="64"/>
    <w:semiHidden/>
    <w:unhideWhenUsed/>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61">
    <w:name w:val="Medium List 1 - Accent 61"/>
    <w:basedOn w:val="TableNormal"/>
    <w:next w:val="MediumList1-Accent6"/>
    <w:uiPriority w:val="65"/>
    <w:semiHidden/>
    <w:unhideWhenUsed/>
    <w:rPr>
      <w:rFonts w:ascii="Calibri" w:eastAsia="Calibri" w:hAnsi="Calibri"/>
      <w:color w:val="000000"/>
      <w:sz w:val="22"/>
      <w:szCs w:val="22"/>
    </w:rPr>
    <w:tblPr>
      <w:tblStyleRowBandSize w:val="1"/>
      <w:tblStyleColBandSize w:val="1"/>
      <w:tblInd w:w="0" w:type="nil"/>
      <w:tblBorders>
        <w:top w:val="single" w:sz="8" w:space="0" w:color="70AD47"/>
        <w:bottom w:val="single" w:sz="8" w:space="0" w:color="70AD47"/>
      </w:tblBorders>
    </w:tblPr>
    <w:tblStylePr w:type="firstRow">
      <w:rPr>
        <w:rFonts w:ascii="Calibri Light" w:eastAsia="Times New Roman" w:hAnsi="Calibri Light" w:cs="Times New Roman" w:hint="default"/>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Accent61">
    <w:name w:val="Medium List 2 - Accent 61"/>
    <w:basedOn w:val="TableNormal"/>
    <w:next w:val="MediumList2-Accent6"/>
    <w:uiPriority w:val="66"/>
    <w:semiHidden/>
    <w:unhideWhenUsed/>
    <w:rPr>
      <w:rFonts w:ascii="Calibri Light" w:hAnsi="Calibri Light"/>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Grid1-Accent61">
    <w:name w:val="Medium Grid 1 - Accent 61"/>
    <w:basedOn w:val="TableNormal"/>
    <w:next w:val="MediumGrid1-Accent6"/>
    <w:uiPriority w:val="67"/>
    <w:semiHidden/>
    <w:unhideWhenUsed/>
    <w:rPr>
      <w:rFonts w:ascii="Calibri" w:eastAsia="Calibri" w:hAnsi="Calibri"/>
      <w:sz w:val="22"/>
      <w:szCs w:val="22"/>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Accent61">
    <w:name w:val="Medium Grid 2 - Accent 61"/>
    <w:basedOn w:val="TableNormal"/>
    <w:next w:val="MediumGrid2-Accent6"/>
    <w:uiPriority w:val="68"/>
    <w:semiHidden/>
    <w:unhideWhenUsed/>
    <w:rPr>
      <w:rFonts w:ascii="Calibri Light" w:hAnsi="Calibri Light"/>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Accent61">
    <w:name w:val="Medium Grid 3 - Accent 61"/>
    <w:basedOn w:val="TableNormal"/>
    <w:next w:val="MediumGrid3-Accent6"/>
    <w:uiPriority w:val="69"/>
    <w:semiHidden/>
    <w:unhideWhenUsed/>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DarkList-Accent61">
    <w:name w:val="Dark List - Accent 61"/>
    <w:basedOn w:val="TableNormal"/>
    <w:next w:val="DarkList-Accent6"/>
    <w:uiPriority w:val="70"/>
    <w:semiHidden/>
    <w:unhideWhenUsed/>
    <w:rPr>
      <w:rFonts w:ascii="Calibri" w:eastAsia="Calibri" w:hAnsi="Calibri"/>
      <w:color w:val="FFFFFF"/>
      <w:sz w:val="22"/>
      <w:szCs w:val="22"/>
    </w:rPr>
    <w:tblPr>
      <w:tblStyleRowBandSize w:val="1"/>
      <w:tblStyleColBandSize w:val="1"/>
      <w:tblInd w:w="0" w:type="nil"/>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ColorfulShading-Accent61">
    <w:name w:val="Colorful Shading - Accent 61"/>
    <w:basedOn w:val="TableNormal"/>
    <w:next w:val="ColorfulShading-Accent6"/>
    <w:uiPriority w:val="71"/>
    <w:semiHidden/>
    <w:unhideWhenUsed/>
    <w:rPr>
      <w:rFonts w:ascii="Calibri" w:eastAsia="Calibri" w:hAnsi="Calibri"/>
      <w:color w:val="000000"/>
      <w:sz w:val="22"/>
      <w:szCs w:val="22"/>
    </w:rPr>
    <w:tblPr>
      <w:tblStyleRowBandSize w:val="1"/>
      <w:tblStyleColBandSize w:val="1"/>
      <w:tblInd w:w="0" w:type="nil"/>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ColorfulList-Accent61">
    <w:name w:val="Colorful List - Accent 61"/>
    <w:basedOn w:val="TableNormal"/>
    <w:next w:val="ColorfulList-Accent6"/>
    <w:uiPriority w:val="72"/>
    <w:semiHidden/>
    <w:unhideWhenUsed/>
    <w:rPr>
      <w:rFonts w:ascii="Calibri" w:eastAsia="Calibri" w:hAnsi="Calibri"/>
      <w:color w:val="000000"/>
      <w:sz w:val="22"/>
      <w:szCs w:val="22"/>
    </w:rPr>
    <w:tblPr>
      <w:tblStyleRowBandSize w:val="1"/>
      <w:tblStyleColBandSize w:val="1"/>
      <w:tblInd w:w="0" w:type="nil"/>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Grid-Accent61">
    <w:name w:val="Colorful Grid - Accent 61"/>
    <w:basedOn w:val="TableNormal"/>
    <w:next w:val="ColorfulGrid-Accent6"/>
    <w:uiPriority w:val="73"/>
    <w:semiHidden/>
    <w:unhideWhenUsed/>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PlainTable11">
    <w:name w:val="Plain Table 11"/>
    <w:basedOn w:val="TableNormal"/>
    <w:next w:val="PlainTable1"/>
    <w:uiPriority w:val="41"/>
    <w:rPr>
      <w:rFonts w:ascii="Calibri" w:eastAsia="Calibri" w:hAnsi="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Pr>
      <w:rFonts w:ascii="Calibri" w:eastAsia="Calibri" w:hAnsi="Calibri"/>
      <w:sz w:val="22"/>
      <w:szCs w:val="22"/>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Pr>
      <w:rFonts w:ascii="Calibri" w:eastAsia="Calibri" w:hAnsi="Calibri"/>
      <w:sz w:val="22"/>
      <w:szCs w:val="22"/>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Pr>
      <w:rFonts w:ascii="Calibri" w:eastAsia="Calibri" w:hAnsi="Calibri"/>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Pr>
      <w:rFonts w:ascii="Calibri" w:eastAsia="Calibri" w:hAnsi="Calibri"/>
      <w:sz w:val="22"/>
      <w:szCs w:val="2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next w:val="TableGridLight"/>
    <w:uiPriority w:val="40"/>
    <w:rPr>
      <w:rFonts w:ascii="Calibri" w:eastAsia="Calibri" w:hAnsi="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next w:val="GridTable1Light"/>
    <w:uiPriority w:val="46"/>
    <w:rPr>
      <w:rFonts w:ascii="Calibri" w:eastAsia="Calibri" w:hAnsi="Calibri"/>
      <w:sz w:val="22"/>
      <w:szCs w:val="22"/>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Pr>
      <w:rFonts w:ascii="Calibri" w:eastAsia="Calibri" w:hAnsi="Calibri"/>
      <w:sz w:val="22"/>
      <w:szCs w:val="22"/>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GridTable3"/>
    <w:uiPriority w:val="48"/>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1">
    <w:name w:val="Grid Table 41"/>
    <w:basedOn w:val="TableNormal"/>
    <w:next w:val="GridTable4"/>
    <w:uiPriority w:val="49"/>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1">
    <w:name w:val="Grid Table 5 Dark1"/>
    <w:basedOn w:val="TableNormal"/>
    <w:next w:val="GridTable5Dark"/>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6Colorful1">
    <w:name w:val="Grid Table 6 Colorful1"/>
    <w:basedOn w:val="TableNormal"/>
    <w:next w:val="GridTable6Colorful"/>
    <w:uiPriority w:val="51"/>
    <w:rPr>
      <w:rFonts w:ascii="Calibri" w:eastAsia="Calibri" w:hAnsi="Calibri"/>
      <w:color w:val="000000"/>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7Colorful1">
    <w:name w:val="Grid Table 7 Colorful1"/>
    <w:basedOn w:val="TableNormal"/>
    <w:next w:val="GridTable7Colorful"/>
    <w:uiPriority w:val="52"/>
    <w:rPr>
      <w:rFonts w:ascii="Calibri" w:eastAsia="Calibri" w:hAnsi="Calibri"/>
      <w:color w:val="000000"/>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1">
    <w:name w:val="Grid Table 1 Light - Accent 11"/>
    <w:basedOn w:val="TableNormal"/>
    <w:next w:val="GridTable1Light-Accent1"/>
    <w:uiPriority w:val="46"/>
    <w:rPr>
      <w:rFonts w:ascii="Calibri" w:eastAsia="Calibri" w:hAnsi="Calibri"/>
      <w:sz w:val="22"/>
      <w:szCs w:val="22"/>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2-Accent11">
    <w:name w:val="Grid Table 2 - Accent 11"/>
    <w:basedOn w:val="TableNormal"/>
    <w:next w:val="GridTable2-Accent1"/>
    <w:uiPriority w:val="47"/>
    <w:rPr>
      <w:rFonts w:ascii="Calibri" w:eastAsia="Calibri" w:hAnsi="Calibri"/>
      <w:sz w:val="22"/>
      <w:szCs w:val="22"/>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3-Accent11">
    <w:name w:val="Grid Table 3 - Accent 11"/>
    <w:basedOn w:val="TableNormal"/>
    <w:next w:val="GridTable3-Accent1"/>
    <w:uiPriority w:val="48"/>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4-Accent11">
    <w:name w:val="Grid Table 4 - Accent 11"/>
    <w:basedOn w:val="TableNormal"/>
    <w:next w:val="GridTable4-Accent1"/>
    <w:uiPriority w:val="49"/>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next w:val="GridTable5Dark-Accent1"/>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
    <w:name w:val="Grid Table 6 Colorful - Accent 11"/>
    <w:basedOn w:val="TableNormal"/>
    <w:next w:val="GridTable6Colorful-Accent1"/>
    <w:uiPriority w:val="51"/>
    <w:rPr>
      <w:rFonts w:ascii="Calibri" w:eastAsia="Calibri" w:hAnsi="Calibri"/>
      <w:color w:val="2F5496"/>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7Colorful-Accent11">
    <w:name w:val="Grid Table 7 Colorful - Accent 11"/>
    <w:basedOn w:val="TableNormal"/>
    <w:next w:val="GridTable7Colorful-Accent1"/>
    <w:uiPriority w:val="52"/>
    <w:rPr>
      <w:rFonts w:ascii="Calibri" w:eastAsia="Calibri" w:hAnsi="Calibri"/>
      <w:color w:val="2F5496"/>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1Light-Accent21">
    <w:name w:val="Grid Table 1 Light - Accent 21"/>
    <w:basedOn w:val="TableNormal"/>
    <w:next w:val="GridTable1Light-Accent2"/>
    <w:uiPriority w:val="46"/>
    <w:rPr>
      <w:rFonts w:ascii="Calibri" w:eastAsia="Calibri" w:hAnsi="Calibri"/>
      <w:sz w:val="22"/>
      <w:szCs w:val="22"/>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2-Accent21">
    <w:name w:val="Grid Table 2 - Accent 21"/>
    <w:basedOn w:val="TableNormal"/>
    <w:next w:val="GridTable2-Accent2"/>
    <w:uiPriority w:val="47"/>
    <w:rPr>
      <w:rFonts w:ascii="Calibri" w:eastAsia="Calibri" w:hAnsi="Calibri"/>
      <w:sz w:val="22"/>
      <w:szCs w:val="22"/>
    </w:rPr>
    <w:tblPr>
      <w:tblStyleRowBandSize w:val="1"/>
      <w:tblStyleColBandSize w:val="1"/>
      <w:tblInd w:w="0" w:type="nil"/>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3-Accent21">
    <w:name w:val="Grid Table 3 - Accent 21"/>
    <w:basedOn w:val="TableNormal"/>
    <w:next w:val="GridTable3-Accent2"/>
    <w:uiPriority w:val="48"/>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4-Accent21">
    <w:name w:val="Grid Table 4 - Accent 21"/>
    <w:basedOn w:val="TableNormal"/>
    <w:next w:val="GridTable4-Accent2"/>
    <w:uiPriority w:val="49"/>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1">
    <w:name w:val="Grid Table 5 Dark - Accent 21"/>
    <w:basedOn w:val="TableNormal"/>
    <w:next w:val="GridTable5Dark-Accent2"/>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6Colorful-Accent21">
    <w:name w:val="Grid Table 6 Colorful - Accent 21"/>
    <w:basedOn w:val="TableNormal"/>
    <w:next w:val="GridTable6Colorful-Accent2"/>
    <w:uiPriority w:val="51"/>
    <w:rPr>
      <w:rFonts w:ascii="Calibri" w:eastAsia="Calibri" w:hAnsi="Calibri"/>
      <w:color w:val="C45911"/>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7Colorful-Accent21">
    <w:name w:val="Grid Table 7 Colorful - Accent 21"/>
    <w:basedOn w:val="TableNormal"/>
    <w:next w:val="GridTable7Colorful-Accent2"/>
    <w:uiPriority w:val="52"/>
    <w:rPr>
      <w:rFonts w:ascii="Calibri" w:eastAsia="Calibri" w:hAnsi="Calibri"/>
      <w:color w:val="C45911"/>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1Light-Accent31">
    <w:name w:val="Grid Table 1 Light - Accent 31"/>
    <w:basedOn w:val="TableNormal"/>
    <w:next w:val="GridTable1Light-Accent3"/>
    <w:uiPriority w:val="46"/>
    <w:rPr>
      <w:rFonts w:ascii="Calibri" w:eastAsia="Calibri" w:hAnsi="Calibri"/>
      <w:sz w:val="22"/>
      <w:szCs w:val="22"/>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31">
    <w:name w:val="Grid Table 2 - Accent 31"/>
    <w:basedOn w:val="TableNormal"/>
    <w:next w:val="GridTable2-Accent3"/>
    <w:uiPriority w:val="47"/>
    <w:rPr>
      <w:rFonts w:ascii="Calibri" w:eastAsia="Calibri" w:hAnsi="Calibri"/>
      <w:sz w:val="22"/>
      <w:szCs w:val="22"/>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1">
    <w:name w:val="Grid Table 3 - Accent 31"/>
    <w:basedOn w:val="TableNormal"/>
    <w:next w:val="GridTable3-Accent3"/>
    <w:uiPriority w:val="48"/>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4-Accent31">
    <w:name w:val="Grid Table 4 - Accent 31"/>
    <w:basedOn w:val="TableNormal"/>
    <w:next w:val="GridTable4-Accent3"/>
    <w:uiPriority w:val="49"/>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1">
    <w:name w:val="Grid Table 5 Dark - Accent 31"/>
    <w:basedOn w:val="TableNormal"/>
    <w:next w:val="GridTable5Dark-Accent3"/>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6Colorful-Accent31">
    <w:name w:val="Grid Table 6 Colorful - Accent 31"/>
    <w:basedOn w:val="TableNormal"/>
    <w:next w:val="GridTable6Colorful-Accent3"/>
    <w:uiPriority w:val="51"/>
    <w:rPr>
      <w:rFonts w:ascii="Calibri" w:eastAsia="Calibri" w:hAnsi="Calibri"/>
      <w:color w:val="7B7B7B"/>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7Colorful-Accent31">
    <w:name w:val="Grid Table 7 Colorful - Accent 31"/>
    <w:basedOn w:val="TableNormal"/>
    <w:next w:val="GridTable7Colorful-Accent3"/>
    <w:uiPriority w:val="52"/>
    <w:rPr>
      <w:rFonts w:ascii="Calibri" w:eastAsia="Calibri" w:hAnsi="Calibri"/>
      <w:color w:val="7B7B7B"/>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1Light-Accent41">
    <w:name w:val="Grid Table 1 Light - Accent 41"/>
    <w:basedOn w:val="TableNormal"/>
    <w:next w:val="GridTable1Light-Accent4"/>
    <w:uiPriority w:val="46"/>
    <w:rPr>
      <w:rFonts w:ascii="Calibri" w:eastAsia="Calibri" w:hAnsi="Calibri"/>
      <w:sz w:val="22"/>
      <w:szCs w:val="22"/>
    </w:rPr>
    <w:tblPr>
      <w:tblStyleRowBandSize w:val="1"/>
      <w:tblStyleColBandSize w:val="1"/>
      <w:tblInd w:w="0" w:type="nil"/>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2-Accent41">
    <w:name w:val="Grid Table 2 - Accent 41"/>
    <w:basedOn w:val="TableNormal"/>
    <w:next w:val="GridTable2-Accent4"/>
    <w:uiPriority w:val="47"/>
    <w:rPr>
      <w:rFonts w:ascii="Calibri" w:eastAsia="Calibri" w:hAnsi="Calibri"/>
      <w:sz w:val="22"/>
      <w:szCs w:val="22"/>
    </w:rPr>
    <w:tblPr>
      <w:tblStyleRowBandSize w:val="1"/>
      <w:tblStyleColBandSize w:val="1"/>
      <w:tblInd w:w="0" w:type="nil"/>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3-Accent41">
    <w:name w:val="Grid Table 3 - Accent 41"/>
    <w:basedOn w:val="TableNormal"/>
    <w:next w:val="GridTable3-Accent4"/>
    <w:uiPriority w:val="48"/>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4-Accent41">
    <w:name w:val="Grid Table 4 - Accent 41"/>
    <w:basedOn w:val="TableNormal"/>
    <w:next w:val="GridTable4-Accent4"/>
    <w:uiPriority w:val="49"/>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
    <w:name w:val="Grid Table 5 Dark - Accent 41"/>
    <w:basedOn w:val="TableNormal"/>
    <w:next w:val="GridTable5Dark-Accent4"/>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6Colorful-Accent41">
    <w:name w:val="Grid Table 6 Colorful - Accent 41"/>
    <w:basedOn w:val="TableNormal"/>
    <w:next w:val="GridTable6Colorful-Accent4"/>
    <w:uiPriority w:val="51"/>
    <w:rPr>
      <w:rFonts w:ascii="Calibri" w:eastAsia="Calibri" w:hAnsi="Calibri"/>
      <w:color w:val="BF8F00"/>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7Colorful-Accent41">
    <w:name w:val="Grid Table 7 Colorful - Accent 41"/>
    <w:basedOn w:val="TableNormal"/>
    <w:next w:val="GridTable7Colorful-Accent4"/>
    <w:uiPriority w:val="52"/>
    <w:rPr>
      <w:rFonts w:ascii="Calibri" w:eastAsia="Calibri" w:hAnsi="Calibri"/>
      <w:color w:val="BF8F00"/>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1Light-Accent51">
    <w:name w:val="Grid Table 1 Light - Accent 51"/>
    <w:basedOn w:val="TableNormal"/>
    <w:next w:val="GridTable1Light-Accent5"/>
    <w:uiPriority w:val="46"/>
    <w:rPr>
      <w:rFonts w:ascii="Calibri" w:eastAsia="Calibri" w:hAnsi="Calibri"/>
      <w:sz w:val="22"/>
      <w:szCs w:val="22"/>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Pr>
      <w:rFonts w:ascii="Calibri" w:eastAsia="Calibri" w:hAnsi="Calibri"/>
      <w:sz w:val="22"/>
      <w:szCs w:val="22"/>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3-Accent51">
    <w:name w:val="Grid Table 3 - Accent 51"/>
    <w:basedOn w:val="TableNormal"/>
    <w:next w:val="GridTable3-Accent5"/>
    <w:uiPriority w:val="48"/>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4-Accent51">
    <w:name w:val="Grid Table 4 - Accent 51"/>
    <w:basedOn w:val="TableNormal"/>
    <w:next w:val="GridTable4-Accent5"/>
    <w:uiPriority w:val="49"/>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51">
    <w:name w:val="Grid Table 5 Dark - Accent 51"/>
    <w:basedOn w:val="TableNormal"/>
    <w:next w:val="GridTable5Dark-Accent5"/>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6Colorful-Accent51">
    <w:name w:val="Grid Table 6 Colorful - Accent 51"/>
    <w:basedOn w:val="TableNormal"/>
    <w:next w:val="GridTable6Colorful-Accent5"/>
    <w:uiPriority w:val="51"/>
    <w:rPr>
      <w:rFonts w:ascii="Calibri" w:eastAsia="Calibri" w:hAnsi="Calibri"/>
      <w:color w:val="2E74B5"/>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7Colorful-Accent51">
    <w:name w:val="Grid Table 7 Colorful - Accent 51"/>
    <w:basedOn w:val="TableNormal"/>
    <w:next w:val="GridTable7Colorful-Accent5"/>
    <w:uiPriority w:val="52"/>
    <w:rPr>
      <w:rFonts w:ascii="Calibri" w:eastAsia="Calibri" w:hAnsi="Calibri"/>
      <w:color w:val="2E74B5"/>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1Light-Accent61">
    <w:name w:val="Grid Table 1 Light - Accent 61"/>
    <w:basedOn w:val="TableNormal"/>
    <w:next w:val="GridTable1Light-Accent6"/>
    <w:uiPriority w:val="46"/>
    <w:rPr>
      <w:rFonts w:ascii="Calibri" w:eastAsia="Calibri" w:hAnsi="Calibri"/>
      <w:sz w:val="22"/>
      <w:szCs w:val="22"/>
    </w:rPr>
    <w:tblPr>
      <w:tblStyleRowBandSize w:val="1"/>
      <w:tblStyleColBandSize w:val="1"/>
      <w:tblInd w:w="0" w:type="nil"/>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Accent61">
    <w:name w:val="Grid Table 2 - Accent 61"/>
    <w:basedOn w:val="TableNormal"/>
    <w:next w:val="GridTable2-Accent6"/>
    <w:uiPriority w:val="47"/>
    <w:rPr>
      <w:rFonts w:ascii="Calibri" w:eastAsia="Calibri" w:hAnsi="Calibri"/>
      <w:sz w:val="22"/>
      <w:szCs w:val="22"/>
    </w:rPr>
    <w:tblPr>
      <w:tblStyleRowBandSize w:val="1"/>
      <w:tblStyleColBandSize w:val="1"/>
      <w:tblInd w:w="0" w:type="nil"/>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61">
    <w:name w:val="Grid Table 3 - Accent 61"/>
    <w:basedOn w:val="TableNormal"/>
    <w:next w:val="GridTable3-Accent6"/>
    <w:uiPriority w:val="48"/>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Accent61">
    <w:name w:val="Grid Table 4 - Accent 61"/>
    <w:basedOn w:val="TableNormal"/>
    <w:next w:val="GridTable4-Accent6"/>
    <w:uiPriority w:val="49"/>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1">
    <w:name w:val="Grid Table 5 Dark - Accent 61"/>
    <w:basedOn w:val="TableNormal"/>
    <w:next w:val="GridTable5Dark-Accent6"/>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Accent61">
    <w:name w:val="Grid Table 6 Colorful - Accent 61"/>
    <w:basedOn w:val="TableNormal"/>
    <w:next w:val="GridTable6Colorful-Accent6"/>
    <w:uiPriority w:val="51"/>
    <w:rPr>
      <w:rFonts w:ascii="Calibri" w:eastAsia="Calibri" w:hAnsi="Calibri"/>
      <w:color w:val="538135"/>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Accent61">
    <w:name w:val="Grid Table 7 Colorful - Accent 61"/>
    <w:basedOn w:val="TableNormal"/>
    <w:next w:val="GridTable7Colorful-Accent6"/>
    <w:uiPriority w:val="52"/>
    <w:rPr>
      <w:rFonts w:ascii="Calibri" w:eastAsia="Calibri" w:hAnsi="Calibri"/>
      <w:color w:val="538135"/>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stTable1Light1">
    <w:name w:val="List Table 1 Light1"/>
    <w:basedOn w:val="TableNormal"/>
    <w:next w:val="ListTable1Light"/>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
    <w:name w:val="List Table 21"/>
    <w:basedOn w:val="TableNormal"/>
    <w:next w:val="ListTable2"/>
    <w:uiPriority w:val="47"/>
    <w:rPr>
      <w:rFonts w:ascii="Calibri" w:eastAsia="Calibri" w:hAnsi="Calibri"/>
      <w:sz w:val="22"/>
      <w:szCs w:val="22"/>
    </w:rPr>
    <w:tblPr>
      <w:tblStyleRowBandSize w:val="1"/>
      <w:tblStyleColBandSize w:val="1"/>
      <w:tblInd w:w="0" w:type="nil"/>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1">
    <w:name w:val="List Table 31"/>
    <w:basedOn w:val="TableNormal"/>
    <w:next w:val="ListTable3"/>
    <w:uiPriority w:val="48"/>
    <w:rPr>
      <w:rFonts w:ascii="Calibri" w:eastAsia="Calibri" w:hAnsi="Calibri"/>
      <w:sz w:val="22"/>
      <w:szCs w:val="22"/>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41">
    <w:name w:val="List Table 41"/>
    <w:basedOn w:val="TableNormal"/>
    <w:next w:val="ListTable4"/>
    <w:uiPriority w:val="49"/>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5Dark1">
    <w:name w:val="List Table 5 Dark1"/>
    <w:basedOn w:val="TableNormal"/>
    <w:next w:val="ListTable5Dark"/>
    <w:uiPriority w:val="50"/>
    <w:rPr>
      <w:rFonts w:ascii="Calibri" w:eastAsia="Calibri" w:hAnsi="Calibri"/>
      <w:color w:val="FFFFFF"/>
      <w:sz w:val="22"/>
      <w:szCs w:val="22"/>
    </w:rPr>
    <w:tblPr>
      <w:tblStyleRowBandSize w:val="1"/>
      <w:tblStyleColBandSize w:val="1"/>
      <w:tblInd w:w="0" w:type="nil"/>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Pr>
      <w:rFonts w:ascii="Calibri" w:eastAsia="Calibri" w:hAnsi="Calibri"/>
      <w:color w:val="000000"/>
      <w:sz w:val="22"/>
      <w:szCs w:val="22"/>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TableNormal"/>
    <w:next w:val="ListTable7Colorful"/>
    <w:uiPriority w:val="52"/>
    <w:rPr>
      <w:rFonts w:ascii="Calibri" w:eastAsia="Calibri" w:hAnsi="Calibri"/>
      <w:color w:val="000000"/>
      <w:sz w:val="22"/>
      <w:szCs w:val="2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11">
    <w:name w:val="List Table 1 Light - Accent 11"/>
    <w:basedOn w:val="TableNormal"/>
    <w:next w:val="ListTable1Light-Accent1"/>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11">
    <w:name w:val="List Table 2 - Accent 11"/>
    <w:basedOn w:val="TableNormal"/>
    <w:next w:val="ListTable2-Accent1"/>
    <w:uiPriority w:val="47"/>
    <w:rPr>
      <w:rFonts w:ascii="Calibri" w:eastAsia="Calibri" w:hAnsi="Calibri"/>
      <w:sz w:val="22"/>
      <w:szCs w:val="22"/>
    </w:rPr>
    <w:tblPr>
      <w:tblStyleRowBandSize w:val="1"/>
      <w:tblStyleColBandSize w:val="1"/>
      <w:tblInd w:w="0" w:type="nil"/>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11">
    <w:name w:val="List Table 3 - Accent 11"/>
    <w:basedOn w:val="TableNormal"/>
    <w:next w:val="ListTable3-Accent1"/>
    <w:uiPriority w:val="48"/>
    <w:rPr>
      <w:rFonts w:ascii="Calibri" w:eastAsia="Calibri" w:hAnsi="Calibri"/>
      <w:sz w:val="22"/>
      <w:szCs w:val="22"/>
    </w:rPr>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4-Accent11">
    <w:name w:val="List Table 4 - Accent 11"/>
    <w:basedOn w:val="TableNormal"/>
    <w:next w:val="ListTable4-Accent1"/>
    <w:uiPriority w:val="49"/>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5Dark-Accent11">
    <w:name w:val="List Table 5 Dark - Accent 11"/>
    <w:basedOn w:val="TableNormal"/>
    <w:next w:val="ListTable5Dark-Accent1"/>
    <w:uiPriority w:val="50"/>
    <w:rPr>
      <w:rFonts w:ascii="Calibri" w:eastAsia="Calibri" w:hAnsi="Calibri"/>
      <w:color w:val="FFFFFF"/>
      <w:sz w:val="22"/>
      <w:szCs w:val="22"/>
    </w:rPr>
    <w:tblPr>
      <w:tblStyleRowBandSize w:val="1"/>
      <w:tblStyleColBandSize w:val="1"/>
      <w:tblInd w:w="0" w:type="nil"/>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next w:val="ListTable6Colorful-Accent1"/>
    <w:uiPriority w:val="51"/>
    <w:rPr>
      <w:rFonts w:ascii="Calibri" w:eastAsia="Calibri" w:hAnsi="Calibri"/>
      <w:color w:val="2F5496"/>
      <w:sz w:val="22"/>
      <w:szCs w:val="22"/>
    </w:rPr>
    <w:tblPr>
      <w:tblStyleRowBandSize w:val="1"/>
      <w:tblStyleColBandSize w:val="1"/>
      <w:tblInd w:w="0" w:type="nil"/>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7Colorful-Accent11">
    <w:name w:val="List Table 7 Colorful - Accent 11"/>
    <w:basedOn w:val="TableNormal"/>
    <w:next w:val="ListTable7Colorful-Accent1"/>
    <w:uiPriority w:val="52"/>
    <w:rPr>
      <w:rFonts w:ascii="Calibri" w:eastAsia="Calibri" w:hAnsi="Calibri"/>
      <w:color w:val="2F5496"/>
      <w:sz w:val="22"/>
      <w:szCs w:val="2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21">
    <w:name w:val="List Table 1 Light - Accent 21"/>
    <w:basedOn w:val="TableNormal"/>
    <w:next w:val="ListTable1Light-Accent2"/>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21">
    <w:name w:val="List Table 2 - Accent 21"/>
    <w:basedOn w:val="TableNormal"/>
    <w:next w:val="ListTable2-Accent2"/>
    <w:uiPriority w:val="47"/>
    <w:rPr>
      <w:rFonts w:ascii="Calibri" w:eastAsia="Calibri" w:hAnsi="Calibri"/>
      <w:sz w:val="22"/>
      <w:szCs w:val="22"/>
    </w:rPr>
    <w:tblPr>
      <w:tblStyleRowBandSize w:val="1"/>
      <w:tblStyleColBandSize w:val="1"/>
      <w:tblInd w:w="0" w:type="nil"/>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
    <w:name w:val="List Table 3 - Accent 21"/>
    <w:basedOn w:val="TableNormal"/>
    <w:next w:val="ListTable3-Accent2"/>
    <w:uiPriority w:val="48"/>
    <w:rPr>
      <w:rFonts w:ascii="Calibri" w:eastAsia="Calibri" w:hAnsi="Calibri"/>
      <w:sz w:val="22"/>
      <w:szCs w:val="22"/>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4-Accent21">
    <w:name w:val="List Table 4 - Accent 21"/>
    <w:basedOn w:val="TableNormal"/>
    <w:next w:val="ListTable4-Accent2"/>
    <w:uiPriority w:val="49"/>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5Dark-Accent21">
    <w:name w:val="List Table 5 Dark - Accent 21"/>
    <w:basedOn w:val="TableNormal"/>
    <w:next w:val="ListTable5Dark-Accent2"/>
    <w:uiPriority w:val="50"/>
    <w:rPr>
      <w:rFonts w:ascii="Calibri" w:eastAsia="Calibri" w:hAnsi="Calibri"/>
      <w:color w:val="FFFFFF"/>
      <w:sz w:val="22"/>
      <w:szCs w:val="22"/>
    </w:rPr>
    <w:tblPr>
      <w:tblStyleRowBandSize w:val="1"/>
      <w:tblStyleColBandSize w:val="1"/>
      <w:tblInd w:w="0" w:type="nil"/>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21">
    <w:name w:val="List Table 6 Colorful - Accent 21"/>
    <w:basedOn w:val="TableNormal"/>
    <w:next w:val="ListTable6Colorful-Accent2"/>
    <w:uiPriority w:val="51"/>
    <w:rPr>
      <w:rFonts w:ascii="Calibri" w:eastAsia="Calibri" w:hAnsi="Calibri"/>
      <w:color w:val="C45911"/>
      <w:sz w:val="22"/>
      <w:szCs w:val="22"/>
    </w:rPr>
    <w:tblPr>
      <w:tblStyleRowBandSize w:val="1"/>
      <w:tblStyleColBandSize w:val="1"/>
      <w:tblInd w:w="0" w:type="nil"/>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7Colorful-Accent21">
    <w:name w:val="List Table 7 Colorful - Accent 21"/>
    <w:basedOn w:val="TableNormal"/>
    <w:next w:val="ListTable7Colorful-Accent2"/>
    <w:uiPriority w:val="52"/>
    <w:rPr>
      <w:rFonts w:ascii="Calibri" w:eastAsia="Calibri" w:hAnsi="Calibri"/>
      <w:color w:val="C45911"/>
      <w:sz w:val="22"/>
      <w:szCs w:val="2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ED7D31"/>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ED7D31"/>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31">
    <w:name w:val="List Table 1 Light - Accent 31"/>
    <w:basedOn w:val="TableNormal"/>
    <w:next w:val="ListTable1Light-Accent3"/>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31">
    <w:name w:val="List Table 2 - Accent 31"/>
    <w:basedOn w:val="TableNormal"/>
    <w:next w:val="ListTable2-Accent3"/>
    <w:uiPriority w:val="47"/>
    <w:rPr>
      <w:rFonts w:ascii="Calibri" w:eastAsia="Calibri" w:hAnsi="Calibri"/>
      <w:sz w:val="22"/>
      <w:szCs w:val="22"/>
    </w:rPr>
    <w:tblPr>
      <w:tblStyleRowBandSize w:val="1"/>
      <w:tblStyleColBandSize w:val="1"/>
      <w:tblInd w:w="0" w:type="nil"/>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3-Accent31">
    <w:name w:val="List Table 3 - Accent 31"/>
    <w:basedOn w:val="TableNormal"/>
    <w:next w:val="ListTable3-Accent3"/>
    <w:uiPriority w:val="48"/>
    <w:rPr>
      <w:rFonts w:ascii="Calibri" w:eastAsia="Calibri" w:hAnsi="Calibri"/>
      <w:sz w:val="22"/>
      <w:szCs w:val="22"/>
    </w:rPr>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4-Accent31">
    <w:name w:val="List Table 4 - Accent 31"/>
    <w:basedOn w:val="TableNormal"/>
    <w:next w:val="ListTable4-Accent3"/>
    <w:uiPriority w:val="49"/>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5Dark-Accent31">
    <w:name w:val="List Table 5 Dark - Accent 31"/>
    <w:basedOn w:val="TableNormal"/>
    <w:next w:val="ListTable5Dark-Accent3"/>
    <w:uiPriority w:val="50"/>
    <w:rPr>
      <w:rFonts w:ascii="Calibri" w:eastAsia="Calibri" w:hAnsi="Calibri"/>
      <w:color w:val="FFFFFF"/>
      <w:sz w:val="22"/>
      <w:szCs w:val="22"/>
    </w:rPr>
    <w:tblPr>
      <w:tblStyleRowBandSize w:val="1"/>
      <w:tblStyleColBandSize w:val="1"/>
      <w:tblInd w:w="0" w:type="nil"/>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31">
    <w:name w:val="List Table 6 Colorful - Accent 31"/>
    <w:basedOn w:val="TableNormal"/>
    <w:next w:val="ListTable6Colorful-Accent3"/>
    <w:uiPriority w:val="51"/>
    <w:rPr>
      <w:rFonts w:ascii="Calibri" w:eastAsia="Calibri" w:hAnsi="Calibri"/>
      <w:color w:val="7B7B7B"/>
      <w:sz w:val="22"/>
      <w:szCs w:val="22"/>
    </w:rPr>
    <w:tblPr>
      <w:tblStyleRowBandSize w:val="1"/>
      <w:tblStyleColBandSize w:val="1"/>
      <w:tblInd w:w="0" w:type="nil"/>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7Colorful-Accent31">
    <w:name w:val="List Table 7 Colorful - Accent 31"/>
    <w:basedOn w:val="TableNormal"/>
    <w:next w:val="ListTable7Colorful-Accent3"/>
    <w:uiPriority w:val="52"/>
    <w:rPr>
      <w:rFonts w:ascii="Calibri" w:eastAsia="Calibri" w:hAnsi="Calibri"/>
      <w:color w:val="7B7B7B"/>
      <w:sz w:val="22"/>
      <w:szCs w:val="2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41">
    <w:name w:val="List Table 1 Light - Accent 41"/>
    <w:basedOn w:val="TableNormal"/>
    <w:next w:val="ListTable1Light-Accent4"/>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41">
    <w:name w:val="List Table 2 - Accent 41"/>
    <w:basedOn w:val="TableNormal"/>
    <w:next w:val="ListTable2-Accent4"/>
    <w:uiPriority w:val="47"/>
    <w:rPr>
      <w:rFonts w:ascii="Calibri" w:eastAsia="Calibri" w:hAnsi="Calibri"/>
      <w:sz w:val="22"/>
      <w:szCs w:val="22"/>
    </w:rPr>
    <w:tblPr>
      <w:tblStyleRowBandSize w:val="1"/>
      <w:tblStyleColBandSize w:val="1"/>
      <w:tblInd w:w="0" w:type="nil"/>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Accent41">
    <w:name w:val="List Table 3 - Accent 41"/>
    <w:basedOn w:val="TableNormal"/>
    <w:next w:val="ListTable3-Accent4"/>
    <w:uiPriority w:val="48"/>
    <w:rPr>
      <w:rFonts w:ascii="Calibri" w:eastAsia="Calibri" w:hAnsi="Calibri"/>
      <w:sz w:val="22"/>
      <w:szCs w:val="22"/>
    </w:rPr>
    <w:tblPr>
      <w:tblStyleRowBandSize w:val="1"/>
      <w:tblStyleColBandSize w:val="1"/>
      <w:tblInd w:w="0" w:type="nil"/>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41">
    <w:name w:val="List Table 4 - Accent 41"/>
    <w:basedOn w:val="TableNormal"/>
    <w:next w:val="ListTable4-Accent4"/>
    <w:uiPriority w:val="49"/>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5Dark-Accent41">
    <w:name w:val="List Table 5 Dark - Accent 41"/>
    <w:basedOn w:val="TableNormal"/>
    <w:next w:val="ListTable5Dark-Accent4"/>
    <w:uiPriority w:val="50"/>
    <w:rPr>
      <w:rFonts w:ascii="Calibri" w:eastAsia="Calibri" w:hAnsi="Calibri"/>
      <w:color w:val="FFFFFF"/>
      <w:sz w:val="22"/>
      <w:szCs w:val="22"/>
    </w:rPr>
    <w:tblPr>
      <w:tblStyleRowBandSize w:val="1"/>
      <w:tblStyleColBandSize w:val="1"/>
      <w:tblInd w:w="0" w:type="nil"/>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41">
    <w:name w:val="List Table 6 Colorful - Accent 41"/>
    <w:basedOn w:val="TableNormal"/>
    <w:next w:val="ListTable6Colorful-Accent4"/>
    <w:uiPriority w:val="51"/>
    <w:rPr>
      <w:rFonts w:ascii="Calibri" w:eastAsia="Calibri" w:hAnsi="Calibri"/>
      <w:color w:val="BF8F00"/>
      <w:sz w:val="22"/>
      <w:szCs w:val="22"/>
    </w:rPr>
    <w:tblPr>
      <w:tblStyleRowBandSize w:val="1"/>
      <w:tblStyleColBandSize w:val="1"/>
      <w:tblInd w:w="0" w:type="nil"/>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7Colorful-Accent41">
    <w:name w:val="List Table 7 Colorful - Accent 41"/>
    <w:basedOn w:val="TableNormal"/>
    <w:next w:val="ListTable7Colorful-Accent4"/>
    <w:uiPriority w:val="52"/>
    <w:rPr>
      <w:rFonts w:ascii="Calibri" w:eastAsia="Calibri" w:hAnsi="Calibri"/>
      <w:color w:val="BF8F00"/>
      <w:sz w:val="22"/>
      <w:szCs w:val="2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FFC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FFC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51">
    <w:name w:val="List Table 1 Light - Accent 51"/>
    <w:basedOn w:val="TableNormal"/>
    <w:next w:val="ListTable1Light-Accent5"/>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51">
    <w:name w:val="List Table 2 - Accent 51"/>
    <w:basedOn w:val="TableNormal"/>
    <w:next w:val="ListTable2-Accent5"/>
    <w:uiPriority w:val="47"/>
    <w:rPr>
      <w:rFonts w:ascii="Calibri" w:eastAsia="Calibri" w:hAnsi="Calibri"/>
      <w:sz w:val="22"/>
      <w:szCs w:val="22"/>
    </w:rPr>
    <w:tblPr>
      <w:tblStyleRowBandSize w:val="1"/>
      <w:tblStyleColBandSize w:val="1"/>
      <w:tblInd w:w="0" w:type="nil"/>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51">
    <w:name w:val="List Table 3 - Accent 51"/>
    <w:basedOn w:val="TableNormal"/>
    <w:next w:val="ListTable3-Accent5"/>
    <w:uiPriority w:val="48"/>
    <w:rPr>
      <w:rFonts w:ascii="Calibri" w:eastAsia="Calibri" w:hAnsi="Calibri"/>
      <w:sz w:val="22"/>
      <w:szCs w:val="22"/>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4-Accent51">
    <w:name w:val="List Table 4 - Accent 51"/>
    <w:basedOn w:val="TableNormal"/>
    <w:next w:val="ListTable4-Accent5"/>
    <w:uiPriority w:val="49"/>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5Dark-Accent51">
    <w:name w:val="List Table 5 Dark - Accent 51"/>
    <w:basedOn w:val="TableNormal"/>
    <w:next w:val="ListTable5Dark-Accent5"/>
    <w:uiPriority w:val="50"/>
    <w:rPr>
      <w:rFonts w:ascii="Calibri" w:eastAsia="Calibri" w:hAnsi="Calibri"/>
      <w:color w:val="FFFFFF"/>
      <w:sz w:val="22"/>
      <w:szCs w:val="22"/>
    </w:rPr>
    <w:tblPr>
      <w:tblStyleRowBandSize w:val="1"/>
      <w:tblStyleColBandSize w:val="1"/>
      <w:tblInd w:w="0" w:type="nil"/>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51">
    <w:name w:val="List Table 6 Colorful - Accent 51"/>
    <w:basedOn w:val="TableNormal"/>
    <w:next w:val="ListTable6Colorful-Accent5"/>
    <w:uiPriority w:val="51"/>
    <w:rPr>
      <w:rFonts w:ascii="Calibri" w:eastAsia="Calibri" w:hAnsi="Calibri"/>
      <w:color w:val="2E74B5"/>
      <w:sz w:val="22"/>
      <w:szCs w:val="22"/>
    </w:rPr>
    <w:tblPr>
      <w:tblStyleRowBandSize w:val="1"/>
      <w:tblStyleColBandSize w:val="1"/>
      <w:tblInd w:w="0" w:type="nil"/>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7Colorful-Accent51">
    <w:name w:val="List Table 7 Colorful - Accent 51"/>
    <w:basedOn w:val="TableNormal"/>
    <w:next w:val="ListTable7Colorful-Accent5"/>
    <w:uiPriority w:val="52"/>
    <w:rPr>
      <w:rFonts w:ascii="Calibri" w:eastAsia="Calibri" w:hAnsi="Calibri"/>
      <w:color w:val="2E74B5"/>
      <w:sz w:val="22"/>
      <w:szCs w:val="2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61">
    <w:name w:val="List Table 1 Light - Accent 61"/>
    <w:basedOn w:val="TableNormal"/>
    <w:next w:val="ListTable1Light-Accent6"/>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1">
    <w:name w:val="List Table 2 - Accent 61"/>
    <w:basedOn w:val="TableNormal"/>
    <w:next w:val="ListTable2-Accent6"/>
    <w:uiPriority w:val="47"/>
    <w:rPr>
      <w:rFonts w:ascii="Calibri" w:eastAsia="Calibri" w:hAnsi="Calibri"/>
      <w:sz w:val="22"/>
      <w:szCs w:val="22"/>
    </w:rPr>
    <w:tblPr>
      <w:tblStyleRowBandSize w:val="1"/>
      <w:tblStyleColBandSize w:val="1"/>
      <w:tblInd w:w="0" w:type="nil"/>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61">
    <w:name w:val="List Table 3 - Accent 61"/>
    <w:basedOn w:val="TableNormal"/>
    <w:next w:val="ListTable3-Accent6"/>
    <w:uiPriority w:val="48"/>
    <w:rPr>
      <w:rFonts w:ascii="Calibri" w:eastAsia="Calibri" w:hAnsi="Calibri"/>
      <w:sz w:val="22"/>
      <w:szCs w:val="22"/>
    </w:rPr>
    <w:tblPr>
      <w:tblStyleRowBandSize w:val="1"/>
      <w:tblStyleColBandSize w:val="1"/>
      <w:tblInd w:w="0" w:type="nil"/>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Accent61">
    <w:name w:val="List Table 4 - Accent 61"/>
    <w:basedOn w:val="TableNormal"/>
    <w:next w:val="ListTable4-Accent6"/>
    <w:uiPriority w:val="49"/>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Accent61">
    <w:name w:val="List Table 5 Dark - Accent 61"/>
    <w:basedOn w:val="TableNormal"/>
    <w:next w:val="ListTable5Dark-Accent6"/>
    <w:uiPriority w:val="50"/>
    <w:rPr>
      <w:rFonts w:ascii="Calibri" w:eastAsia="Calibri" w:hAnsi="Calibri"/>
      <w:color w:val="FFFFFF"/>
      <w:sz w:val="22"/>
      <w:szCs w:val="22"/>
    </w:rPr>
    <w:tblPr>
      <w:tblStyleRowBandSize w:val="1"/>
      <w:tblStyleColBandSize w:val="1"/>
      <w:tblInd w:w="0" w:type="nil"/>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61">
    <w:name w:val="List Table 6 Colorful - Accent 61"/>
    <w:basedOn w:val="TableNormal"/>
    <w:next w:val="ListTable6Colorful-Accent6"/>
    <w:uiPriority w:val="51"/>
    <w:rPr>
      <w:rFonts w:ascii="Calibri" w:eastAsia="Calibri" w:hAnsi="Calibri"/>
      <w:color w:val="538135"/>
      <w:sz w:val="22"/>
      <w:szCs w:val="22"/>
    </w:rPr>
    <w:tblPr>
      <w:tblStyleRowBandSize w:val="1"/>
      <w:tblStyleColBandSize w:val="1"/>
      <w:tblInd w:w="0" w:type="nil"/>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Accent61">
    <w:name w:val="List Table 7 Colorful - Accent 61"/>
    <w:basedOn w:val="TableNormal"/>
    <w:next w:val="ListTable7Colorful-Accent6"/>
    <w:uiPriority w:val="52"/>
    <w:rPr>
      <w:rFonts w:ascii="Calibri" w:eastAsia="Calibri" w:hAnsi="Calibri"/>
      <w:color w:val="538135"/>
      <w:sz w:val="22"/>
      <w:szCs w:val="2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0AD47"/>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0AD47"/>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olorfulGrid11">
    <w:name w:val="Colorful Grid1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1">
    <w:name w:val="Colorful Grid - Accent 11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211">
    <w:name w:val="Colorful Grid - Accent 21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1">
    <w:name w:val="Colorful Grid - Accent 31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1">
    <w:name w:val="Colorful Grid - Accent 41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1">
    <w:name w:val="Colorful Grid - Accent 51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611">
    <w:name w:val="Colorful Grid - Accent 61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1">
    <w:name w:val="Colorful List11"/>
    <w:basedOn w:val="TableNormal"/>
    <w:uiPriority w:val="72"/>
    <w:rPr>
      <w:rFonts w:ascii="Calibri" w:eastAsia="Calibri" w:hAnsi="Calibri"/>
      <w:color w:val="000000"/>
      <w:sz w:val="22"/>
      <w:szCs w:val="22"/>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1">
    <w:name w:val="Colorful List - Accent 111"/>
    <w:basedOn w:val="TableNormal"/>
    <w:uiPriority w:val="72"/>
    <w:rPr>
      <w:rFonts w:ascii="Calibri" w:eastAsia="Calibri" w:hAnsi="Calibri"/>
      <w:color w:val="000000"/>
      <w:sz w:val="22"/>
      <w:szCs w:val="22"/>
    </w:rPr>
    <w:tblPr>
      <w:tblStyleRowBandSize w:val="1"/>
      <w:tblStyleColBandSize w:val="1"/>
      <w:tblInd w:w="0" w:type="nil"/>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211">
    <w:name w:val="Colorful List - Accent 211"/>
    <w:basedOn w:val="TableNormal"/>
    <w:uiPriority w:val="72"/>
    <w:rPr>
      <w:rFonts w:ascii="Calibri" w:eastAsia="Calibri" w:hAnsi="Calibri"/>
      <w:color w:val="000000"/>
      <w:sz w:val="22"/>
      <w:szCs w:val="22"/>
    </w:rPr>
    <w:tblPr>
      <w:tblStyleRowBandSize w:val="1"/>
      <w:tblStyleColBandSize w:val="1"/>
      <w:tblInd w:w="0" w:type="nil"/>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1">
    <w:name w:val="Colorful List - Accent 311"/>
    <w:basedOn w:val="TableNormal"/>
    <w:uiPriority w:val="72"/>
    <w:rPr>
      <w:rFonts w:ascii="Calibri" w:eastAsia="Calibri" w:hAnsi="Calibri"/>
      <w:color w:val="000000"/>
      <w:sz w:val="22"/>
      <w:szCs w:val="22"/>
    </w:rPr>
    <w:tblPr>
      <w:tblStyleRowBandSize w:val="1"/>
      <w:tblStyleColBandSize w:val="1"/>
      <w:tblInd w:w="0" w:type="nil"/>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1">
    <w:name w:val="Colorful List - Accent 411"/>
    <w:basedOn w:val="TableNormal"/>
    <w:uiPriority w:val="72"/>
    <w:rPr>
      <w:rFonts w:ascii="Calibri" w:eastAsia="Calibri" w:hAnsi="Calibri"/>
      <w:color w:val="000000"/>
      <w:sz w:val="22"/>
      <w:szCs w:val="22"/>
    </w:rPr>
    <w:tblPr>
      <w:tblStyleRowBandSize w:val="1"/>
      <w:tblStyleColBandSize w:val="1"/>
      <w:tblInd w:w="0" w:type="nil"/>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1">
    <w:name w:val="Colorful List - Accent 511"/>
    <w:basedOn w:val="TableNormal"/>
    <w:uiPriority w:val="72"/>
    <w:rPr>
      <w:rFonts w:ascii="Calibri" w:eastAsia="Calibri" w:hAnsi="Calibri"/>
      <w:color w:val="000000"/>
      <w:sz w:val="22"/>
      <w:szCs w:val="22"/>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611">
    <w:name w:val="Colorful List - Accent 611"/>
    <w:basedOn w:val="TableNormal"/>
    <w:uiPriority w:val="72"/>
    <w:rPr>
      <w:rFonts w:ascii="Calibri" w:eastAsia="Calibri" w:hAnsi="Calibri"/>
      <w:color w:val="000000"/>
      <w:sz w:val="22"/>
      <w:szCs w:val="22"/>
    </w:rPr>
    <w:tblPr>
      <w:tblStyleRowBandSize w:val="1"/>
      <w:tblStyleColBandSize w:val="1"/>
      <w:tblInd w:w="0" w:type="nil"/>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1">
    <w:name w:val="Colorful Shading1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1">
    <w:name w:val="Colorful Shading - Accent 11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211">
    <w:name w:val="Colorful Shading - Accent 21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1">
    <w:name w:val="Colorful Shading - Accent 31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1">
    <w:name w:val="Colorful Shading - Accent 41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1">
    <w:name w:val="Colorful Shading - Accent 51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611">
    <w:name w:val="Colorful Shading - Accent 61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1">
    <w:name w:val="Dark List11"/>
    <w:basedOn w:val="TableNormal"/>
    <w:uiPriority w:val="70"/>
    <w:rPr>
      <w:rFonts w:ascii="Calibri" w:eastAsia="Calibri" w:hAnsi="Calibri"/>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1">
    <w:name w:val="Dark List - Accent 111"/>
    <w:basedOn w:val="TableNormal"/>
    <w:uiPriority w:val="70"/>
    <w:rPr>
      <w:rFonts w:ascii="Calibri" w:eastAsia="Calibri" w:hAnsi="Calibri"/>
      <w:color w:val="FFFFFF"/>
      <w:sz w:val="22"/>
      <w:szCs w:val="22"/>
    </w:rPr>
    <w:tblPr>
      <w:tblStyleRowBandSize w:val="1"/>
      <w:tblStyleColBandSize w:val="1"/>
      <w:tblInd w:w="0" w:type="nil"/>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211">
    <w:name w:val="Dark List - Accent 211"/>
    <w:basedOn w:val="TableNormal"/>
    <w:uiPriority w:val="70"/>
    <w:rPr>
      <w:rFonts w:ascii="Calibri" w:eastAsia="Calibri" w:hAnsi="Calibri"/>
      <w:color w:val="FFFFFF"/>
      <w:sz w:val="22"/>
      <w:szCs w:val="22"/>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1">
    <w:name w:val="Dark List - Accent 311"/>
    <w:basedOn w:val="TableNormal"/>
    <w:uiPriority w:val="70"/>
    <w:rPr>
      <w:rFonts w:ascii="Calibri" w:eastAsia="Calibri" w:hAnsi="Calibri"/>
      <w:color w:val="FFFFFF"/>
      <w:sz w:val="22"/>
      <w:szCs w:val="22"/>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1">
    <w:name w:val="Dark List - Accent 411"/>
    <w:basedOn w:val="TableNormal"/>
    <w:uiPriority w:val="70"/>
    <w:rPr>
      <w:rFonts w:ascii="Calibri" w:eastAsia="Calibri" w:hAnsi="Calibri"/>
      <w:color w:val="FFFFFF"/>
      <w:sz w:val="22"/>
      <w:szCs w:val="22"/>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1">
    <w:name w:val="Dark List - Accent 511"/>
    <w:basedOn w:val="TableNormal"/>
    <w:uiPriority w:val="70"/>
    <w:rPr>
      <w:rFonts w:ascii="Calibri" w:eastAsia="Calibri" w:hAnsi="Calibri"/>
      <w:color w:val="FFFFFF"/>
      <w:sz w:val="22"/>
      <w:szCs w:val="22"/>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611">
    <w:name w:val="Dark List - Accent 611"/>
    <w:basedOn w:val="TableNormal"/>
    <w:uiPriority w:val="70"/>
    <w:rPr>
      <w:rFonts w:ascii="Calibri" w:eastAsia="Calibri" w:hAnsi="Calibri"/>
      <w:color w:val="FFFFFF"/>
      <w:sz w:val="22"/>
      <w:szCs w:val="22"/>
    </w:rPr>
    <w:tblPr>
      <w:tblStyleRowBandSize w:val="1"/>
      <w:tblStyleColBandSize w:val="1"/>
      <w:tblInd w:w="0" w:type="nil"/>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1">
    <w:name w:val="Grid Table 1 Light11"/>
    <w:basedOn w:val="TableNormal"/>
    <w:uiPriority w:val="46"/>
    <w:rPr>
      <w:rFonts w:ascii="Calibri" w:eastAsia="Calibri" w:hAnsi="Calibri"/>
      <w:sz w:val="22"/>
      <w:szCs w:val="22"/>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Pr>
      <w:rFonts w:ascii="Calibri" w:eastAsia="Calibri" w:hAnsi="Calibri"/>
      <w:sz w:val="22"/>
      <w:szCs w:val="22"/>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uiPriority w:val="46"/>
    <w:rPr>
      <w:rFonts w:ascii="Calibri" w:eastAsia="Calibri" w:hAnsi="Calibri"/>
      <w:sz w:val="22"/>
      <w:szCs w:val="22"/>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uiPriority w:val="46"/>
    <w:rPr>
      <w:rFonts w:ascii="Calibri" w:eastAsia="Calibri" w:hAnsi="Calibri"/>
      <w:sz w:val="22"/>
      <w:szCs w:val="22"/>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1">
    <w:name w:val="Grid Table 1 Light - Accent 411"/>
    <w:basedOn w:val="TableNormal"/>
    <w:uiPriority w:val="46"/>
    <w:rPr>
      <w:rFonts w:ascii="Calibri" w:eastAsia="Calibri" w:hAnsi="Calibri"/>
      <w:sz w:val="22"/>
      <w:szCs w:val="22"/>
    </w:rPr>
    <w:tblPr>
      <w:tblStyleRowBandSize w:val="1"/>
      <w:tblStyleColBandSize w:val="1"/>
      <w:tblInd w:w="0" w:type="nil"/>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Pr>
      <w:rFonts w:ascii="Calibri" w:eastAsia="Calibri" w:hAnsi="Calibri"/>
      <w:sz w:val="22"/>
      <w:szCs w:val="22"/>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611">
    <w:name w:val="Grid Table 1 Light - Accent 611"/>
    <w:basedOn w:val="TableNormal"/>
    <w:uiPriority w:val="46"/>
    <w:rPr>
      <w:rFonts w:ascii="Calibri" w:eastAsia="Calibri" w:hAnsi="Calibri"/>
      <w:sz w:val="22"/>
      <w:szCs w:val="22"/>
    </w:rPr>
    <w:tblPr>
      <w:tblStyleRowBandSize w:val="1"/>
      <w:tblStyleColBandSize w:val="1"/>
      <w:tblInd w:w="0" w:type="nil"/>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1">
    <w:name w:val="Grid Table 211"/>
    <w:basedOn w:val="TableNormal"/>
    <w:uiPriority w:val="47"/>
    <w:rPr>
      <w:rFonts w:ascii="Calibri" w:eastAsia="Calibri" w:hAnsi="Calibri"/>
      <w:sz w:val="22"/>
      <w:szCs w:val="22"/>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1">
    <w:name w:val="Grid Table 2 - Accent 111"/>
    <w:basedOn w:val="TableNormal"/>
    <w:uiPriority w:val="47"/>
    <w:rPr>
      <w:rFonts w:ascii="Calibri" w:eastAsia="Calibri" w:hAnsi="Calibri"/>
      <w:sz w:val="22"/>
      <w:szCs w:val="22"/>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211">
    <w:name w:val="Grid Table 2 - Accent 211"/>
    <w:basedOn w:val="TableNormal"/>
    <w:uiPriority w:val="47"/>
    <w:rPr>
      <w:rFonts w:ascii="Calibri" w:eastAsia="Calibri" w:hAnsi="Calibri"/>
      <w:sz w:val="22"/>
      <w:szCs w:val="22"/>
    </w:rPr>
    <w:tblPr>
      <w:tblStyleRowBandSize w:val="1"/>
      <w:tblStyleColBandSize w:val="1"/>
      <w:tblInd w:w="0" w:type="nil"/>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1">
    <w:name w:val="Grid Table 2 - Accent 311"/>
    <w:basedOn w:val="TableNormal"/>
    <w:uiPriority w:val="47"/>
    <w:rPr>
      <w:rFonts w:ascii="Calibri" w:eastAsia="Calibri" w:hAnsi="Calibri"/>
      <w:sz w:val="22"/>
      <w:szCs w:val="22"/>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1">
    <w:name w:val="Grid Table 2 - Accent 411"/>
    <w:basedOn w:val="TableNormal"/>
    <w:uiPriority w:val="47"/>
    <w:rPr>
      <w:rFonts w:ascii="Calibri" w:eastAsia="Calibri" w:hAnsi="Calibri"/>
      <w:sz w:val="22"/>
      <w:szCs w:val="22"/>
    </w:rPr>
    <w:tblPr>
      <w:tblStyleRowBandSize w:val="1"/>
      <w:tblStyleColBandSize w:val="1"/>
      <w:tblInd w:w="0" w:type="nil"/>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1">
    <w:name w:val="Grid Table 2 - Accent 511"/>
    <w:basedOn w:val="TableNormal"/>
    <w:uiPriority w:val="47"/>
    <w:rPr>
      <w:rFonts w:ascii="Calibri" w:eastAsia="Calibri" w:hAnsi="Calibri"/>
      <w:sz w:val="22"/>
      <w:szCs w:val="22"/>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611">
    <w:name w:val="Grid Table 2 - Accent 611"/>
    <w:basedOn w:val="TableNormal"/>
    <w:uiPriority w:val="47"/>
    <w:rPr>
      <w:rFonts w:ascii="Calibri" w:eastAsia="Calibri" w:hAnsi="Calibri"/>
      <w:sz w:val="22"/>
      <w:szCs w:val="22"/>
    </w:rPr>
    <w:tblPr>
      <w:tblStyleRowBandSize w:val="1"/>
      <w:tblStyleColBandSize w:val="1"/>
      <w:tblInd w:w="0" w:type="nil"/>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1">
    <w:name w:val="Grid Table 311"/>
    <w:basedOn w:val="TableNormal"/>
    <w:uiPriority w:val="48"/>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1">
    <w:name w:val="Grid Table 3 - Accent 111"/>
    <w:basedOn w:val="TableNormal"/>
    <w:uiPriority w:val="48"/>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211">
    <w:name w:val="Grid Table 3 - Accent 211"/>
    <w:basedOn w:val="TableNormal"/>
    <w:uiPriority w:val="48"/>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1">
    <w:name w:val="Grid Table 3 - Accent 311"/>
    <w:basedOn w:val="TableNormal"/>
    <w:uiPriority w:val="48"/>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1">
    <w:name w:val="Grid Table 3 - Accent 411"/>
    <w:basedOn w:val="TableNormal"/>
    <w:uiPriority w:val="48"/>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1">
    <w:name w:val="Grid Table 3 - Accent 511"/>
    <w:basedOn w:val="TableNormal"/>
    <w:uiPriority w:val="48"/>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611">
    <w:name w:val="Grid Table 3 - Accent 611"/>
    <w:basedOn w:val="TableNormal"/>
    <w:uiPriority w:val="48"/>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1">
    <w:name w:val="Grid Table 411"/>
    <w:basedOn w:val="TableNormal"/>
    <w:uiPriority w:val="49"/>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1">
    <w:name w:val="Grid Table 4 - Accent 111"/>
    <w:basedOn w:val="TableNormal"/>
    <w:uiPriority w:val="49"/>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1">
    <w:name w:val="Grid Table 4 - Accent 211"/>
    <w:basedOn w:val="TableNormal"/>
    <w:uiPriority w:val="49"/>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1">
    <w:name w:val="Grid Table 4 - Accent 311"/>
    <w:basedOn w:val="TableNormal"/>
    <w:uiPriority w:val="49"/>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1">
    <w:name w:val="Grid Table 4 - Accent 411"/>
    <w:basedOn w:val="TableNormal"/>
    <w:uiPriority w:val="49"/>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1">
    <w:name w:val="Grid Table 4 - Accent 511"/>
    <w:basedOn w:val="TableNormal"/>
    <w:uiPriority w:val="49"/>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11">
    <w:name w:val="Grid Table 4 - Accent 611"/>
    <w:basedOn w:val="TableNormal"/>
    <w:uiPriority w:val="49"/>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1">
    <w:name w:val="Grid Table 5 Dark1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
    <w:name w:val="Grid Table 5 Dark - Accent 11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211">
    <w:name w:val="Grid Table 5 Dark - Accent 21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1">
    <w:name w:val="Grid Table 5 Dark - Accent 31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1">
    <w:name w:val="Grid Table 5 Dark - Accent 41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1">
    <w:name w:val="Grid Table 5 Dark - Accent 51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611">
    <w:name w:val="Grid Table 5 Dark - Accent 61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1">
    <w:name w:val="Grid Table 6 Colorful11"/>
    <w:basedOn w:val="TableNormal"/>
    <w:uiPriority w:val="51"/>
    <w:rPr>
      <w:rFonts w:ascii="Calibri" w:eastAsia="Calibri" w:hAnsi="Calibri"/>
      <w:color w:val="000000"/>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1">
    <w:name w:val="Grid Table 6 Colorful - Accent 111"/>
    <w:basedOn w:val="TableNormal"/>
    <w:uiPriority w:val="51"/>
    <w:rPr>
      <w:rFonts w:ascii="Calibri" w:eastAsia="Calibri" w:hAnsi="Calibri"/>
      <w:color w:val="2E74B5"/>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211">
    <w:name w:val="Grid Table 6 Colorful - Accent 211"/>
    <w:basedOn w:val="TableNormal"/>
    <w:uiPriority w:val="51"/>
    <w:rPr>
      <w:rFonts w:ascii="Calibri" w:eastAsia="Calibri" w:hAnsi="Calibri"/>
      <w:color w:val="C45911"/>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1">
    <w:name w:val="Grid Table 6 Colorful - Accent 311"/>
    <w:basedOn w:val="TableNormal"/>
    <w:uiPriority w:val="51"/>
    <w:rPr>
      <w:rFonts w:ascii="Calibri" w:eastAsia="Calibri" w:hAnsi="Calibri"/>
      <w:color w:val="7B7B7B"/>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1">
    <w:name w:val="Grid Table 6 Colorful - Accent 411"/>
    <w:basedOn w:val="TableNormal"/>
    <w:uiPriority w:val="51"/>
    <w:rPr>
      <w:rFonts w:ascii="Calibri" w:eastAsia="Calibri" w:hAnsi="Calibri"/>
      <w:color w:val="BF8F00"/>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1">
    <w:name w:val="Grid Table 6 Colorful - Accent 511"/>
    <w:basedOn w:val="TableNormal"/>
    <w:uiPriority w:val="51"/>
    <w:rPr>
      <w:rFonts w:ascii="Calibri" w:eastAsia="Calibri" w:hAnsi="Calibri"/>
      <w:color w:val="2F5496"/>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611">
    <w:name w:val="Grid Table 6 Colorful - Accent 611"/>
    <w:basedOn w:val="TableNormal"/>
    <w:uiPriority w:val="51"/>
    <w:rPr>
      <w:rFonts w:ascii="Calibri" w:eastAsia="Calibri" w:hAnsi="Calibri"/>
      <w:color w:val="538135"/>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1">
    <w:name w:val="Grid Table 7 Colorful11"/>
    <w:basedOn w:val="TableNormal"/>
    <w:uiPriority w:val="52"/>
    <w:rPr>
      <w:rFonts w:ascii="Calibri" w:eastAsia="Calibri" w:hAnsi="Calibri"/>
      <w:color w:val="000000"/>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1">
    <w:name w:val="Grid Table 7 Colorful - Accent 111"/>
    <w:basedOn w:val="TableNormal"/>
    <w:uiPriority w:val="52"/>
    <w:rPr>
      <w:rFonts w:ascii="Calibri" w:eastAsia="Calibri" w:hAnsi="Calibri"/>
      <w:color w:val="2E74B5"/>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211">
    <w:name w:val="Grid Table 7 Colorful - Accent 211"/>
    <w:basedOn w:val="TableNormal"/>
    <w:uiPriority w:val="52"/>
    <w:rPr>
      <w:rFonts w:ascii="Calibri" w:eastAsia="Calibri" w:hAnsi="Calibri"/>
      <w:color w:val="C45911"/>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1">
    <w:name w:val="Grid Table 7 Colorful - Accent 311"/>
    <w:basedOn w:val="TableNormal"/>
    <w:uiPriority w:val="52"/>
    <w:rPr>
      <w:rFonts w:ascii="Calibri" w:eastAsia="Calibri" w:hAnsi="Calibri"/>
      <w:color w:val="7B7B7B"/>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1">
    <w:name w:val="Grid Table 7 Colorful - Accent 411"/>
    <w:basedOn w:val="TableNormal"/>
    <w:uiPriority w:val="52"/>
    <w:rPr>
      <w:rFonts w:ascii="Calibri" w:eastAsia="Calibri" w:hAnsi="Calibri"/>
      <w:color w:val="BF8F00"/>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1">
    <w:name w:val="Grid Table 7 Colorful - Accent 511"/>
    <w:basedOn w:val="TableNormal"/>
    <w:uiPriority w:val="52"/>
    <w:rPr>
      <w:rFonts w:ascii="Calibri" w:eastAsia="Calibri" w:hAnsi="Calibri"/>
      <w:color w:val="2F5496"/>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611">
    <w:name w:val="Grid Table 7 Colorful - Accent 611"/>
    <w:basedOn w:val="TableNormal"/>
    <w:uiPriority w:val="52"/>
    <w:rPr>
      <w:rFonts w:ascii="Calibri" w:eastAsia="Calibri" w:hAnsi="Calibri"/>
      <w:color w:val="538135"/>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1">
    <w:name w:val="Light Grid11"/>
    <w:basedOn w:val="TableNormal"/>
    <w:uiPriority w:val="62"/>
    <w:rPr>
      <w:rFonts w:ascii="Calibri" w:eastAsia="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
    <w:name w:val="Light Grid - Accent 111"/>
    <w:basedOn w:val="TableNormal"/>
    <w:uiPriority w:val="62"/>
    <w:rPr>
      <w:rFonts w:ascii="Calibri" w:eastAsia="Calibri" w:hAnsi="Calibri"/>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11">
    <w:name w:val="Light Grid - Accent 211"/>
    <w:basedOn w:val="TableNormal"/>
    <w:uiPriority w:val="62"/>
    <w:rPr>
      <w:rFonts w:ascii="Calibri" w:eastAsia="Calibri" w:hAnsi="Calibri"/>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
    <w:name w:val="Light Grid - Accent 311"/>
    <w:basedOn w:val="TableNormal"/>
    <w:uiPriority w:val="62"/>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1">
    <w:name w:val="Light Grid - Accent 411"/>
    <w:basedOn w:val="TableNormal"/>
    <w:uiPriority w:val="62"/>
    <w:rPr>
      <w:rFonts w:ascii="Calibri" w:eastAsia="Calibri" w:hAnsi="Calibri"/>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1">
    <w:name w:val="Light Grid - Accent 511"/>
    <w:basedOn w:val="TableNormal"/>
    <w:uiPriority w:val="62"/>
    <w:rPr>
      <w:rFonts w:ascii="Calibri" w:eastAsia="Calibri" w:hAnsi="Calibri"/>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611">
    <w:name w:val="Light Grid - Accent 611"/>
    <w:basedOn w:val="TableNormal"/>
    <w:uiPriority w:val="62"/>
    <w:rPr>
      <w:rFonts w:ascii="Calibri" w:eastAsia="Calibri" w:hAnsi="Calibri"/>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1">
    <w:name w:val="Light List11"/>
    <w:basedOn w:val="TableNormal"/>
    <w:uiPriority w:val="61"/>
    <w:rPr>
      <w:rFonts w:ascii="Calibri" w:eastAsia="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
    <w:name w:val="Light List - Accent 111"/>
    <w:basedOn w:val="TableNormal"/>
    <w:uiPriority w:val="61"/>
    <w:rPr>
      <w:rFonts w:ascii="Calibri" w:eastAsia="Calibri" w:hAnsi="Calibri"/>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211">
    <w:name w:val="Light List - Accent 211"/>
    <w:basedOn w:val="TableNormal"/>
    <w:uiPriority w:val="61"/>
    <w:rPr>
      <w:rFonts w:ascii="Calibri" w:eastAsia="Calibri" w:hAnsi="Calibri"/>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pPr>
        <w:spacing w:beforeLines="0" w:before="0" w:beforeAutospacing="0" w:afterLines="0" w:after="0" w:afterAutospacing="0" w:line="240" w:lineRule="auto"/>
      </w:pPr>
      <w:rPr>
        <w:b/>
        <w:bCs/>
        <w:color w:val="FFFFFF"/>
      </w:rPr>
      <w:tblPr/>
      <w:tcPr>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1">
    <w:name w:val="Light List - Accent 311"/>
    <w:basedOn w:val="TableNormal"/>
    <w:uiPriority w:val="61"/>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1">
    <w:name w:val="Light List - Accent 411"/>
    <w:basedOn w:val="TableNormal"/>
    <w:uiPriority w:val="61"/>
    <w:rPr>
      <w:rFonts w:ascii="Calibri" w:eastAsia="Calibri" w:hAnsi="Calibri"/>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pPr>
        <w:spacing w:beforeLines="0" w:before="0" w:beforeAutospacing="0" w:afterLines="0" w:after="0" w:afterAutospacing="0" w:line="240" w:lineRule="auto"/>
      </w:pPr>
      <w:rPr>
        <w:b/>
        <w:bCs/>
        <w:color w:val="FFFFFF"/>
      </w:rPr>
      <w:tblPr/>
      <w:tcPr>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1">
    <w:name w:val="Light List - Accent 511"/>
    <w:basedOn w:val="TableNormal"/>
    <w:uiPriority w:val="61"/>
    <w:rPr>
      <w:rFonts w:ascii="Calibri" w:eastAsia="Calibri" w:hAnsi="Calibri"/>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line="240" w:lineRule="auto"/>
      </w:pPr>
      <w:rPr>
        <w:b/>
        <w:bCs/>
        <w:color w:val="FFFFFF"/>
      </w:rPr>
      <w:tblPr/>
      <w:tcPr>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611">
    <w:name w:val="Light List - Accent 611"/>
    <w:basedOn w:val="TableNormal"/>
    <w:uiPriority w:val="61"/>
    <w:rPr>
      <w:rFonts w:ascii="Calibri" w:eastAsia="Calibri" w:hAnsi="Calibri"/>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pPr>
        <w:spacing w:beforeLines="0" w:before="0" w:beforeAutospacing="0" w:afterLines="0" w:after="0" w:afterAutospacing="0" w:line="240" w:lineRule="auto"/>
      </w:pPr>
      <w:rPr>
        <w:b/>
        <w:bCs/>
        <w:color w:val="FFFFFF"/>
      </w:rPr>
      <w:tblPr/>
      <w:tcPr>
        <w:shd w:val="clear" w:color="auto" w:fill="70AD47"/>
      </w:tcPr>
    </w:tblStylePr>
    <w:tblStylePr w:type="lastRow">
      <w:pPr>
        <w:spacing w:beforeLines="0" w:before="0" w:beforeAutospacing="0" w:afterLines="0" w:after="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1">
    <w:name w:val="Light Shading11"/>
    <w:basedOn w:val="TableNormal"/>
    <w:uiPriority w:val="60"/>
    <w:rPr>
      <w:rFonts w:ascii="Calibri" w:eastAsia="Calibri" w:hAnsi="Calibri"/>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Pr>
      <w:rFonts w:ascii="Calibri" w:eastAsia="Calibri" w:hAnsi="Calibri"/>
      <w:color w:val="2E74B5"/>
      <w:sz w:val="22"/>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211">
    <w:name w:val="Light Shading - Accent 211"/>
    <w:basedOn w:val="TableNormal"/>
    <w:uiPriority w:val="60"/>
    <w:rPr>
      <w:rFonts w:ascii="Calibri" w:eastAsia="Calibri" w:hAnsi="Calibri"/>
      <w:color w:val="C45911"/>
      <w:sz w:val="22"/>
      <w:szCs w:val="22"/>
    </w:rPr>
    <w:tblPr>
      <w:tblStyleRowBandSize w:val="1"/>
      <w:tblStyleColBandSize w:val="1"/>
      <w:tblInd w:w="0" w:type="nil"/>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1">
    <w:name w:val="Light Shading - Accent 311"/>
    <w:basedOn w:val="TableNormal"/>
    <w:uiPriority w:val="60"/>
    <w:rPr>
      <w:rFonts w:ascii="Calibri" w:eastAsia="Calibri" w:hAnsi="Calibri"/>
      <w:color w:val="7B7B7B"/>
      <w:sz w:val="22"/>
      <w:szCs w:val="22"/>
    </w:rPr>
    <w:tblPr>
      <w:tblStyleRowBandSize w:val="1"/>
      <w:tblStyleColBandSize w:val="1"/>
      <w:tblInd w:w="0" w:type="nil"/>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1">
    <w:name w:val="Light Shading - Accent 411"/>
    <w:basedOn w:val="TableNormal"/>
    <w:uiPriority w:val="60"/>
    <w:rPr>
      <w:rFonts w:ascii="Calibri" w:eastAsia="Calibri" w:hAnsi="Calibri"/>
      <w:color w:val="BF8F00"/>
      <w:sz w:val="22"/>
      <w:szCs w:val="22"/>
    </w:rPr>
    <w:tblPr>
      <w:tblStyleRowBandSize w:val="1"/>
      <w:tblStyleColBandSize w:val="1"/>
      <w:tblInd w:w="0" w:type="nil"/>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1">
    <w:name w:val="Light Shading - Accent 511"/>
    <w:basedOn w:val="TableNormal"/>
    <w:uiPriority w:val="60"/>
    <w:rPr>
      <w:rFonts w:ascii="Calibri" w:eastAsia="Calibri" w:hAnsi="Calibri"/>
      <w:color w:val="2F5496"/>
      <w:sz w:val="22"/>
      <w:szCs w:val="22"/>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611">
    <w:name w:val="Light Shading - Accent 611"/>
    <w:basedOn w:val="TableNormal"/>
    <w:uiPriority w:val="60"/>
    <w:rPr>
      <w:rFonts w:ascii="Calibri" w:eastAsia="Calibri" w:hAnsi="Calibri"/>
      <w:color w:val="538135"/>
      <w:sz w:val="22"/>
      <w:szCs w:val="22"/>
    </w:rPr>
    <w:tblPr>
      <w:tblStyleRowBandSize w:val="1"/>
      <w:tblStyleColBandSize w:val="1"/>
      <w:tblInd w:w="0" w:type="nil"/>
      <w:tblBorders>
        <w:top w:val="single" w:sz="8" w:space="0" w:color="70AD47"/>
        <w:bottom w:val="single" w:sz="8" w:space="0" w:color="70AD47"/>
      </w:tblBorders>
    </w:tblPr>
    <w:tblStylePr w:type="firstRow">
      <w:pPr>
        <w:spacing w:beforeLines="0" w:before="0" w:beforeAutospacing="0" w:afterLines="0" w:after="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1">
    <w:name w:val="List Table 1 Light11"/>
    <w:basedOn w:val="TableNormal"/>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1">
    <w:name w:val="List Table 1 Light - Accent 111"/>
    <w:basedOn w:val="TableNormal"/>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211">
    <w:name w:val="List Table 1 Light - Accent 211"/>
    <w:basedOn w:val="TableNormal"/>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1">
    <w:name w:val="List Table 1 Light - Accent 311"/>
    <w:basedOn w:val="TableNormal"/>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1">
    <w:name w:val="List Table 1 Light - Accent 411"/>
    <w:basedOn w:val="TableNormal"/>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1">
    <w:name w:val="List Table 1 Light - Accent 511"/>
    <w:basedOn w:val="TableNormal"/>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11">
    <w:name w:val="List Table 1 Light - Accent 611"/>
    <w:basedOn w:val="TableNormal"/>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1">
    <w:name w:val="List Table 211"/>
    <w:basedOn w:val="TableNormal"/>
    <w:uiPriority w:val="47"/>
    <w:rPr>
      <w:rFonts w:ascii="Calibri" w:eastAsia="Calibri" w:hAnsi="Calibri"/>
      <w:sz w:val="22"/>
      <w:szCs w:val="22"/>
    </w:rPr>
    <w:tblPr>
      <w:tblStyleRowBandSize w:val="1"/>
      <w:tblStyleColBandSize w:val="1"/>
      <w:tblInd w:w="0" w:type="nil"/>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1">
    <w:name w:val="List Table 2 - Accent 111"/>
    <w:basedOn w:val="TableNormal"/>
    <w:uiPriority w:val="47"/>
    <w:rPr>
      <w:rFonts w:ascii="Calibri" w:eastAsia="Calibri" w:hAnsi="Calibri"/>
      <w:sz w:val="22"/>
      <w:szCs w:val="22"/>
    </w:rPr>
    <w:tblPr>
      <w:tblStyleRowBandSize w:val="1"/>
      <w:tblStyleColBandSize w:val="1"/>
      <w:tblInd w:w="0" w:type="nil"/>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211">
    <w:name w:val="List Table 2 - Accent 211"/>
    <w:basedOn w:val="TableNormal"/>
    <w:uiPriority w:val="47"/>
    <w:rPr>
      <w:rFonts w:ascii="Calibri" w:eastAsia="Calibri" w:hAnsi="Calibri"/>
      <w:sz w:val="22"/>
      <w:szCs w:val="22"/>
    </w:rPr>
    <w:tblPr>
      <w:tblStyleRowBandSize w:val="1"/>
      <w:tblStyleColBandSize w:val="1"/>
      <w:tblInd w:w="0" w:type="nil"/>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1">
    <w:name w:val="List Table 2 - Accent 311"/>
    <w:basedOn w:val="TableNormal"/>
    <w:uiPriority w:val="47"/>
    <w:rPr>
      <w:rFonts w:ascii="Calibri" w:eastAsia="Calibri" w:hAnsi="Calibri"/>
      <w:sz w:val="22"/>
      <w:szCs w:val="22"/>
    </w:rPr>
    <w:tblPr>
      <w:tblStyleRowBandSize w:val="1"/>
      <w:tblStyleColBandSize w:val="1"/>
      <w:tblInd w:w="0" w:type="nil"/>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1">
    <w:name w:val="List Table 2 - Accent 411"/>
    <w:basedOn w:val="TableNormal"/>
    <w:uiPriority w:val="47"/>
    <w:rPr>
      <w:rFonts w:ascii="Calibri" w:eastAsia="Calibri" w:hAnsi="Calibri"/>
      <w:sz w:val="22"/>
      <w:szCs w:val="22"/>
    </w:rPr>
    <w:tblPr>
      <w:tblStyleRowBandSize w:val="1"/>
      <w:tblStyleColBandSize w:val="1"/>
      <w:tblInd w:w="0" w:type="nil"/>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1">
    <w:name w:val="List Table 2 - Accent 511"/>
    <w:basedOn w:val="TableNormal"/>
    <w:uiPriority w:val="47"/>
    <w:rPr>
      <w:rFonts w:ascii="Calibri" w:eastAsia="Calibri" w:hAnsi="Calibri"/>
      <w:sz w:val="22"/>
      <w:szCs w:val="22"/>
    </w:rPr>
    <w:tblPr>
      <w:tblStyleRowBandSize w:val="1"/>
      <w:tblStyleColBandSize w:val="1"/>
      <w:tblInd w:w="0" w:type="nil"/>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611">
    <w:name w:val="List Table 2 - Accent 611"/>
    <w:basedOn w:val="TableNormal"/>
    <w:uiPriority w:val="47"/>
    <w:rPr>
      <w:rFonts w:ascii="Calibri" w:eastAsia="Calibri" w:hAnsi="Calibri"/>
      <w:sz w:val="22"/>
      <w:szCs w:val="22"/>
    </w:rPr>
    <w:tblPr>
      <w:tblStyleRowBandSize w:val="1"/>
      <w:tblStyleColBandSize w:val="1"/>
      <w:tblInd w:w="0" w:type="nil"/>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1">
    <w:name w:val="List Table 311"/>
    <w:basedOn w:val="TableNormal"/>
    <w:uiPriority w:val="48"/>
    <w:rPr>
      <w:rFonts w:ascii="Calibri" w:eastAsia="Calibri" w:hAnsi="Calibri"/>
      <w:sz w:val="22"/>
      <w:szCs w:val="22"/>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1">
    <w:name w:val="List Table 3 - Accent 111"/>
    <w:basedOn w:val="TableNormal"/>
    <w:uiPriority w:val="48"/>
    <w:rPr>
      <w:rFonts w:ascii="Calibri" w:eastAsia="Calibri" w:hAnsi="Calibri"/>
      <w:sz w:val="22"/>
      <w:szCs w:val="22"/>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211">
    <w:name w:val="List Table 3 - Accent 211"/>
    <w:basedOn w:val="TableNormal"/>
    <w:uiPriority w:val="48"/>
    <w:rPr>
      <w:rFonts w:ascii="Calibri" w:eastAsia="Calibri" w:hAnsi="Calibri"/>
      <w:sz w:val="22"/>
      <w:szCs w:val="22"/>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1">
    <w:name w:val="List Table 3 - Accent 311"/>
    <w:basedOn w:val="TableNormal"/>
    <w:uiPriority w:val="48"/>
    <w:rPr>
      <w:rFonts w:ascii="Calibri" w:eastAsia="Calibri" w:hAnsi="Calibri"/>
      <w:sz w:val="22"/>
      <w:szCs w:val="22"/>
    </w:rPr>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1">
    <w:name w:val="List Table 3 - Accent 411"/>
    <w:basedOn w:val="TableNormal"/>
    <w:uiPriority w:val="48"/>
    <w:rPr>
      <w:rFonts w:ascii="Calibri" w:eastAsia="Calibri" w:hAnsi="Calibri"/>
      <w:sz w:val="22"/>
      <w:szCs w:val="22"/>
    </w:rPr>
    <w:tblPr>
      <w:tblStyleRowBandSize w:val="1"/>
      <w:tblStyleColBandSize w:val="1"/>
      <w:tblInd w:w="0" w:type="nil"/>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1">
    <w:name w:val="List Table 3 - Accent 511"/>
    <w:basedOn w:val="TableNormal"/>
    <w:uiPriority w:val="48"/>
    <w:rPr>
      <w:rFonts w:ascii="Calibri" w:eastAsia="Calibri" w:hAnsi="Calibri"/>
      <w:sz w:val="22"/>
      <w:szCs w:val="22"/>
    </w:rPr>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611">
    <w:name w:val="List Table 3 - Accent 611"/>
    <w:basedOn w:val="TableNormal"/>
    <w:uiPriority w:val="48"/>
    <w:rPr>
      <w:rFonts w:ascii="Calibri" w:eastAsia="Calibri" w:hAnsi="Calibri"/>
      <w:sz w:val="22"/>
      <w:szCs w:val="22"/>
    </w:rPr>
    <w:tblPr>
      <w:tblStyleRowBandSize w:val="1"/>
      <w:tblStyleColBandSize w:val="1"/>
      <w:tblInd w:w="0" w:type="nil"/>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1">
    <w:name w:val="List Table 411"/>
    <w:basedOn w:val="TableNormal"/>
    <w:uiPriority w:val="49"/>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1">
    <w:name w:val="List Table 4 - Accent 111"/>
    <w:basedOn w:val="TableNormal"/>
    <w:uiPriority w:val="49"/>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211">
    <w:name w:val="List Table 4 - Accent 211"/>
    <w:basedOn w:val="TableNormal"/>
    <w:uiPriority w:val="49"/>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1">
    <w:name w:val="List Table 4 - Accent 311"/>
    <w:basedOn w:val="TableNormal"/>
    <w:uiPriority w:val="49"/>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1">
    <w:name w:val="List Table 4 - Accent 411"/>
    <w:basedOn w:val="TableNormal"/>
    <w:uiPriority w:val="49"/>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1">
    <w:name w:val="List Table 4 - Accent 511"/>
    <w:basedOn w:val="TableNormal"/>
    <w:uiPriority w:val="49"/>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611">
    <w:name w:val="List Table 4 - Accent 611"/>
    <w:basedOn w:val="TableNormal"/>
    <w:uiPriority w:val="49"/>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1">
    <w:name w:val="List Table 5 Dark1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1">
    <w:name w:val="List Table 5 Dark - Accent 11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1">
    <w:name w:val="List Table 5 Dark - Accent 21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1">
    <w:name w:val="List Table 5 Dark - Accent 31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1">
    <w:name w:val="List Table 5 Dark - Accent 41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1">
    <w:name w:val="List Table 5 Dark - Accent 51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1">
    <w:name w:val="List Table 5 Dark - Accent 61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1">
    <w:name w:val="List Table 6 Colorful11"/>
    <w:basedOn w:val="TableNormal"/>
    <w:uiPriority w:val="51"/>
    <w:rPr>
      <w:rFonts w:ascii="Calibri" w:eastAsia="Calibri" w:hAnsi="Calibri"/>
      <w:color w:val="000000"/>
      <w:sz w:val="22"/>
      <w:szCs w:val="22"/>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1">
    <w:name w:val="List Table 6 Colorful - Accent 111"/>
    <w:basedOn w:val="TableNormal"/>
    <w:uiPriority w:val="51"/>
    <w:rPr>
      <w:rFonts w:ascii="Calibri" w:eastAsia="Calibri" w:hAnsi="Calibri"/>
      <w:color w:val="2E74B5"/>
      <w:sz w:val="22"/>
      <w:szCs w:val="22"/>
    </w:rPr>
    <w:tblPr>
      <w:tblStyleRowBandSize w:val="1"/>
      <w:tblStyleColBandSize w:val="1"/>
      <w:tblInd w:w="0" w:type="nil"/>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211">
    <w:name w:val="List Table 6 Colorful - Accent 211"/>
    <w:basedOn w:val="TableNormal"/>
    <w:uiPriority w:val="51"/>
    <w:rPr>
      <w:rFonts w:ascii="Calibri" w:eastAsia="Calibri" w:hAnsi="Calibri"/>
      <w:color w:val="C45911"/>
      <w:sz w:val="22"/>
      <w:szCs w:val="22"/>
    </w:rPr>
    <w:tblPr>
      <w:tblStyleRowBandSize w:val="1"/>
      <w:tblStyleColBandSize w:val="1"/>
      <w:tblInd w:w="0" w:type="nil"/>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1">
    <w:name w:val="List Table 6 Colorful - Accent 311"/>
    <w:basedOn w:val="TableNormal"/>
    <w:uiPriority w:val="51"/>
    <w:rPr>
      <w:rFonts w:ascii="Calibri" w:eastAsia="Calibri" w:hAnsi="Calibri"/>
      <w:color w:val="7B7B7B"/>
      <w:sz w:val="22"/>
      <w:szCs w:val="22"/>
    </w:rPr>
    <w:tblPr>
      <w:tblStyleRowBandSize w:val="1"/>
      <w:tblStyleColBandSize w:val="1"/>
      <w:tblInd w:w="0" w:type="nil"/>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1">
    <w:name w:val="List Table 6 Colorful - Accent 411"/>
    <w:basedOn w:val="TableNormal"/>
    <w:uiPriority w:val="51"/>
    <w:rPr>
      <w:rFonts w:ascii="Calibri" w:eastAsia="Calibri" w:hAnsi="Calibri"/>
      <w:color w:val="BF8F00"/>
      <w:sz w:val="22"/>
      <w:szCs w:val="22"/>
    </w:rPr>
    <w:tblPr>
      <w:tblStyleRowBandSize w:val="1"/>
      <w:tblStyleColBandSize w:val="1"/>
      <w:tblInd w:w="0" w:type="nil"/>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1">
    <w:name w:val="List Table 6 Colorful - Accent 511"/>
    <w:basedOn w:val="TableNormal"/>
    <w:uiPriority w:val="51"/>
    <w:rPr>
      <w:rFonts w:ascii="Calibri" w:eastAsia="Calibri" w:hAnsi="Calibri"/>
      <w:color w:val="2F5496"/>
      <w:sz w:val="22"/>
      <w:szCs w:val="22"/>
    </w:rPr>
    <w:tblPr>
      <w:tblStyleRowBandSize w:val="1"/>
      <w:tblStyleColBandSize w:val="1"/>
      <w:tblInd w:w="0" w:type="nil"/>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611">
    <w:name w:val="List Table 6 Colorful - Accent 611"/>
    <w:basedOn w:val="TableNormal"/>
    <w:uiPriority w:val="51"/>
    <w:rPr>
      <w:rFonts w:ascii="Calibri" w:eastAsia="Calibri" w:hAnsi="Calibri"/>
      <w:color w:val="538135"/>
      <w:sz w:val="22"/>
      <w:szCs w:val="22"/>
    </w:rPr>
    <w:tblPr>
      <w:tblStyleRowBandSize w:val="1"/>
      <w:tblStyleColBandSize w:val="1"/>
      <w:tblInd w:w="0" w:type="nil"/>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1">
    <w:name w:val="List Table 7 Colorful11"/>
    <w:basedOn w:val="TableNormal"/>
    <w:uiPriority w:val="52"/>
    <w:rPr>
      <w:rFonts w:ascii="Calibri" w:eastAsia="Calibri" w:hAnsi="Calibri"/>
      <w:color w:val="000000"/>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000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000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1">
    <w:name w:val="List Table 7 Colorful - Accent 111"/>
    <w:basedOn w:val="TableNormal"/>
    <w:uiPriority w:val="52"/>
    <w:rPr>
      <w:rFonts w:ascii="Calibri" w:eastAsia="Calibri" w:hAnsi="Calibri"/>
      <w:color w:val="2E74B5"/>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5B9BD5"/>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5B9BD5"/>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5B9BD5"/>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1">
    <w:name w:val="List Table 7 Colorful - Accent 211"/>
    <w:basedOn w:val="TableNormal"/>
    <w:uiPriority w:val="52"/>
    <w:rPr>
      <w:rFonts w:ascii="Calibri" w:eastAsia="Calibri" w:hAnsi="Calibri"/>
      <w:color w:val="C45911"/>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ED7D31"/>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ED7D31"/>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ED7D31"/>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1">
    <w:name w:val="List Table 7 Colorful - Accent 311"/>
    <w:basedOn w:val="TableNormal"/>
    <w:uiPriority w:val="52"/>
    <w:rPr>
      <w:rFonts w:ascii="Calibri" w:eastAsia="Calibri" w:hAnsi="Calibri"/>
      <w:color w:val="7B7B7B"/>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A5A5A5"/>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A5A5A5"/>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A5A5A5"/>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1">
    <w:name w:val="List Table 7 Colorful - Accent 411"/>
    <w:basedOn w:val="TableNormal"/>
    <w:uiPriority w:val="52"/>
    <w:rPr>
      <w:rFonts w:ascii="Calibri" w:eastAsia="Calibri" w:hAnsi="Calibri"/>
      <w:color w:val="BF8F00"/>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FFC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FFC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FFC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1">
    <w:name w:val="List Table 7 Colorful - Accent 511"/>
    <w:basedOn w:val="TableNormal"/>
    <w:uiPriority w:val="52"/>
    <w:rPr>
      <w:rFonts w:ascii="Calibri" w:eastAsia="Calibri" w:hAnsi="Calibri"/>
      <w:color w:val="2F5496"/>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4472C4"/>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4472C4"/>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4472C4"/>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1">
    <w:name w:val="List Table 7 Colorful - Accent 611"/>
    <w:basedOn w:val="TableNormal"/>
    <w:uiPriority w:val="52"/>
    <w:rPr>
      <w:rFonts w:ascii="Calibri" w:eastAsia="Calibri" w:hAnsi="Calibri"/>
      <w:color w:val="538135"/>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70AD47"/>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0AD47"/>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0AD47"/>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1">
    <w:name w:val="Medium Grid 111"/>
    <w:basedOn w:val="TableNormal"/>
    <w:uiPriority w:val="67"/>
    <w:rPr>
      <w:rFonts w:ascii="Calibri" w:eastAsia="Calibri" w:hAnsi="Calibri"/>
      <w:sz w:val="22"/>
      <w:szCs w:val="22"/>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1">
    <w:name w:val="Medium Grid 1 - Accent 111"/>
    <w:basedOn w:val="TableNormal"/>
    <w:uiPriority w:val="67"/>
    <w:rPr>
      <w:rFonts w:ascii="Calibri" w:eastAsia="Calibri" w:hAnsi="Calibri"/>
      <w:sz w:val="22"/>
      <w:szCs w:val="22"/>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211">
    <w:name w:val="Medium Grid 1 - Accent 211"/>
    <w:basedOn w:val="TableNormal"/>
    <w:uiPriority w:val="67"/>
    <w:rPr>
      <w:rFonts w:ascii="Calibri" w:eastAsia="Calibri" w:hAnsi="Calibri"/>
      <w:sz w:val="22"/>
      <w:szCs w:val="22"/>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1">
    <w:name w:val="Medium Grid 1 - Accent 311"/>
    <w:basedOn w:val="TableNormal"/>
    <w:uiPriority w:val="67"/>
    <w:rPr>
      <w:rFonts w:ascii="Calibri" w:eastAsia="Calibri" w:hAnsi="Calibri"/>
      <w:sz w:val="22"/>
      <w:szCs w:val="22"/>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1">
    <w:name w:val="Medium Grid 1 - Accent 411"/>
    <w:basedOn w:val="TableNormal"/>
    <w:uiPriority w:val="67"/>
    <w:rPr>
      <w:rFonts w:ascii="Calibri" w:eastAsia="Calibri" w:hAnsi="Calibri"/>
      <w:sz w:val="22"/>
      <w:szCs w:val="22"/>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1">
    <w:name w:val="Medium Grid 1 - Accent 511"/>
    <w:basedOn w:val="TableNormal"/>
    <w:uiPriority w:val="67"/>
    <w:rPr>
      <w:rFonts w:ascii="Calibri" w:eastAsia="Calibri" w:hAnsi="Calibri"/>
      <w:sz w:val="22"/>
      <w:szCs w:val="22"/>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611">
    <w:name w:val="Medium Grid 1 - Accent 611"/>
    <w:basedOn w:val="TableNormal"/>
    <w:uiPriority w:val="67"/>
    <w:rPr>
      <w:rFonts w:ascii="Calibri" w:eastAsia="Calibri" w:hAnsi="Calibri"/>
      <w:sz w:val="22"/>
      <w:szCs w:val="22"/>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1">
    <w:name w:val="Medium Grid 211"/>
    <w:basedOn w:val="TableNormal"/>
    <w:uiPriority w:val="68"/>
    <w:rPr>
      <w:rFonts w:ascii="Calibri" w:hAnsi="Calibri"/>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1">
    <w:name w:val="Medium Grid 2 - Accent 111"/>
    <w:basedOn w:val="TableNormal"/>
    <w:uiPriority w:val="68"/>
    <w:rPr>
      <w:rFonts w:ascii="Calibri" w:hAnsi="Calibri"/>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211">
    <w:name w:val="Medium Grid 2 - Accent 211"/>
    <w:basedOn w:val="TableNormal"/>
    <w:uiPriority w:val="68"/>
    <w:rPr>
      <w:rFonts w:ascii="Calibri" w:hAnsi="Calibri"/>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1">
    <w:name w:val="Medium Grid 2 - Accent 311"/>
    <w:basedOn w:val="TableNormal"/>
    <w:uiPriority w:val="68"/>
    <w:rPr>
      <w:rFonts w:ascii="Calibri" w:hAnsi="Calibri"/>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1">
    <w:name w:val="Medium Grid 2 - Accent 411"/>
    <w:basedOn w:val="TableNormal"/>
    <w:uiPriority w:val="68"/>
    <w:rPr>
      <w:rFonts w:ascii="Calibri" w:hAnsi="Calibri"/>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1">
    <w:name w:val="Medium Grid 2 - Accent 511"/>
    <w:basedOn w:val="TableNormal"/>
    <w:uiPriority w:val="68"/>
    <w:rPr>
      <w:rFonts w:ascii="Calibri" w:hAnsi="Calibri"/>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611">
    <w:name w:val="Medium Grid 2 - Accent 611"/>
    <w:basedOn w:val="TableNormal"/>
    <w:uiPriority w:val="68"/>
    <w:rPr>
      <w:rFonts w:ascii="Calibri" w:hAnsi="Calibri"/>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1">
    <w:name w:val="Medium Grid 31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1">
    <w:name w:val="Medium Grid 3 - Accent 11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211">
    <w:name w:val="Medium Grid 3 - Accent 21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1">
    <w:name w:val="Medium Grid 3 - Accent 31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1">
    <w:name w:val="Medium Grid 3 - Accent 41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1">
    <w:name w:val="Medium Grid 3 - Accent 51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611">
    <w:name w:val="Medium Grid 3 - Accent 61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1">
    <w:name w:val="Medium List 11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000000"/>
        <w:bottom w:val="single" w:sz="8" w:space="0" w:color="000000"/>
      </w:tblBorders>
    </w:tblPr>
    <w:tblStylePr w:type="firstRow">
      <w:rPr>
        <w:rFonts w:ascii="Times New Roman" w:eastAsia="Times New Roman" w:hAnsi="Times New Roman"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
    <w:name w:val="Medium List 1 - Accent 11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5B9BD5"/>
        <w:bottom w:val="single" w:sz="8" w:space="0" w:color="5B9BD5"/>
      </w:tblBorders>
    </w:tblPr>
    <w:tblStylePr w:type="firstRow">
      <w:rPr>
        <w:rFonts w:ascii="Times New Roman" w:eastAsia="Times New Roman" w:hAnsi="Times New Roman" w:cs="Times New Roman" w:hint="default"/>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211">
    <w:name w:val="Medium List 1 - Accent 21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ED7D31"/>
        <w:bottom w:val="single" w:sz="8" w:space="0" w:color="ED7D31"/>
      </w:tblBorders>
    </w:tblPr>
    <w:tblStylePr w:type="firstRow">
      <w:rPr>
        <w:rFonts w:ascii="Times New Roman" w:eastAsia="Times New Roman" w:hAnsi="Times New Roman" w:cs="Times New Roman" w:hint="default"/>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1">
    <w:name w:val="Medium List 1 - Accent 31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A5A5A5"/>
        <w:bottom w:val="single" w:sz="8" w:space="0" w:color="A5A5A5"/>
      </w:tblBorders>
    </w:tblPr>
    <w:tblStylePr w:type="firstRow">
      <w:rPr>
        <w:rFonts w:ascii="Times New Roman" w:eastAsia="Times New Roman" w:hAnsi="Times New Roman" w:cs="Times New Roman" w:hint="default"/>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1">
    <w:name w:val="Medium List 1 - Accent 41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FFC000"/>
        <w:bottom w:val="single" w:sz="8" w:space="0" w:color="FFC000"/>
      </w:tblBorders>
    </w:tblPr>
    <w:tblStylePr w:type="firstRow">
      <w:rPr>
        <w:rFonts w:ascii="Times New Roman" w:eastAsia="Times New Roman" w:hAnsi="Times New Roman" w:cs="Times New Roman" w:hint="default"/>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1">
    <w:name w:val="Medium List 1 - Accent 51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4472C4"/>
        <w:bottom w:val="single" w:sz="8" w:space="0" w:color="4472C4"/>
      </w:tblBorders>
    </w:tblPr>
    <w:tblStylePr w:type="firstRow">
      <w:rPr>
        <w:rFonts w:ascii="Times New Roman" w:eastAsia="Times New Roman" w:hAnsi="Times New Roman" w:cs="Times New Roman" w:hint="default"/>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611">
    <w:name w:val="Medium List 1 - Accent 61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70AD47"/>
        <w:bottom w:val="single" w:sz="8" w:space="0" w:color="70AD47"/>
      </w:tblBorders>
    </w:tblPr>
    <w:tblStylePr w:type="firstRow">
      <w:rPr>
        <w:rFonts w:ascii="Times New Roman" w:eastAsia="Times New Roman" w:hAnsi="Times New Roman" w:cs="Times New Roman" w:hint="default"/>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1">
    <w:name w:val="Medium List 211"/>
    <w:basedOn w:val="TableNormal"/>
    <w:uiPriority w:val="66"/>
    <w:rPr>
      <w:rFonts w:ascii="Calibri" w:hAnsi="Calibri"/>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1">
    <w:name w:val="Medium List 2 - Accent 111"/>
    <w:basedOn w:val="TableNormal"/>
    <w:uiPriority w:val="66"/>
    <w:rPr>
      <w:rFonts w:ascii="Calibri" w:hAnsi="Calibri"/>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211">
    <w:name w:val="Medium List 2 - Accent 211"/>
    <w:basedOn w:val="TableNormal"/>
    <w:uiPriority w:val="66"/>
    <w:rPr>
      <w:rFonts w:ascii="Calibri" w:hAnsi="Calibri"/>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1">
    <w:name w:val="Medium List 2 - Accent 311"/>
    <w:basedOn w:val="TableNormal"/>
    <w:uiPriority w:val="66"/>
    <w:rPr>
      <w:rFonts w:ascii="Calibri" w:hAnsi="Calibri"/>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1">
    <w:name w:val="Medium List 2 - Accent 411"/>
    <w:basedOn w:val="TableNormal"/>
    <w:uiPriority w:val="66"/>
    <w:rPr>
      <w:rFonts w:ascii="Calibri" w:hAnsi="Calibri"/>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1">
    <w:name w:val="Medium List 2 - Accent 511"/>
    <w:basedOn w:val="TableNormal"/>
    <w:uiPriority w:val="66"/>
    <w:rPr>
      <w:rFonts w:ascii="Calibri" w:hAnsi="Calibri"/>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611">
    <w:name w:val="Medium List 2 - Accent 611"/>
    <w:basedOn w:val="TableNormal"/>
    <w:uiPriority w:val="66"/>
    <w:rPr>
      <w:rFonts w:ascii="Calibri" w:hAnsi="Calibri"/>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1">
    <w:name w:val="Medium Shading 111"/>
    <w:basedOn w:val="TableNormal"/>
    <w:uiPriority w:val="63"/>
    <w:rPr>
      <w:rFonts w:ascii="Calibri" w:eastAsia="Calibri" w:hAnsi="Calibri"/>
      <w:sz w:val="22"/>
      <w:szCs w:val="22"/>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
    <w:name w:val="Medium Shading 1 - Accent 111"/>
    <w:basedOn w:val="TableNormal"/>
    <w:uiPriority w:val="63"/>
    <w:rPr>
      <w:rFonts w:ascii="Calibri" w:eastAsia="Calibri" w:hAnsi="Calibri"/>
      <w:sz w:val="22"/>
      <w:szCs w:val="22"/>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0" w:beforeAutospacing="0" w:afterLines="0" w:after="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211">
    <w:name w:val="Medium Shading 1 - Accent 211"/>
    <w:basedOn w:val="TableNormal"/>
    <w:uiPriority w:val="63"/>
    <w:rPr>
      <w:rFonts w:ascii="Calibri" w:eastAsia="Calibri" w:hAnsi="Calibri"/>
      <w:sz w:val="22"/>
      <w:szCs w:val="22"/>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0" w:beforeAutospacing="0" w:afterLines="0" w:after="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1">
    <w:name w:val="Medium Shading 1 - Accent 311"/>
    <w:basedOn w:val="TableNormal"/>
    <w:uiPriority w:val="63"/>
    <w:rPr>
      <w:rFonts w:ascii="Calibri" w:eastAsia="Calibri" w:hAnsi="Calibri"/>
      <w:sz w:val="22"/>
      <w:szCs w:val="22"/>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0" w:beforeAutospacing="0" w:afterLines="0" w:after="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1">
    <w:name w:val="Medium Shading 1 - Accent 411"/>
    <w:basedOn w:val="TableNormal"/>
    <w:uiPriority w:val="63"/>
    <w:rPr>
      <w:rFonts w:ascii="Calibri" w:eastAsia="Calibri" w:hAnsi="Calibri"/>
      <w:sz w:val="22"/>
      <w:szCs w:val="22"/>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0" w:beforeAutospacing="0" w:afterLines="0" w:after="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1">
    <w:name w:val="Medium Shading 1 - Accent 511"/>
    <w:basedOn w:val="TableNormal"/>
    <w:uiPriority w:val="63"/>
    <w:rPr>
      <w:rFonts w:ascii="Calibri" w:eastAsia="Calibri" w:hAnsi="Calibri"/>
      <w:sz w:val="22"/>
      <w:szCs w:val="22"/>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611">
    <w:name w:val="Medium Shading 1 - Accent 611"/>
    <w:basedOn w:val="TableNormal"/>
    <w:uiPriority w:val="63"/>
    <w:rPr>
      <w:rFonts w:ascii="Calibri" w:eastAsia="Calibri" w:hAnsi="Calibri"/>
      <w:sz w:val="22"/>
      <w:szCs w:val="22"/>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Lines="0" w:before="0" w:beforeAutospacing="0" w:afterLines="0" w:after="0" w:afterAutospacing="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Lines="0" w:before="0" w:beforeAutospacing="0" w:afterLines="0" w:after="0" w:afterAutospacing="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1">
    <w:name w:val="Medium Shading 21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
    <w:name w:val="Medium Shading 2 - Accent 11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
    <w:name w:val="Medium Shading 2 - Accent 21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
    <w:name w:val="Medium Shading 2 - Accent 31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
    <w:name w:val="Medium Shading 2 - Accent 41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
    <w:name w:val="Medium Shading 2 - Accent 61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111">
    <w:name w:val="Plain Table 111"/>
    <w:basedOn w:val="TableNormal"/>
    <w:uiPriority w:val="41"/>
    <w:rPr>
      <w:rFonts w:ascii="Calibri" w:eastAsia="Calibri" w:hAnsi="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TableNormal"/>
    <w:uiPriority w:val="42"/>
    <w:rPr>
      <w:rFonts w:ascii="Calibri" w:eastAsia="Calibri" w:hAnsi="Calibri"/>
      <w:sz w:val="22"/>
      <w:szCs w:val="22"/>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
    <w:name w:val="Plain Table 311"/>
    <w:basedOn w:val="TableNormal"/>
    <w:uiPriority w:val="43"/>
    <w:rPr>
      <w:rFonts w:ascii="Calibri" w:eastAsia="Calibri" w:hAnsi="Calibri"/>
      <w:sz w:val="22"/>
      <w:szCs w:val="22"/>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Pr>
      <w:rFonts w:ascii="Calibri" w:eastAsia="Calibri" w:hAnsi="Calibri"/>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
    <w:name w:val="Plain Table 511"/>
    <w:basedOn w:val="TableNormal"/>
    <w:uiPriority w:val="45"/>
    <w:rPr>
      <w:rFonts w:ascii="Calibri" w:eastAsia="Calibri" w:hAnsi="Calibri"/>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7F7F7F"/>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F7F7F"/>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1">
    <w:name w:val="Table 3D effects 111"/>
    <w:basedOn w:val="TableNormal"/>
    <w:uiPriority w:val="99"/>
    <w:rPr>
      <w:rFonts w:ascii="Calibri" w:eastAsia="Calibri" w:hAnsi="Calibri"/>
      <w:sz w:val="22"/>
      <w:szCs w:val="22"/>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uiPriority w:val="99"/>
    <w:rPr>
      <w:rFonts w:ascii="Calibri" w:eastAsia="Calibri" w:hAnsi="Calibri"/>
      <w:sz w:val="22"/>
      <w:szCs w:val="22"/>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uiPriority w:val="99"/>
    <w:rPr>
      <w:rFonts w:ascii="Calibri" w:eastAsia="Calibri" w:hAnsi="Calibri"/>
      <w:sz w:val="22"/>
      <w:szCs w:val="22"/>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uiPriority w:val="99"/>
    <w:rPr>
      <w:rFonts w:ascii="Calibri" w:eastAsia="Calibri" w:hAnsi="Calibri"/>
      <w:sz w:val="22"/>
      <w:szCs w:val="22"/>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uiPriority w:val="99"/>
    <w:rPr>
      <w:rFonts w:ascii="Calibri" w:eastAsia="Calibri" w:hAnsi="Calibri"/>
      <w:sz w:val="22"/>
      <w:szCs w:val="22"/>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uiPriority w:val="99"/>
    <w:rPr>
      <w:rFonts w:ascii="Calibri" w:eastAsia="Calibri" w:hAnsi="Calibri"/>
      <w:color w:val="000080"/>
      <w:sz w:val="22"/>
      <w:szCs w:val="22"/>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uiPriority w:val="99"/>
    <w:rPr>
      <w:rFonts w:ascii="Calibri" w:eastAsia="Calibri" w:hAnsi="Calibri"/>
      <w:sz w:val="22"/>
      <w:szCs w:val="22"/>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uiPriority w:val="99"/>
    <w:rPr>
      <w:rFonts w:ascii="Calibri" w:eastAsia="Calibri" w:hAnsi="Calibri"/>
      <w:color w:val="FFFFFF"/>
      <w:sz w:val="22"/>
      <w:szCs w:val="22"/>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uiPriority w:val="99"/>
    <w:rPr>
      <w:rFonts w:ascii="Calibri" w:eastAsia="Calibri" w:hAnsi="Calibri"/>
      <w:sz w:val="22"/>
      <w:szCs w:val="22"/>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uiPriority w:val="99"/>
    <w:rPr>
      <w:rFonts w:ascii="Calibri" w:eastAsia="Calibri" w:hAnsi="Calibri"/>
      <w:sz w:val="22"/>
      <w:szCs w:val="22"/>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uiPriority w:val="99"/>
    <w:rPr>
      <w:rFonts w:ascii="Calibri" w:eastAsia="Calibri" w:hAnsi="Calibri"/>
      <w:b/>
      <w:bCs/>
      <w:sz w:val="22"/>
      <w:szCs w:val="22"/>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uiPriority w:val="99"/>
    <w:rPr>
      <w:rFonts w:ascii="Calibri" w:eastAsia="Calibri" w:hAnsi="Calibri"/>
      <w:b/>
      <w:bCs/>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uiPriority w:val="99"/>
    <w:rPr>
      <w:rFonts w:ascii="Calibri" w:eastAsia="Calibri" w:hAnsi="Calibri"/>
      <w:b/>
      <w:bCs/>
      <w:sz w:val="22"/>
      <w:szCs w:val="22"/>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uiPriority w:val="99"/>
    <w:rPr>
      <w:rFonts w:ascii="Calibri" w:eastAsia="Calibri" w:hAnsi="Calibri"/>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uiPriority w:val="99"/>
    <w:rPr>
      <w:rFonts w:ascii="Calibri" w:eastAsia="Calibri" w:hAnsi="Calibri"/>
      <w:sz w:val="22"/>
      <w:szCs w:val="22"/>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uiPriority w:val="99"/>
    <w:rPr>
      <w:rFonts w:ascii="Calibri" w:eastAsia="Calibri" w:hAnsi="Calibri"/>
      <w:sz w:val="22"/>
      <w:szCs w:val="22"/>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uiPriority w:val="99"/>
    <w:rPr>
      <w:rFonts w:ascii="Calibri" w:eastAsia="Calibri" w:hAnsi="Calibri"/>
      <w:sz w:val="22"/>
      <w:szCs w:val="22"/>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uiPriority w:val="39"/>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uiPriority w:val="99"/>
    <w:rPr>
      <w:rFonts w:ascii="Calibri" w:eastAsia="Calibri" w:hAnsi="Calibri"/>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uiPriority w:val="99"/>
    <w:rPr>
      <w:rFonts w:ascii="Calibri" w:eastAsia="Calibri" w:hAnsi="Calibri"/>
      <w:sz w:val="22"/>
      <w:szCs w:val="22"/>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uiPriority w:val="99"/>
    <w:rPr>
      <w:rFonts w:ascii="Calibri" w:eastAsia="Calibri" w:hAnsi="Calibri"/>
      <w:sz w:val="22"/>
      <w:szCs w:val="22"/>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uiPriority w:val="99"/>
    <w:rPr>
      <w:rFonts w:ascii="Calibri" w:eastAsia="Calibri" w:hAnsi="Calibri"/>
      <w:sz w:val="22"/>
      <w:szCs w:val="22"/>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uiPriority w:val="99"/>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uiPriority w:val="99"/>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uiPriority w:val="99"/>
    <w:rPr>
      <w:rFonts w:ascii="Calibri" w:eastAsia="Calibri" w:hAnsi="Calibri"/>
      <w:b/>
      <w:bCs/>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uiPriority w:val="99"/>
    <w:rPr>
      <w:rFonts w:ascii="Calibri" w:eastAsia="Calibri" w:hAnsi="Calibri"/>
      <w:sz w:val="22"/>
      <w:szCs w:val="22"/>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1">
    <w:name w:val="Table Grid Light11"/>
    <w:basedOn w:val="TableNormal"/>
    <w:uiPriority w:val="40"/>
    <w:rPr>
      <w:rFonts w:ascii="Calibri" w:eastAsia="Calibri" w:hAnsi="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1">
    <w:name w:val="Table List 111"/>
    <w:basedOn w:val="TableNormal"/>
    <w:uiPriority w:val="99"/>
    <w:rPr>
      <w:rFonts w:ascii="Calibri" w:eastAsia="Calibri" w:hAnsi="Calibri"/>
      <w:sz w:val="22"/>
      <w:szCs w:val="22"/>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uiPriority w:val="99"/>
    <w:rPr>
      <w:rFonts w:ascii="Calibri" w:eastAsia="Calibri" w:hAnsi="Calibri"/>
      <w:sz w:val="22"/>
      <w:szCs w:val="22"/>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uiPriority w:val="99"/>
    <w:rPr>
      <w:rFonts w:ascii="Calibri" w:eastAsia="Calibri" w:hAnsi="Calibri"/>
      <w:sz w:val="22"/>
      <w:szCs w:val="22"/>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uiPriority w:val="99"/>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uiPriority w:val="99"/>
    <w:rPr>
      <w:rFonts w:ascii="Calibri" w:eastAsia="Calibri" w:hAnsi="Calibri"/>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uiPriority w:val="99"/>
    <w:rPr>
      <w:rFonts w:ascii="Calibri" w:eastAsia="Calibri" w:hAnsi="Calibri"/>
      <w:sz w:val="22"/>
      <w:szCs w:val="22"/>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uiPriority w:val="99"/>
    <w:rPr>
      <w:rFonts w:ascii="Calibri" w:eastAsia="Calibri" w:hAnsi="Calibri"/>
      <w:sz w:val="22"/>
      <w:szCs w:val="22"/>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uiPriority w:val="99"/>
    <w:rPr>
      <w:rFonts w:ascii="Calibri" w:eastAsia="Calibri" w:hAnsi="Calibri"/>
      <w:sz w:val="22"/>
      <w:szCs w:val="22"/>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uiPriority w:val="99"/>
    <w:rPr>
      <w:rFonts w:ascii="Calibri" w:eastAsia="Calibri" w:hAnsi="Calibri"/>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uiPriority w:val="99"/>
    <w:rPr>
      <w:rFonts w:ascii="Calibri" w:eastAsia="Calibri" w:hAnsi="Calibri"/>
      <w:sz w:val="22"/>
      <w:szCs w:val="22"/>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uiPriority w:val="99"/>
    <w:rPr>
      <w:rFonts w:ascii="Calibri" w:eastAsia="Calibri" w:hAnsi="Calibri"/>
      <w:sz w:val="22"/>
      <w:szCs w:val="22"/>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uiPriority w:val="99"/>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uiPriority w:val="99"/>
    <w:rPr>
      <w:rFonts w:ascii="Calibri" w:eastAsia="Calibri" w:hAnsi="Calibri"/>
      <w:sz w:val="22"/>
      <w:szCs w:val="22"/>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uiPriority w:val="99"/>
    <w:rPr>
      <w:rFonts w:ascii="Calibri" w:eastAsia="Calibri" w:hAnsi="Calibri"/>
      <w:sz w:val="22"/>
      <w:szCs w:val="22"/>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uiPriority w:val="99"/>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uiPriority w:val="99"/>
    <w:rPr>
      <w:rFonts w:ascii="Calibri" w:eastAsia="Calibri" w:hAnsi="Calibri"/>
      <w:sz w:val="22"/>
      <w:szCs w:val="22"/>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uiPriority w:val="99"/>
    <w:rPr>
      <w:rFonts w:ascii="Calibri" w:eastAsia="Calibri" w:hAnsi="Calibri"/>
      <w:sz w:val="22"/>
      <w:szCs w:val="22"/>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uiPriority w:val="99"/>
    <w:rPr>
      <w:rFonts w:ascii="Calibri" w:eastAsia="Calibri" w:hAnsi="Calibri"/>
      <w:sz w:val="22"/>
      <w:szCs w:val="22"/>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olorfulGrid2">
    <w:name w:val="Colorful Grid2"/>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22">
    <w:name w:val="Colorful Grid - Accent 22"/>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2">
    <w:name w:val="Colorful Grid - Accent 32"/>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2">
    <w:name w:val="Colorful Grid - Accent 42"/>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2">
    <w:name w:val="Colorful Grid - Accent 52"/>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62">
    <w:name w:val="Colorful Grid - Accent 62"/>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2">
    <w:name w:val="Colorful List2"/>
    <w:basedOn w:val="TableNormal"/>
    <w:uiPriority w:val="72"/>
    <w:rPr>
      <w:rFonts w:ascii="Calibri" w:eastAsia="Calibri" w:hAnsi="Calibri"/>
      <w:color w:val="000000"/>
      <w:sz w:val="22"/>
      <w:szCs w:val="22"/>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uiPriority w:val="72"/>
    <w:rPr>
      <w:rFonts w:ascii="Calibri" w:eastAsia="Calibri" w:hAnsi="Calibri"/>
      <w:color w:val="000000"/>
      <w:sz w:val="22"/>
      <w:szCs w:val="22"/>
    </w:rPr>
    <w:tblPr>
      <w:tblStyleRowBandSize w:val="1"/>
      <w:tblStyleColBandSize w:val="1"/>
      <w:tblInd w:w="0" w:type="nil"/>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22">
    <w:name w:val="Colorful List - Accent 22"/>
    <w:basedOn w:val="TableNormal"/>
    <w:uiPriority w:val="72"/>
    <w:rPr>
      <w:rFonts w:ascii="Calibri" w:eastAsia="Calibri" w:hAnsi="Calibri"/>
      <w:color w:val="000000"/>
      <w:sz w:val="22"/>
      <w:szCs w:val="22"/>
    </w:rPr>
    <w:tblPr>
      <w:tblStyleRowBandSize w:val="1"/>
      <w:tblStyleColBandSize w:val="1"/>
      <w:tblInd w:w="0" w:type="nil"/>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2">
    <w:name w:val="Colorful List - Accent 32"/>
    <w:basedOn w:val="TableNormal"/>
    <w:uiPriority w:val="72"/>
    <w:rPr>
      <w:rFonts w:ascii="Calibri" w:eastAsia="Calibri" w:hAnsi="Calibri"/>
      <w:color w:val="000000"/>
      <w:sz w:val="22"/>
      <w:szCs w:val="22"/>
    </w:rPr>
    <w:tblPr>
      <w:tblStyleRowBandSize w:val="1"/>
      <w:tblStyleColBandSize w:val="1"/>
      <w:tblInd w:w="0" w:type="nil"/>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2">
    <w:name w:val="Colorful List - Accent 42"/>
    <w:basedOn w:val="TableNormal"/>
    <w:uiPriority w:val="72"/>
    <w:rPr>
      <w:rFonts w:ascii="Calibri" w:eastAsia="Calibri" w:hAnsi="Calibri"/>
      <w:color w:val="000000"/>
      <w:sz w:val="22"/>
      <w:szCs w:val="22"/>
    </w:rPr>
    <w:tblPr>
      <w:tblStyleRowBandSize w:val="1"/>
      <w:tblStyleColBandSize w:val="1"/>
      <w:tblInd w:w="0" w:type="nil"/>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2">
    <w:name w:val="Colorful List - Accent 52"/>
    <w:basedOn w:val="TableNormal"/>
    <w:uiPriority w:val="72"/>
    <w:rPr>
      <w:rFonts w:ascii="Calibri" w:eastAsia="Calibri" w:hAnsi="Calibri"/>
      <w:color w:val="000000"/>
      <w:sz w:val="22"/>
      <w:szCs w:val="22"/>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62">
    <w:name w:val="Colorful List - Accent 62"/>
    <w:basedOn w:val="TableNormal"/>
    <w:uiPriority w:val="72"/>
    <w:rPr>
      <w:rFonts w:ascii="Calibri" w:eastAsia="Calibri" w:hAnsi="Calibri"/>
      <w:color w:val="000000"/>
      <w:sz w:val="22"/>
      <w:szCs w:val="22"/>
    </w:rPr>
    <w:tblPr>
      <w:tblStyleRowBandSize w:val="1"/>
      <w:tblStyleColBandSize w:val="1"/>
      <w:tblInd w:w="0" w:type="nil"/>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2">
    <w:name w:val="Colorful Shading2"/>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2">
    <w:name w:val="Colorful Shading - Accent 42"/>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2">
    <w:name w:val="Dark List2"/>
    <w:basedOn w:val="TableNormal"/>
    <w:uiPriority w:val="70"/>
    <w:rPr>
      <w:rFonts w:ascii="Calibri" w:eastAsia="Calibri" w:hAnsi="Calibri"/>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uiPriority w:val="70"/>
    <w:rPr>
      <w:rFonts w:ascii="Calibri" w:eastAsia="Calibri" w:hAnsi="Calibri"/>
      <w:color w:val="FFFFFF"/>
      <w:sz w:val="22"/>
      <w:szCs w:val="22"/>
    </w:rPr>
    <w:tblPr>
      <w:tblStyleRowBandSize w:val="1"/>
      <w:tblStyleColBandSize w:val="1"/>
      <w:tblInd w:w="0" w:type="nil"/>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22">
    <w:name w:val="Dark List - Accent 22"/>
    <w:basedOn w:val="TableNormal"/>
    <w:uiPriority w:val="70"/>
    <w:rPr>
      <w:rFonts w:ascii="Calibri" w:eastAsia="Calibri" w:hAnsi="Calibri"/>
      <w:color w:val="FFFFFF"/>
      <w:sz w:val="22"/>
      <w:szCs w:val="22"/>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2">
    <w:name w:val="Dark List - Accent 32"/>
    <w:basedOn w:val="TableNormal"/>
    <w:uiPriority w:val="70"/>
    <w:rPr>
      <w:rFonts w:ascii="Calibri" w:eastAsia="Calibri" w:hAnsi="Calibri"/>
      <w:color w:val="FFFFFF"/>
      <w:sz w:val="22"/>
      <w:szCs w:val="22"/>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2">
    <w:name w:val="Dark List - Accent 42"/>
    <w:basedOn w:val="TableNormal"/>
    <w:uiPriority w:val="70"/>
    <w:rPr>
      <w:rFonts w:ascii="Calibri" w:eastAsia="Calibri" w:hAnsi="Calibri"/>
      <w:color w:val="FFFFFF"/>
      <w:sz w:val="22"/>
      <w:szCs w:val="22"/>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2">
    <w:name w:val="Dark List - Accent 52"/>
    <w:basedOn w:val="TableNormal"/>
    <w:uiPriority w:val="70"/>
    <w:rPr>
      <w:rFonts w:ascii="Calibri" w:eastAsia="Calibri" w:hAnsi="Calibri"/>
      <w:color w:val="FFFFFF"/>
      <w:sz w:val="22"/>
      <w:szCs w:val="22"/>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62">
    <w:name w:val="Dark List - Accent 62"/>
    <w:basedOn w:val="TableNormal"/>
    <w:uiPriority w:val="70"/>
    <w:rPr>
      <w:rFonts w:ascii="Calibri" w:eastAsia="Calibri" w:hAnsi="Calibri"/>
      <w:color w:val="FFFFFF"/>
      <w:sz w:val="22"/>
      <w:szCs w:val="22"/>
    </w:rPr>
    <w:tblPr>
      <w:tblStyleRowBandSize w:val="1"/>
      <w:tblStyleColBandSize w:val="1"/>
      <w:tblInd w:w="0" w:type="nil"/>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2">
    <w:name w:val="Grid Table 1 Light2"/>
    <w:basedOn w:val="TableNormal"/>
    <w:uiPriority w:val="46"/>
    <w:rPr>
      <w:rFonts w:ascii="Calibri" w:eastAsia="Calibri" w:hAnsi="Calibri"/>
      <w:sz w:val="22"/>
      <w:szCs w:val="22"/>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Pr>
      <w:rFonts w:ascii="Calibri" w:eastAsia="Calibri" w:hAnsi="Calibri"/>
      <w:sz w:val="22"/>
      <w:szCs w:val="22"/>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Pr>
      <w:rFonts w:ascii="Calibri" w:eastAsia="Calibri" w:hAnsi="Calibri"/>
      <w:sz w:val="22"/>
      <w:szCs w:val="22"/>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Pr>
      <w:rFonts w:ascii="Calibri" w:eastAsia="Calibri" w:hAnsi="Calibri"/>
      <w:sz w:val="22"/>
      <w:szCs w:val="22"/>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46"/>
    <w:rPr>
      <w:rFonts w:ascii="Calibri" w:eastAsia="Calibri" w:hAnsi="Calibri"/>
      <w:sz w:val="22"/>
      <w:szCs w:val="22"/>
    </w:rPr>
    <w:tblPr>
      <w:tblStyleRowBandSize w:val="1"/>
      <w:tblStyleColBandSize w:val="1"/>
      <w:tblInd w:w="0" w:type="nil"/>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rPr>
      <w:rFonts w:ascii="Calibri" w:eastAsia="Calibri" w:hAnsi="Calibri"/>
      <w:sz w:val="22"/>
      <w:szCs w:val="22"/>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rPr>
      <w:rFonts w:ascii="Calibri" w:eastAsia="Calibri" w:hAnsi="Calibri"/>
      <w:sz w:val="22"/>
      <w:szCs w:val="22"/>
    </w:rPr>
    <w:tblPr>
      <w:tblStyleRowBandSize w:val="1"/>
      <w:tblStyleColBandSize w:val="1"/>
      <w:tblInd w:w="0" w:type="nil"/>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2">
    <w:name w:val="Grid Table 22"/>
    <w:basedOn w:val="TableNormal"/>
    <w:uiPriority w:val="47"/>
    <w:rPr>
      <w:rFonts w:ascii="Calibri" w:eastAsia="Calibri" w:hAnsi="Calibri"/>
      <w:sz w:val="22"/>
      <w:szCs w:val="22"/>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2">
    <w:name w:val="Grid Table 2 - Accent 12"/>
    <w:basedOn w:val="TableNormal"/>
    <w:uiPriority w:val="47"/>
    <w:rPr>
      <w:rFonts w:ascii="Calibri" w:eastAsia="Calibri" w:hAnsi="Calibri"/>
      <w:sz w:val="22"/>
      <w:szCs w:val="22"/>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22">
    <w:name w:val="Grid Table 2 - Accent 22"/>
    <w:basedOn w:val="TableNormal"/>
    <w:uiPriority w:val="47"/>
    <w:rPr>
      <w:rFonts w:ascii="Calibri" w:eastAsia="Calibri" w:hAnsi="Calibri"/>
      <w:sz w:val="22"/>
      <w:szCs w:val="22"/>
    </w:rPr>
    <w:tblPr>
      <w:tblStyleRowBandSize w:val="1"/>
      <w:tblStyleColBandSize w:val="1"/>
      <w:tblInd w:w="0" w:type="nil"/>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2">
    <w:name w:val="Grid Table 2 - Accent 32"/>
    <w:basedOn w:val="TableNormal"/>
    <w:uiPriority w:val="47"/>
    <w:rPr>
      <w:rFonts w:ascii="Calibri" w:eastAsia="Calibri" w:hAnsi="Calibri"/>
      <w:sz w:val="22"/>
      <w:szCs w:val="22"/>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2">
    <w:name w:val="Grid Table 2 - Accent 42"/>
    <w:basedOn w:val="TableNormal"/>
    <w:uiPriority w:val="47"/>
    <w:rPr>
      <w:rFonts w:ascii="Calibri" w:eastAsia="Calibri" w:hAnsi="Calibri"/>
      <w:sz w:val="22"/>
      <w:szCs w:val="22"/>
    </w:rPr>
    <w:tblPr>
      <w:tblStyleRowBandSize w:val="1"/>
      <w:tblStyleColBandSize w:val="1"/>
      <w:tblInd w:w="0" w:type="nil"/>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2">
    <w:name w:val="Grid Table 2 - Accent 52"/>
    <w:basedOn w:val="TableNormal"/>
    <w:uiPriority w:val="47"/>
    <w:rPr>
      <w:rFonts w:ascii="Calibri" w:eastAsia="Calibri" w:hAnsi="Calibri"/>
      <w:sz w:val="22"/>
      <w:szCs w:val="22"/>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62">
    <w:name w:val="Grid Table 2 - Accent 62"/>
    <w:basedOn w:val="TableNormal"/>
    <w:uiPriority w:val="47"/>
    <w:rPr>
      <w:rFonts w:ascii="Calibri" w:eastAsia="Calibri" w:hAnsi="Calibri"/>
      <w:sz w:val="22"/>
      <w:szCs w:val="22"/>
    </w:rPr>
    <w:tblPr>
      <w:tblStyleRowBandSize w:val="1"/>
      <w:tblStyleColBandSize w:val="1"/>
      <w:tblInd w:w="0" w:type="nil"/>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2">
    <w:name w:val="Grid Table 32"/>
    <w:basedOn w:val="TableNormal"/>
    <w:uiPriority w:val="48"/>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2">
    <w:name w:val="Grid Table 3 - Accent 12"/>
    <w:basedOn w:val="TableNormal"/>
    <w:uiPriority w:val="48"/>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22">
    <w:name w:val="Grid Table 3 - Accent 22"/>
    <w:basedOn w:val="TableNormal"/>
    <w:uiPriority w:val="48"/>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2">
    <w:name w:val="Grid Table 3 - Accent 32"/>
    <w:basedOn w:val="TableNormal"/>
    <w:uiPriority w:val="48"/>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2">
    <w:name w:val="Grid Table 3 - Accent 42"/>
    <w:basedOn w:val="TableNormal"/>
    <w:uiPriority w:val="48"/>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2">
    <w:name w:val="Grid Table 3 - Accent 52"/>
    <w:basedOn w:val="TableNormal"/>
    <w:uiPriority w:val="48"/>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62">
    <w:name w:val="Grid Table 3 - Accent 62"/>
    <w:basedOn w:val="TableNormal"/>
    <w:uiPriority w:val="48"/>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2">
    <w:name w:val="Grid Table 42"/>
    <w:basedOn w:val="TableNormal"/>
    <w:uiPriority w:val="49"/>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2">
    <w:name w:val="Grid Table 4 - Accent 12"/>
    <w:basedOn w:val="TableNormal"/>
    <w:uiPriority w:val="49"/>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2">
    <w:name w:val="Grid Table 4 - Accent 22"/>
    <w:basedOn w:val="TableNormal"/>
    <w:uiPriority w:val="49"/>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2">
    <w:name w:val="Grid Table 4 - Accent 32"/>
    <w:basedOn w:val="TableNormal"/>
    <w:uiPriority w:val="49"/>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2">
    <w:name w:val="Grid Table 4 - Accent 42"/>
    <w:basedOn w:val="TableNormal"/>
    <w:uiPriority w:val="49"/>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2">
    <w:name w:val="Grid Table 4 - Accent 52"/>
    <w:basedOn w:val="TableNormal"/>
    <w:uiPriority w:val="49"/>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2">
    <w:name w:val="Grid Table 4 - Accent 62"/>
    <w:basedOn w:val="TableNormal"/>
    <w:uiPriority w:val="49"/>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2">
    <w:name w:val="Grid Table 5 Dark2"/>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2">
    <w:name w:val="Grid Table 5 Dark - Accent 12"/>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22">
    <w:name w:val="Grid Table 5 Dark - Accent 22"/>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2">
    <w:name w:val="Grid Table 5 Dark - Accent 32"/>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2">
    <w:name w:val="Grid Table 5 Dark - Accent 42"/>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2">
    <w:name w:val="Grid Table 5 Dark - Accent 52"/>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62">
    <w:name w:val="Grid Table 5 Dark - Accent 62"/>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2">
    <w:name w:val="Grid Table 6 Colorful2"/>
    <w:basedOn w:val="TableNormal"/>
    <w:uiPriority w:val="51"/>
    <w:rPr>
      <w:rFonts w:ascii="Calibri" w:eastAsia="Calibri" w:hAnsi="Calibri"/>
      <w:color w:val="000000"/>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2">
    <w:name w:val="Grid Table 6 Colorful - Accent 12"/>
    <w:basedOn w:val="TableNormal"/>
    <w:uiPriority w:val="51"/>
    <w:rPr>
      <w:rFonts w:ascii="Calibri" w:eastAsia="Calibri" w:hAnsi="Calibri"/>
      <w:color w:val="2E74B5"/>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22">
    <w:name w:val="Grid Table 6 Colorful - Accent 22"/>
    <w:basedOn w:val="TableNormal"/>
    <w:uiPriority w:val="51"/>
    <w:rPr>
      <w:rFonts w:ascii="Calibri" w:eastAsia="Calibri" w:hAnsi="Calibri"/>
      <w:color w:val="C45911"/>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2">
    <w:name w:val="Grid Table 6 Colorful - Accent 32"/>
    <w:basedOn w:val="TableNormal"/>
    <w:uiPriority w:val="51"/>
    <w:rPr>
      <w:rFonts w:ascii="Calibri" w:eastAsia="Calibri" w:hAnsi="Calibri"/>
      <w:color w:val="7B7B7B"/>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2">
    <w:name w:val="Grid Table 6 Colorful - Accent 42"/>
    <w:basedOn w:val="TableNormal"/>
    <w:uiPriority w:val="51"/>
    <w:rPr>
      <w:rFonts w:ascii="Calibri" w:eastAsia="Calibri" w:hAnsi="Calibri"/>
      <w:color w:val="BF8F00"/>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2">
    <w:name w:val="Grid Table 6 Colorful - Accent 52"/>
    <w:basedOn w:val="TableNormal"/>
    <w:uiPriority w:val="51"/>
    <w:rPr>
      <w:rFonts w:ascii="Calibri" w:eastAsia="Calibri" w:hAnsi="Calibri"/>
      <w:color w:val="2F5496"/>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62">
    <w:name w:val="Grid Table 6 Colorful - Accent 62"/>
    <w:basedOn w:val="TableNormal"/>
    <w:uiPriority w:val="51"/>
    <w:rPr>
      <w:rFonts w:ascii="Calibri" w:eastAsia="Calibri" w:hAnsi="Calibri"/>
      <w:color w:val="538135"/>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2">
    <w:name w:val="Grid Table 7 Colorful2"/>
    <w:basedOn w:val="TableNormal"/>
    <w:uiPriority w:val="52"/>
    <w:rPr>
      <w:rFonts w:ascii="Calibri" w:eastAsia="Calibri" w:hAnsi="Calibri"/>
      <w:color w:val="000000"/>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2">
    <w:name w:val="Grid Table 7 Colorful - Accent 12"/>
    <w:basedOn w:val="TableNormal"/>
    <w:uiPriority w:val="52"/>
    <w:rPr>
      <w:rFonts w:ascii="Calibri" w:eastAsia="Calibri" w:hAnsi="Calibri"/>
      <w:color w:val="2E74B5"/>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22">
    <w:name w:val="Grid Table 7 Colorful - Accent 22"/>
    <w:basedOn w:val="TableNormal"/>
    <w:uiPriority w:val="52"/>
    <w:rPr>
      <w:rFonts w:ascii="Calibri" w:eastAsia="Calibri" w:hAnsi="Calibri"/>
      <w:color w:val="C45911"/>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2">
    <w:name w:val="Grid Table 7 Colorful - Accent 32"/>
    <w:basedOn w:val="TableNormal"/>
    <w:uiPriority w:val="52"/>
    <w:rPr>
      <w:rFonts w:ascii="Calibri" w:eastAsia="Calibri" w:hAnsi="Calibri"/>
      <w:color w:val="7B7B7B"/>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2">
    <w:name w:val="Grid Table 7 Colorful - Accent 42"/>
    <w:basedOn w:val="TableNormal"/>
    <w:uiPriority w:val="52"/>
    <w:rPr>
      <w:rFonts w:ascii="Calibri" w:eastAsia="Calibri" w:hAnsi="Calibri"/>
      <w:color w:val="BF8F00"/>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2">
    <w:name w:val="Grid Table 7 Colorful - Accent 52"/>
    <w:basedOn w:val="TableNormal"/>
    <w:uiPriority w:val="52"/>
    <w:rPr>
      <w:rFonts w:ascii="Calibri" w:eastAsia="Calibri" w:hAnsi="Calibri"/>
      <w:color w:val="2F5496"/>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62">
    <w:name w:val="Grid Table 7 Colorful - Accent 62"/>
    <w:basedOn w:val="TableNormal"/>
    <w:uiPriority w:val="52"/>
    <w:rPr>
      <w:rFonts w:ascii="Calibri" w:eastAsia="Calibri" w:hAnsi="Calibri"/>
      <w:color w:val="538135"/>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2">
    <w:name w:val="Light Grid2"/>
    <w:basedOn w:val="TableNormal"/>
    <w:uiPriority w:val="62"/>
    <w:rPr>
      <w:rFonts w:ascii="Calibri" w:eastAsia="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uiPriority w:val="62"/>
    <w:rPr>
      <w:rFonts w:ascii="Calibri" w:eastAsia="Calibri" w:hAnsi="Calibri"/>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2">
    <w:name w:val="Light Grid - Accent 22"/>
    <w:basedOn w:val="TableNormal"/>
    <w:uiPriority w:val="62"/>
    <w:rPr>
      <w:rFonts w:ascii="Calibri" w:eastAsia="Calibri" w:hAnsi="Calibri"/>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2">
    <w:name w:val="Light Grid - Accent 32"/>
    <w:basedOn w:val="TableNormal"/>
    <w:uiPriority w:val="62"/>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2">
    <w:name w:val="Light Grid - Accent 42"/>
    <w:basedOn w:val="TableNormal"/>
    <w:uiPriority w:val="62"/>
    <w:rPr>
      <w:rFonts w:ascii="Calibri" w:eastAsia="Calibri" w:hAnsi="Calibri"/>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2">
    <w:name w:val="Light Grid - Accent 52"/>
    <w:basedOn w:val="TableNormal"/>
    <w:uiPriority w:val="62"/>
    <w:rPr>
      <w:rFonts w:ascii="Calibri" w:eastAsia="Calibri" w:hAnsi="Calibri"/>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62">
    <w:name w:val="Light Grid - Accent 62"/>
    <w:basedOn w:val="TableNormal"/>
    <w:uiPriority w:val="62"/>
    <w:rPr>
      <w:rFonts w:ascii="Calibri" w:eastAsia="Calibri" w:hAnsi="Calibri"/>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2">
    <w:name w:val="Light List2"/>
    <w:basedOn w:val="TableNormal"/>
    <w:uiPriority w:val="61"/>
    <w:rPr>
      <w:rFonts w:ascii="Calibri" w:eastAsia="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uiPriority w:val="61"/>
    <w:rPr>
      <w:rFonts w:ascii="Calibri" w:eastAsia="Calibri" w:hAnsi="Calibri"/>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22">
    <w:name w:val="Light List - Accent 22"/>
    <w:basedOn w:val="TableNormal"/>
    <w:uiPriority w:val="61"/>
    <w:rPr>
      <w:rFonts w:ascii="Calibri" w:eastAsia="Calibri" w:hAnsi="Calibri"/>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pPr>
        <w:spacing w:beforeLines="0" w:before="0" w:beforeAutospacing="0" w:afterLines="0" w:after="0" w:afterAutospacing="0" w:line="240" w:lineRule="auto"/>
      </w:pPr>
      <w:rPr>
        <w:b/>
        <w:bCs/>
        <w:color w:val="FFFFFF"/>
      </w:rPr>
      <w:tblPr/>
      <w:tcPr>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2">
    <w:name w:val="Light List - Accent 32"/>
    <w:basedOn w:val="TableNormal"/>
    <w:uiPriority w:val="61"/>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2">
    <w:name w:val="Light List - Accent 42"/>
    <w:basedOn w:val="TableNormal"/>
    <w:uiPriority w:val="61"/>
    <w:rPr>
      <w:rFonts w:ascii="Calibri" w:eastAsia="Calibri" w:hAnsi="Calibri"/>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pPr>
        <w:spacing w:beforeLines="0" w:before="0" w:beforeAutospacing="0" w:afterLines="0" w:after="0" w:afterAutospacing="0" w:line="240" w:lineRule="auto"/>
      </w:pPr>
      <w:rPr>
        <w:b/>
        <w:bCs/>
        <w:color w:val="FFFFFF"/>
      </w:rPr>
      <w:tblPr/>
      <w:tcPr>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2">
    <w:name w:val="Light List - Accent 52"/>
    <w:basedOn w:val="TableNormal"/>
    <w:uiPriority w:val="61"/>
    <w:rPr>
      <w:rFonts w:ascii="Calibri" w:eastAsia="Calibri" w:hAnsi="Calibri"/>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line="240" w:lineRule="auto"/>
      </w:pPr>
      <w:rPr>
        <w:b/>
        <w:bCs/>
        <w:color w:val="FFFFFF"/>
      </w:rPr>
      <w:tblPr/>
      <w:tcPr>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62">
    <w:name w:val="Light List - Accent 62"/>
    <w:basedOn w:val="TableNormal"/>
    <w:uiPriority w:val="61"/>
    <w:rPr>
      <w:rFonts w:ascii="Calibri" w:eastAsia="Calibri" w:hAnsi="Calibri"/>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pPr>
        <w:spacing w:beforeLines="0" w:before="0" w:beforeAutospacing="0" w:afterLines="0" w:after="0" w:afterAutospacing="0" w:line="240" w:lineRule="auto"/>
      </w:pPr>
      <w:rPr>
        <w:b/>
        <w:bCs/>
        <w:color w:val="FFFFFF"/>
      </w:rPr>
      <w:tblPr/>
      <w:tcPr>
        <w:shd w:val="clear" w:color="auto" w:fill="70AD47"/>
      </w:tcPr>
    </w:tblStylePr>
    <w:tblStylePr w:type="lastRow">
      <w:pPr>
        <w:spacing w:beforeLines="0" w:before="0" w:beforeAutospacing="0" w:afterLines="0" w:after="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2">
    <w:name w:val="Light Shading2"/>
    <w:basedOn w:val="TableNormal"/>
    <w:uiPriority w:val="60"/>
    <w:rPr>
      <w:rFonts w:ascii="Calibri" w:eastAsia="Calibri" w:hAnsi="Calibri"/>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Pr>
      <w:rFonts w:ascii="Calibri" w:eastAsia="Calibri" w:hAnsi="Calibri"/>
      <w:color w:val="2E74B5"/>
      <w:sz w:val="22"/>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22">
    <w:name w:val="Light Shading - Accent 22"/>
    <w:basedOn w:val="TableNormal"/>
    <w:uiPriority w:val="60"/>
    <w:rPr>
      <w:rFonts w:ascii="Calibri" w:eastAsia="Calibri" w:hAnsi="Calibri"/>
      <w:color w:val="C45911"/>
      <w:sz w:val="22"/>
      <w:szCs w:val="22"/>
    </w:rPr>
    <w:tblPr>
      <w:tblStyleRowBandSize w:val="1"/>
      <w:tblStyleColBandSize w:val="1"/>
      <w:tblInd w:w="0" w:type="nil"/>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2">
    <w:name w:val="Light Shading - Accent 32"/>
    <w:basedOn w:val="TableNormal"/>
    <w:uiPriority w:val="60"/>
    <w:rPr>
      <w:rFonts w:ascii="Calibri" w:eastAsia="Calibri" w:hAnsi="Calibri"/>
      <w:color w:val="7B7B7B"/>
      <w:sz w:val="22"/>
      <w:szCs w:val="22"/>
    </w:rPr>
    <w:tblPr>
      <w:tblStyleRowBandSize w:val="1"/>
      <w:tblStyleColBandSize w:val="1"/>
      <w:tblInd w:w="0" w:type="nil"/>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2">
    <w:name w:val="Light Shading - Accent 42"/>
    <w:basedOn w:val="TableNormal"/>
    <w:uiPriority w:val="60"/>
    <w:rPr>
      <w:rFonts w:ascii="Calibri" w:eastAsia="Calibri" w:hAnsi="Calibri"/>
      <w:color w:val="BF8F00"/>
      <w:sz w:val="22"/>
      <w:szCs w:val="22"/>
    </w:rPr>
    <w:tblPr>
      <w:tblStyleRowBandSize w:val="1"/>
      <w:tblStyleColBandSize w:val="1"/>
      <w:tblInd w:w="0" w:type="nil"/>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2">
    <w:name w:val="Light Shading - Accent 52"/>
    <w:basedOn w:val="TableNormal"/>
    <w:uiPriority w:val="60"/>
    <w:rPr>
      <w:rFonts w:ascii="Calibri" w:eastAsia="Calibri" w:hAnsi="Calibri"/>
      <w:color w:val="2F5496"/>
      <w:sz w:val="22"/>
      <w:szCs w:val="22"/>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62">
    <w:name w:val="Light Shading - Accent 62"/>
    <w:basedOn w:val="TableNormal"/>
    <w:uiPriority w:val="60"/>
    <w:rPr>
      <w:rFonts w:ascii="Calibri" w:eastAsia="Calibri" w:hAnsi="Calibri"/>
      <w:color w:val="538135"/>
      <w:sz w:val="22"/>
      <w:szCs w:val="22"/>
    </w:rPr>
    <w:tblPr>
      <w:tblStyleRowBandSize w:val="1"/>
      <w:tblStyleColBandSize w:val="1"/>
      <w:tblInd w:w="0" w:type="nil"/>
      <w:tblBorders>
        <w:top w:val="single" w:sz="8" w:space="0" w:color="70AD47"/>
        <w:bottom w:val="single" w:sz="8" w:space="0" w:color="70AD47"/>
      </w:tblBorders>
    </w:tblPr>
    <w:tblStylePr w:type="firstRow">
      <w:pPr>
        <w:spacing w:beforeLines="0" w:before="0" w:beforeAutospacing="0" w:afterLines="0" w:after="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2">
    <w:name w:val="List Table 1 Light2"/>
    <w:basedOn w:val="TableNormal"/>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2">
    <w:name w:val="List Table 1 Light - Accent 12"/>
    <w:basedOn w:val="TableNormal"/>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22">
    <w:name w:val="List Table 1 Light - Accent 22"/>
    <w:basedOn w:val="TableNormal"/>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2">
    <w:name w:val="List Table 1 Light - Accent 32"/>
    <w:basedOn w:val="TableNormal"/>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2">
    <w:name w:val="List Table 1 Light - Accent 42"/>
    <w:basedOn w:val="TableNormal"/>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2">
    <w:name w:val="List Table 1 Light - Accent 52"/>
    <w:basedOn w:val="TableNormal"/>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2">
    <w:name w:val="List Table 1 Light - Accent 62"/>
    <w:basedOn w:val="TableNormal"/>
    <w:uiPriority w:val="46"/>
    <w:rPr>
      <w:rFonts w:ascii="Calibri" w:eastAsia="Calibri" w:hAnsi="Calibri"/>
      <w:sz w:val="22"/>
      <w:szCs w:val="22"/>
    </w:rPr>
    <w:tblPr>
      <w:tblStyleRowBandSize w:val="1"/>
      <w:tblStyleColBandSize w:val="1"/>
      <w:tblInd w:w="0" w:type="nil"/>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2">
    <w:name w:val="List Table 22"/>
    <w:basedOn w:val="TableNormal"/>
    <w:uiPriority w:val="47"/>
    <w:rPr>
      <w:rFonts w:ascii="Calibri" w:eastAsia="Calibri" w:hAnsi="Calibri"/>
      <w:sz w:val="22"/>
      <w:szCs w:val="22"/>
    </w:rPr>
    <w:tblPr>
      <w:tblStyleRowBandSize w:val="1"/>
      <w:tblStyleColBandSize w:val="1"/>
      <w:tblInd w:w="0" w:type="nil"/>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2">
    <w:name w:val="List Table 2 - Accent 12"/>
    <w:basedOn w:val="TableNormal"/>
    <w:uiPriority w:val="47"/>
    <w:rPr>
      <w:rFonts w:ascii="Calibri" w:eastAsia="Calibri" w:hAnsi="Calibri"/>
      <w:sz w:val="22"/>
      <w:szCs w:val="22"/>
    </w:rPr>
    <w:tblPr>
      <w:tblStyleRowBandSize w:val="1"/>
      <w:tblStyleColBandSize w:val="1"/>
      <w:tblInd w:w="0" w:type="nil"/>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22">
    <w:name w:val="List Table 2 - Accent 22"/>
    <w:basedOn w:val="TableNormal"/>
    <w:uiPriority w:val="47"/>
    <w:rPr>
      <w:rFonts w:ascii="Calibri" w:eastAsia="Calibri" w:hAnsi="Calibri"/>
      <w:sz w:val="22"/>
      <w:szCs w:val="22"/>
    </w:rPr>
    <w:tblPr>
      <w:tblStyleRowBandSize w:val="1"/>
      <w:tblStyleColBandSize w:val="1"/>
      <w:tblInd w:w="0" w:type="nil"/>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2">
    <w:name w:val="List Table 2 - Accent 32"/>
    <w:basedOn w:val="TableNormal"/>
    <w:uiPriority w:val="47"/>
    <w:rPr>
      <w:rFonts w:ascii="Calibri" w:eastAsia="Calibri" w:hAnsi="Calibri"/>
      <w:sz w:val="22"/>
      <w:szCs w:val="22"/>
    </w:rPr>
    <w:tblPr>
      <w:tblStyleRowBandSize w:val="1"/>
      <w:tblStyleColBandSize w:val="1"/>
      <w:tblInd w:w="0" w:type="nil"/>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2">
    <w:name w:val="List Table 2 - Accent 42"/>
    <w:basedOn w:val="TableNormal"/>
    <w:uiPriority w:val="47"/>
    <w:rPr>
      <w:rFonts w:ascii="Calibri" w:eastAsia="Calibri" w:hAnsi="Calibri"/>
      <w:sz w:val="22"/>
      <w:szCs w:val="22"/>
    </w:rPr>
    <w:tblPr>
      <w:tblStyleRowBandSize w:val="1"/>
      <w:tblStyleColBandSize w:val="1"/>
      <w:tblInd w:w="0" w:type="nil"/>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2">
    <w:name w:val="List Table 2 - Accent 52"/>
    <w:basedOn w:val="TableNormal"/>
    <w:uiPriority w:val="47"/>
    <w:rPr>
      <w:rFonts w:ascii="Calibri" w:eastAsia="Calibri" w:hAnsi="Calibri"/>
      <w:sz w:val="22"/>
      <w:szCs w:val="22"/>
    </w:rPr>
    <w:tblPr>
      <w:tblStyleRowBandSize w:val="1"/>
      <w:tblStyleColBandSize w:val="1"/>
      <w:tblInd w:w="0" w:type="nil"/>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62">
    <w:name w:val="List Table 2 - Accent 62"/>
    <w:basedOn w:val="TableNormal"/>
    <w:uiPriority w:val="47"/>
    <w:rPr>
      <w:rFonts w:ascii="Calibri" w:eastAsia="Calibri" w:hAnsi="Calibri"/>
      <w:sz w:val="22"/>
      <w:szCs w:val="22"/>
    </w:rPr>
    <w:tblPr>
      <w:tblStyleRowBandSize w:val="1"/>
      <w:tblStyleColBandSize w:val="1"/>
      <w:tblInd w:w="0" w:type="nil"/>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2">
    <w:name w:val="List Table 32"/>
    <w:basedOn w:val="TableNormal"/>
    <w:uiPriority w:val="48"/>
    <w:rPr>
      <w:rFonts w:ascii="Calibri" w:eastAsia="Calibri" w:hAnsi="Calibri"/>
      <w:sz w:val="22"/>
      <w:szCs w:val="22"/>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2">
    <w:name w:val="List Table 3 - Accent 12"/>
    <w:basedOn w:val="TableNormal"/>
    <w:uiPriority w:val="48"/>
    <w:rPr>
      <w:rFonts w:ascii="Calibri" w:eastAsia="Calibri" w:hAnsi="Calibri"/>
      <w:sz w:val="22"/>
      <w:szCs w:val="22"/>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22">
    <w:name w:val="List Table 3 - Accent 22"/>
    <w:basedOn w:val="TableNormal"/>
    <w:uiPriority w:val="48"/>
    <w:rPr>
      <w:rFonts w:ascii="Calibri" w:eastAsia="Calibri" w:hAnsi="Calibri"/>
      <w:sz w:val="22"/>
      <w:szCs w:val="22"/>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2">
    <w:name w:val="List Table 3 - Accent 32"/>
    <w:basedOn w:val="TableNormal"/>
    <w:uiPriority w:val="48"/>
    <w:rPr>
      <w:rFonts w:ascii="Calibri" w:eastAsia="Calibri" w:hAnsi="Calibri"/>
      <w:sz w:val="22"/>
      <w:szCs w:val="22"/>
    </w:rPr>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2">
    <w:name w:val="List Table 3 - Accent 42"/>
    <w:basedOn w:val="TableNormal"/>
    <w:uiPriority w:val="48"/>
    <w:rPr>
      <w:rFonts w:ascii="Calibri" w:eastAsia="Calibri" w:hAnsi="Calibri"/>
      <w:sz w:val="22"/>
      <w:szCs w:val="22"/>
    </w:rPr>
    <w:tblPr>
      <w:tblStyleRowBandSize w:val="1"/>
      <w:tblStyleColBandSize w:val="1"/>
      <w:tblInd w:w="0" w:type="nil"/>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2">
    <w:name w:val="List Table 3 - Accent 52"/>
    <w:basedOn w:val="TableNormal"/>
    <w:uiPriority w:val="48"/>
    <w:rPr>
      <w:rFonts w:ascii="Calibri" w:eastAsia="Calibri" w:hAnsi="Calibri"/>
      <w:sz w:val="22"/>
      <w:szCs w:val="22"/>
    </w:rPr>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62">
    <w:name w:val="List Table 3 - Accent 62"/>
    <w:basedOn w:val="TableNormal"/>
    <w:uiPriority w:val="48"/>
    <w:rPr>
      <w:rFonts w:ascii="Calibri" w:eastAsia="Calibri" w:hAnsi="Calibri"/>
      <w:sz w:val="22"/>
      <w:szCs w:val="22"/>
    </w:rPr>
    <w:tblPr>
      <w:tblStyleRowBandSize w:val="1"/>
      <w:tblStyleColBandSize w:val="1"/>
      <w:tblInd w:w="0" w:type="nil"/>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2">
    <w:name w:val="List Table 42"/>
    <w:basedOn w:val="TableNormal"/>
    <w:uiPriority w:val="49"/>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2">
    <w:name w:val="List Table 4 - Accent 12"/>
    <w:basedOn w:val="TableNormal"/>
    <w:uiPriority w:val="49"/>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22">
    <w:name w:val="List Table 4 - Accent 22"/>
    <w:basedOn w:val="TableNormal"/>
    <w:uiPriority w:val="49"/>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2">
    <w:name w:val="List Table 4 - Accent 32"/>
    <w:basedOn w:val="TableNormal"/>
    <w:uiPriority w:val="49"/>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2">
    <w:name w:val="List Table 4 - Accent 42"/>
    <w:basedOn w:val="TableNormal"/>
    <w:uiPriority w:val="49"/>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2">
    <w:name w:val="List Table 4 - Accent 52"/>
    <w:basedOn w:val="TableNormal"/>
    <w:uiPriority w:val="49"/>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62">
    <w:name w:val="List Table 4 - Accent 62"/>
    <w:basedOn w:val="TableNormal"/>
    <w:uiPriority w:val="49"/>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2">
    <w:name w:val="List Table 5 Dark2"/>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51"/>
    <w:rPr>
      <w:rFonts w:ascii="Calibri" w:eastAsia="Calibri" w:hAnsi="Calibri"/>
      <w:color w:val="000000"/>
      <w:sz w:val="22"/>
      <w:szCs w:val="22"/>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2">
    <w:name w:val="List Table 6 Colorful - Accent 12"/>
    <w:basedOn w:val="TableNormal"/>
    <w:uiPriority w:val="51"/>
    <w:rPr>
      <w:rFonts w:ascii="Calibri" w:eastAsia="Calibri" w:hAnsi="Calibri"/>
      <w:color w:val="2E74B5"/>
      <w:sz w:val="22"/>
      <w:szCs w:val="22"/>
    </w:rPr>
    <w:tblPr>
      <w:tblStyleRowBandSize w:val="1"/>
      <w:tblStyleColBandSize w:val="1"/>
      <w:tblInd w:w="0" w:type="nil"/>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22">
    <w:name w:val="List Table 6 Colorful - Accent 22"/>
    <w:basedOn w:val="TableNormal"/>
    <w:uiPriority w:val="51"/>
    <w:rPr>
      <w:rFonts w:ascii="Calibri" w:eastAsia="Calibri" w:hAnsi="Calibri"/>
      <w:color w:val="C45911"/>
      <w:sz w:val="22"/>
      <w:szCs w:val="22"/>
    </w:rPr>
    <w:tblPr>
      <w:tblStyleRowBandSize w:val="1"/>
      <w:tblStyleColBandSize w:val="1"/>
      <w:tblInd w:w="0" w:type="nil"/>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2">
    <w:name w:val="List Table 6 Colorful - Accent 32"/>
    <w:basedOn w:val="TableNormal"/>
    <w:uiPriority w:val="51"/>
    <w:rPr>
      <w:rFonts w:ascii="Calibri" w:eastAsia="Calibri" w:hAnsi="Calibri"/>
      <w:color w:val="7B7B7B"/>
      <w:sz w:val="22"/>
      <w:szCs w:val="22"/>
    </w:rPr>
    <w:tblPr>
      <w:tblStyleRowBandSize w:val="1"/>
      <w:tblStyleColBandSize w:val="1"/>
      <w:tblInd w:w="0" w:type="nil"/>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2">
    <w:name w:val="List Table 6 Colorful - Accent 42"/>
    <w:basedOn w:val="TableNormal"/>
    <w:uiPriority w:val="51"/>
    <w:rPr>
      <w:rFonts w:ascii="Calibri" w:eastAsia="Calibri" w:hAnsi="Calibri"/>
      <w:color w:val="BF8F00"/>
      <w:sz w:val="22"/>
      <w:szCs w:val="22"/>
    </w:rPr>
    <w:tblPr>
      <w:tblStyleRowBandSize w:val="1"/>
      <w:tblStyleColBandSize w:val="1"/>
      <w:tblInd w:w="0" w:type="nil"/>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2">
    <w:name w:val="List Table 6 Colorful - Accent 52"/>
    <w:basedOn w:val="TableNormal"/>
    <w:uiPriority w:val="51"/>
    <w:rPr>
      <w:rFonts w:ascii="Calibri" w:eastAsia="Calibri" w:hAnsi="Calibri"/>
      <w:color w:val="2F5496"/>
      <w:sz w:val="22"/>
      <w:szCs w:val="22"/>
    </w:rPr>
    <w:tblPr>
      <w:tblStyleRowBandSize w:val="1"/>
      <w:tblStyleColBandSize w:val="1"/>
      <w:tblInd w:w="0" w:type="nil"/>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62">
    <w:name w:val="List Table 6 Colorful - Accent 62"/>
    <w:basedOn w:val="TableNormal"/>
    <w:uiPriority w:val="51"/>
    <w:rPr>
      <w:rFonts w:ascii="Calibri" w:eastAsia="Calibri" w:hAnsi="Calibri"/>
      <w:color w:val="538135"/>
      <w:sz w:val="22"/>
      <w:szCs w:val="22"/>
    </w:rPr>
    <w:tblPr>
      <w:tblStyleRowBandSize w:val="1"/>
      <w:tblStyleColBandSize w:val="1"/>
      <w:tblInd w:w="0" w:type="nil"/>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2">
    <w:name w:val="List Table 7 Colorful2"/>
    <w:basedOn w:val="TableNormal"/>
    <w:uiPriority w:val="52"/>
    <w:rPr>
      <w:rFonts w:ascii="Calibri" w:eastAsia="Calibri" w:hAnsi="Calibri"/>
      <w:color w:val="000000"/>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000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000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52"/>
    <w:rPr>
      <w:rFonts w:ascii="Calibri" w:eastAsia="Calibri" w:hAnsi="Calibri"/>
      <w:color w:val="2E74B5"/>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5B9BD5"/>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5B9BD5"/>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5B9BD5"/>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52"/>
    <w:rPr>
      <w:rFonts w:ascii="Calibri" w:eastAsia="Calibri" w:hAnsi="Calibri"/>
      <w:color w:val="C45911"/>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ED7D31"/>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ED7D31"/>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ED7D31"/>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52"/>
    <w:rPr>
      <w:rFonts w:ascii="Calibri" w:eastAsia="Calibri" w:hAnsi="Calibri"/>
      <w:color w:val="7B7B7B"/>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A5A5A5"/>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A5A5A5"/>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A5A5A5"/>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52"/>
    <w:rPr>
      <w:rFonts w:ascii="Calibri" w:eastAsia="Calibri" w:hAnsi="Calibri"/>
      <w:color w:val="BF8F00"/>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FFC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FFC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FFC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52"/>
    <w:rPr>
      <w:rFonts w:ascii="Calibri" w:eastAsia="Calibri" w:hAnsi="Calibri"/>
      <w:color w:val="2F5496"/>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4472C4"/>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4472C4"/>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4472C4"/>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52"/>
    <w:rPr>
      <w:rFonts w:ascii="Calibri" w:eastAsia="Calibri" w:hAnsi="Calibri"/>
      <w:color w:val="538135"/>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70AD47"/>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0AD47"/>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0AD47"/>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2">
    <w:name w:val="Medium Grid 12"/>
    <w:basedOn w:val="TableNormal"/>
    <w:uiPriority w:val="67"/>
    <w:rPr>
      <w:rFonts w:ascii="Calibri" w:eastAsia="Calibri" w:hAnsi="Calibri"/>
      <w:sz w:val="22"/>
      <w:szCs w:val="22"/>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uiPriority w:val="67"/>
    <w:rPr>
      <w:rFonts w:ascii="Calibri" w:eastAsia="Calibri" w:hAnsi="Calibri"/>
      <w:sz w:val="22"/>
      <w:szCs w:val="22"/>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22">
    <w:name w:val="Medium Grid 1 - Accent 22"/>
    <w:basedOn w:val="TableNormal"/>
    <w:uiPriority w:val="67"/>
    <w:rPr>
      <w:rFonts w:ascii="Calibri" w:eastAsia="Calibri" w:hAnsi="Calibri"/>
      <w:sz w:val="22"/>
      <w:szCs w:val="22"/>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2">
    <w:name w:val="Medium Grid 1 - Accent 32"/>
    <w:basedOn w:val="TableNormal"/>
    <w:uiPriority w:val="67"/>
    <w:rPr>
      <w:rFonts w:ascii="Calibri" w:eastAsia="Calibri" w:hAnsi="Calibri"/>
      <w:sz w:val="22"/>
      <w:szCs w:val="22"/>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2">
    <w:name w:val="Medium Grid 1 - Accent 42"/>
    <w:basedOn w:val="TableNormal"/>
    <w:uiPriority w:val="67"/>
    <w:rPr>
      <w:rFonts w:ascii="Calibri" w:eastAsia="Calibri" w:hAnsi="Calibri"/>
      <w:sz w:val="22"/>
      <w:szCs w:val="22"/>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2">
    <w:name w:val="Medium Grid 1 - Accent 52"/>
    <w:basedOn w:val="TableNormal"/>
    <w:uiPriority w:val="67"/>
    <w:rPr>
      <w:rFonts w:ascii="Calibri" w:eastAsia="Calibri" w:hAnsi="Calibri"/>
      <w:sz w:val="22"/>
      <w:szCs w:val="22"/>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62">
    <w:name w:val="Medium Grid 1 - Accent 62"/>
    <w:basedOn w:val="TableNormal"/>
    <w:uiPriority w:val="67"/>
    <w:rPr>
      <w:rFonts w:ascii="Calibri" w:eastAsia="Calibri" w:hAnsi="Calibri"/>
      <w:sz w:val="22"/>
      <w:szCs w:val="22"/>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2">
    <w:name w:val="Medium Grid 22"/>
    <w:basedOn w:val="TableNormal"/>
    <w:uiPriority w:val="68"/>
    <w:rPr>
      <w:rFonts w:ascii="Calibri" w:hAnsi="Calibri"/>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uiPriority w:val="68"/>
    <w:rPr>
      <w:rFonts w:ascii="Calibri" w:hAnsi="Calibri"/>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22">
    <w:name w:val="Medium Grid 2 - Accent 22"/>
    <w:basedOn w:val="TableNormal"/>
    <w:uiPriority w:val="68"/>
    <w:rPr>
      <w:rFonts w:ascii="Calibri" w:hAnsi="Calibri"/>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2">
    <w:name w:val="Medium Grid 2 - Accent 32"/>
    <w:basedOn w:val="TableNormal"/>
    <w:uiPriority w:val="68"/>
    <w:rPr>
      <w:rFonts w:ascii="Calibri" w:hAnsi="Calibri"/>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2">
    <w:name w:val="Medium Grid 2 - Accent 42"/>
    <w:basedOn w:val="TableNormal"/>
    <w:uiPriority w:val="68"/>
    <w:rPr>
      <w:rFonts w:ascii="Calibri" w:hAnsi="Calibri"/>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2">
    <w:name w:val="Medium Grid 2 - Accent 52"/>
    <w:basedOn w:val="TableNormal"/>
    <w:uiPriority w:val="68"/>
    <w:rPr>
      <w:rFonts w:ascii="Calibri" w:hAnsi="Calibri"/>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62">
    <w:name w:val="Medium Grid 2 - Accent 62"/>
    <w:basedOn w:val="TableNormal"/>
    <w:uiPriority w:val="68"/>
    <w:rPr>
      <w:rFonts w:ascii="Calibri" w:hAnsi="Calibri"/>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2">
    <w:name w:val="Medium Grid 32"/>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22">
    <w:name w:val="Medium Grid 3 - Accent 22"/>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2">
    <w:name w:val="Medium Grid 3 - Accent 32"/>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2">
    <w:name w:val="Medium Grid 3 - Accent 42"/>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2">
    <w:name w:val="Medium Grid 3 - Accent 52"/>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62">
    <w:name w:val="Medium Grid 3 - Accent 62"/>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2">
    <w:name w:val="Medium List 12"/>
    <w:basedOn w:val="TableNormal"/>
    <w:uiPriority w:val="65"/>
    <w:rPr>
      <w:rFonts w:ascii="Calibri" w:eastAsia="Calibri" w:hAnsi="Calibri"/>
      <w:color w:val="000000"/>
      <w:sz w:val="22"/>
      <w:szCs w:val="22"/>
    </w:rPr>
    <w:tblPr>
      <w:tblStyleRowBandSize w:val="1"/>
      <w:tblStyleColBandSize w:val="1"/>
      <w:tblInd w:w="0" w:type="nil"/>
      <w:tblBorders>
        <w:top w:val="single" w:sz="8" w:space="0" w:color="000000"/>
        <w:bottom w:val="single" w:sz="8" w:space="0" w:color="000000"/>
      </w:tblBorders>
    </w:tblPr>
    <w:tblStylePr w:type="firstRow">
      <w:rPr>
        <w:rFonts w:ascii="Times New Roman" w:eastAsia="Times New Roman" w:hAnsi="Times New Roman"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uiPriority w:val="65"/>
    <w:rPr>
      <w:rFonts w:ascii="Calibri" w:eastAsia="Calibri" w:hAnsi="Calibri"/>
      <w:color w:val="000000"/>
      <w:sz w:val="22"/>
      <w:szCs w:val="22"/>
    </w:rPr>
    <w:tblPr>
      <w:tblStyleRowBandSize w:val="1"/>
      <w:tblStyleColBandSize w:val="1"/>
      <w:tblInd w:w="0" w:type="nil"/>
      <w:tblBorders>
        <w:top w:val="single" w:sz="8" w:space="0" w:color="5B9BD5"/>
        <w:bottom w:val="single" w:sz="8" w:space="0" w:color="5B9BD5"/>
      </w:tblBorders>
    </w:tblPr>
    <w:tblStylePr w:type="firstRow">
      <w:rPr>
        <w:rFonts w:ascii="Times New Roman" w:eastAsia="Times New Roman" w:hAnsi="Times New Roman" w:cs="Times New Roman" w:hint="default"/>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22">
    <w:name w:val="Medium List 1 - Accent 22"/>
    <w:basedOn w:val="TableNormal"/>
    <w:uiPriority w:val="65"/>
    <w:rPr>
      <w:rFonts w:ascii="Calibri" w:eastAsia="Calibri" w:hAnsi="Calibri"/>
      <w:color w:val="000000"/>
      <w:sz w:val="22"/>
      <w:szCs w:val="22"/>
    </w:rPr>
    <w:tblPr>
      <w:tblStyleRowBandSize w:val="1"/>
      <w:tblStyleColBandSize w:val="1"/>
      <w:tblInd w:w="0" w:type="nil"/>
      <w:tblBorders>
        <w:top w:val="single" w:sz="8" w:space="0" w:color="ED7D31"/>
        <w:bottom w:val="single" w:sz="8" w:space="0" w:color="ED7D31"/>
      </w:tblBorders>
    </w:tblPr>
    <w:tblStylePr w:type="firstRow">
      <w:rPr>
        <w:rFonts w:ascii="Times New Roman" w:eastAsia="Times New Roman" w:hAnsi="Times New Roman" w:cs="Times New Roman" w:hint="default"/>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2">
    <w:name w:val="Medium List 1 - Accent 32"/>
    <w:basedOn w:val="TableNormal"/>
    <w:uiPriority w:val="65"/>
    <w:rPr>
      <w:rFonts w:ascii="Calibri" w:eastAsia="Calibri" w:hAnsi="Calibri"/>
      <w:color w:val="000000"/>
      <w:sz w:val="22"/>
      <w:szCs w:val="22"/>
    </w:rPr>
    <w:tblPr>
      <w:tblStyleRowBandSize w:val="1"/>
      <w:tblStyleColBandSize w:val="1"/>
      <w:tblInd w:w="0" w:type="nil"/>
      <w:tblBorders>
        <w:top w:val="single" w:sz="8" w:space="0" w:color="A5A5A5"/>
        <w:bottom w:val="single" w:sz="8" w:space="0" w:color="A5A5A5"/>
      </w:tblBorders>
    </w:tblPr>
    <w:tblStylePr w:type="firstRow">
      <w:rPr>
        <w:rFonts w:ascii="Times New Roman" w:eastAsia="Times New Roman" w:hAnsi="Times New Roman" w:cs="Times New Roman" w:hint="default"/>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2">
    <w:name w:val="Medium List 1 - Accent 42"/>
    <w:basedOn w:val="TableNormal"/>
    <w:uiPriority w:val="65"/>
    <w:rPr>
      <w:rFonts w:ascii="Calibri" w:eastAsia="Calibri" w:hAnsi="Calibri"/>
      <w:color w:val="000000"/>
      <w:sz w:val="22"/>
      <w:szCs w:val="22"/>
    </w:rPr>
    <w:tblPr>
      <w:tblStyleRowBandSize w:val="1"/>
      <w:tblStyleColBandSize w:val="1"/>
      <w:tblInd w:w="0" w:type="nil"/>
      <w:tblBorders>
        <w:top w:val="single" w:sz="8" w:space="0" w:color="FFC000"/>
        <w:bottom w:val="single" w:sz="8" w:space="0" w:color="FFC000"/>
      </w:tblBorders>
    </w:tblPr>
    <w:tblStylePr w:type="firstRow">
      <w:rPr>
        <w:rFonts w:ascii="Times New Roman" w:eastAsia="Times New Roman" w:hAnsi="Times New Roman" w:cs="Times New Roman" w:hint="default"/>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2">
    <w:name w:val="Medium List 1 - Accent 52"/>
    <w:basedOn w:val="TableNormal"/>
    <w:uiPriority w:val="65"/>
    <w:rPr>
      <w:rFonts w:ascii="Calibri" w:eastAsia="Calibri" w:hAnsi="Calibri"/>
      <w:color w:val="000000"/>
      <w:sz w:val="22"/>
      <w:szCs w:val="22"/>
    </w:rPr>
    <w:tblPr>
      <w:tblStyleRowBandSize w:val="1"/>
      <w:tblStyleColBandSize w:val="1"/>
      <w:tblInd w:w="0" w:type="nil"/>
      <w:tblBorders>
        <w:top w:val="single" w:sz="8" w:space="0" w:color="4472C4"/>
        <w:bottom w:val="single" w:sz="8" w:space="0" w:color="4472C4"/>
      </w:tblBorders>
    </w:tblPr>
    <w:tblStylePr w:type="firstRow">
      <w:rPr>
        <w:rFonts w:ascii="Times New Roman" w:eastAsia="Times New Roman" w:hAnsi="Times New Roman" w:cs="Times New Roman" w:hint="default"/>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62">
    <w:name w:val="Medium List 1 - Accent 62"/>
    <w:basedOn w:val="TableNormal"/>
    <w:uiPriority w:val="65"/>
    <w:rPr>
      <w:rFonts w:ascii="Calibri" w:eastAsia="Calibri" w:hAnsi="Calibri"/>
      <w:color w:val="000000"/>
      <w:sz w:val="22"/>
      <w:szCs w:val="22"/>
    </w:rPr>
    <w:tblPr>
      <w:tblStyleRowBandSize w:val="1"/>
      <w:tblStyleColBandSize w:val="1"/>
      <w:tblInd w:w="0" w:type="nil"/>
      <w:tblBorders>
        <w:top w:val="single" w:sz="8" w:space="0" w:color="70AD47"/>
        <w:bottom w:val="single" w:sz="8" w:space="0" w:color="70AD47"/>
      </w:tblBorders>
    </w:tblPr>
    <w:tblStylePr w:type="firstRow">
      <w:rPr>
        <w:rFonts w:ascii="Times New Roman" w:eastAsia="Times New Roman" w:hAnsi="Times New Roman" w:cs="Times New Roman" w:hint="default"/>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2">
    <w:name w:val="Medium List 22"/>
    <w:basedOn w:val="TableNormal"/>
    <w:uiPriority w:val="66"/>
    <w:rPr>
      <w:rFonts w:ascii="Calibri" w:hAnsi="Calibri"/>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uiPriority w:val="66"/>
    <w:rPr>
      <w:rFonts w:ascii="Calibri" w:hAnsi="Calibri"/>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eNormal"/>
    <w:uiPriority w:val="66"/>
    <w:rPr>
      <w:rFonts w:ascii="Calibri" w:hAnsi="Calibri"/>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uiPriority w:val="66"/>
    <w:rPr>
      <w:rFonts w:ascii="Calibri" w:hAnsi="Calibri"/>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eNormal"/>
    <w:uiPriority w:val="66"/>
    <w:rPr>
      <w:rFonts w:ascii="Calibri" w:hAnsi="Calibri"/>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uiPriority w:val="66"/>
    <w:rPr>
      <w:rFonts w:ascii="Calibri" w:hAnsi="Calibri"/>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eNormal"/>
    <w:uiPriority w:val="66"/>
    <w:rPr>
      <w:rFonts w:ascii="Calibri" w:hAnsi="Calibri"/>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uiPriority w:val="63"/>
    <w:rPr>
      <w:rFonts w:ascii="Calibri" w:eastAsia="Calibri" w:hAnsi="Calibri"/>
      <w:sz w:val="22"/>
      <w:szCs w:val="22"/>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Pr>
      <w:rFonts w:ascii="Calibri" w:eastAsia="Calibri" w:hAnsi="Calibri"/>
      <w:sz w:val="22"/>
      <w:szCs w:val="22"/>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0" w:beforeAutospacing="0" w:afterLines="0" w:after="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22">
    <w:name w:val="Medium Shading 1 - Accent 22"/>
    <w:basedOn w:val="TableNormal"/>
    <w:uiPriority w:val="63"/>
    <w:rPr>
      <w:rFonts w:ascii="Calibri" w:eastAsia="Calibri" w:hAnsi="Calibri"/>
      <w:sz w:val="22"/>
      <w:szCs w:val="22"/>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0" w:beforeAutospacing="0" w:afterLines="0" w:after="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2">
    <w:name w:val="Medium Shading 1 - Accent 32"/>
    <w:basedOn w:val="TableNormal"/>
    <w:uiPriority w:val="63"/>
    <w:rPr>
      <w:rFonts w:ascii="Calibri" w:eastAsia="Calibri" w:hAnsi="Calibri"/>
      <w:sz w:val="22"/>
      <w:szCs w:val="22"/>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0" w:beforeAutospacing="0" w:afterLines="0" w:after="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2">
    <w:name w:val="Medium Shading 1 - Accent 42"/>
    <w:basedOn w:val="TableNormal"/>
    <w:uiPriority w:val="63"/>
    <w:rPr>
      <w:rFonts w:ascii="Calibri" w:eastAsia="Calibri" w:hAnsi="Calibri"/>
      <w:sz w:val="22"/>
      <w:szCs w:val="22"/>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0" w:beforeAutospacing="0" w:afterLines="0" w:after="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2">
    <w:name w:val="Medium Shading 1 - Accent 52"/>
    <w:basedOn w:val="TableNormal"/>
    <w:uiPriority w:val="63"/>
    <w:rPr>
      <w:rFonts w:ascii="Calibri" w:eastAsia="Calibri" w:hAnsi="Calibri"/>
      <w:sz w:val="22"/>
      <w:szCs w:val="22"/>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62">
    <w:name w:val="Medium Shading 1 - Accent 62"/>
    <w:basedOn w:val="TableNormal"/>
    <w:uiPriority w:val="63"/>
    <w:rPr>
      <w:rFonts w:ascii="Calibri" w:eastAsia="Calibri" w:hAnsi="Calibri"/>
      <w:sz w:val="22"/>
      <w:szCs w:val="22"/>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Lines="0" w:before="0" w:beforeAutospacing="0" w:afterLines="0" w:after="0" w:afterAutospacing="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Lines="0" w:before="0" w:beforeAutospacing="0" w:afterLines="0" w:after="0" w:afterAutospacing="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2">
    <w:name w:val="Medium Shading 22"/>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12">
    <w:name w:val="Plain Table 12"/>
    <w:basedOn w:val="TableNormal"/>
    <w:uiPriority w:val="41"/>
    <w:rPr>
      <w:rFonts w:ascii="Calibri" w:eastAsia="Calibri" w:hAnsi="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Pr>
      <w:rFonts w:ascii="Calibri" w:eastAsia="Calibri" w:hAnsi="Calibri"/>
      <w:sz w:val="22"/>
      <w:szCs w:val="22"/>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2">
    <w:name w:val="Plain Table 32"/>
    <w:basedOn w:val="TableNormal"/>
    <w:uiPriority w:val="43"/>
    <w:rPr>
      <w:rFonts w:ascii="Calibri" w:eastAsia="Calibri" w:hAnsi="Calibri"/>
      <w:sz w:val="22"/>
      <w:szCs w:val="22"/>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Pr>
      <w:rFonts w:ascii="Calibri" w:eastAsia="Calibri" w:hAnsi="Calibri"/>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2">
    <w:name w:val="Plain Table 52"/>
    <w:basedOn w:val="TableNormal"/>
    <w:uiPriority w:val="45"/>
    <w:rPr>
      <w:rFonts w:ascii="Calibri" w:eastAsia="Calibri" w:hAnsi="Calibri"/>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7F7F7F"/>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F7F7F"/>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2">
    <w:name w:val="Table 3D effects 12"/>
    <w:basedOn w:val="TableNormal"/>
    <w:uiPriority w:val="99"/>
    <w:rPr>
      <w:rFonts w:ascii="Calibri" w:eastAsia="Calibri" w:hAnsi="Calibri"/>
      <w:sz w:val="22"/>
      <w:szCs w:val="22"/>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uiPriority w:val="99"/>
    <w:rPr>
      <w:rFonts w:ascii="Calibri" w:eastAsia="Calibri" w:hAnsi="Calibri"/>
      <w:sz w:val="22"/>
      <w:szCs w:val="22"/>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uiPriority w:val="99"/>
    <w:rPr>
      <w:rFonts w:ascii="Calibri" w:eastAsia="Calibri" w:hAnsi="Calibri"/>
      <w:sz w:val="22"/>
      <w:szCs w:val="22"/>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uiPriority w:val="99"/>
    <w:rPr>
      <w:rFonts w:ascii="Calibri" w:eastAsia="Calibri" w:hAnsi="Calibri"/>
      <w:sz w:val="22"/>
      <w:szCs w:val="22"/>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uiPriority w:val="99"/>
    <w:rPr>
      <w:rFonts w:ascii="Calibri" w:eastAsia="Calibri" w:hAnsi="Calibri"/>
      <w:sz w:val="22"/>
      <w:szCs w:val="22"/>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uiPriority w:val="99"/>
    <w:rPr>
      <w:rFonts w:ascii="Calibri" w:eastAsia="Calibri" w:hAnsi="Calibri"/>
      <w:color w:val="000080"/>
      <w:sz w:val="22"/>
      <w:szCs w:val="22"/>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uiPriority w:val="99"/>
    <w:rPr>
      <w:rFonts w:ascii="Calibri" w:eastAsia="Calibri" w:hAnsi="Calibri"/>
      <w:sz w:val="22"/>
      <w:szCs w:val="22"/>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uiPriority w:val="99"/>
    <w:rPr>
      <w:rFonts w:ascii="Calibri" w:eastAsia="Calibri" w:hAnsi="Calibri"/>
      <w:color w:val="FFFFFF"/>
      <w:sz w:val="22"/>
      <w:szCs w:val="22"/>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uiPriority w:val="99"/>
    <w:rPr>
      <w:rFonts w:ascii="Calibri" w:eastAsia="Calibri" w:hAnsi="Calibri"/>
      <w:sz w:val="22"/>
      <w:szCs w:val="22"/>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uiPriority w:val="99"/>
    <w:rPr>
      <w:rFonts w:ascii="Calibri" w:eastAsia="Calibri" w:hAnsi="Calibri"/>
      <w:sz w:val="22"/>
      <w:szCs w:val="22"/>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uiPriority w:val="99"/>
    <w:rPr>
      <w:rFonts w:ascii="Calibri" w:eastAsia="Calibri" w:hAnsi="Calibri"/>
      <w:b/>
      <w:bCs/>
      <w:sz w:val="22"/>
      <w:szCs w:val="22"/>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uiPriority w:val="99"/>
    <w:rPr>
      <w:rFonts w:ascii="Calibri" w:eastAsia="Calibri" w:hAnsi="Calibri"/>
      <w:b/>
      <w:bCs/>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uiPriority w:val="99"/>
    <w:rPr>
      <w:rFonts w:ascii="Calibri" w:eastAsia="Calibri" w:hAnsi="Calibri"/>
      <w:b/>
      <w:bCs/>
      <w:sz w:val="22"/>
      <w:szCs w:val="22"/>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uiPriority w:val="99"/>
    <w:rPr>
      <w:rFonts w:ascii="Calibri" w:eastAsia="Calibri" w:hAnsi="Calibri"/>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uiPriority w:val="99"/>
    <w:rPr>
      <w:rFonts w:ascii="Calibri" w:eastAsia="Calibri" w:hAnsi="Calibri"/>
      <w:sz w:val="22"/>
      <w:szCs w:val="22"/>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uiPriority w:val="99"/>
    <w:rPr>
      <w:rFonts w:ascii="Calibri" w:eastAsia="Calibri" w:hAnsi="Calibri"/>
      <w:sz w:val="22"/>
      <w:szCs w:val="22"/>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uiPriority w:val="99"/>
    <w:rPr>
      <w:rFonts w:ascii="Calibri" w:eastAsia="Calibri" w:hAnsi="Calibri"/>
      <w:sz w:val="22"/>
      <w:szCs w:val="22"/>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uiPriority w:val="39"/>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uiPriority w:val="99"/>
    <w:rPr>
      <w:rFonts w:ascii="Calibri" w:eastAsia="Calibri" w:hAnsi="Calibri"/>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uiPriority w:val="99"/>
    <w:rPr>
      <w:rFonts w:ascii="Calibri" w:eastAsia="Calibri" w:hAnsi="Calibri"/>
      <w:sz w:val="22"/>
      <w:szCs w:val="22"/>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uiPriority w:val="99"/>
    <w:rPr>
      <w:rFonts w:ascii="Calibri" w:eastAsia="Calibri" w:hAnsi="Calibri"/>
      <w:sz w:val="22"/>
      <w:szCs w:val="22"/>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uiPriority w:val="99"/>
    <w:rPr>
      <w:rFonts w:ascii="Calibri" w:eastAsia="Calibri" w:hAnsi="Calibri"/>
      <w:sz w:val="22"/>
      <w:szCs w:val="22"/>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uiPriority w:val="99"/>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uiPriority w:val="99"/>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uiPriority w:val="99"/>
    <w:rPr>
      <w:rFonts w:ascii="Calibri" w:eastAsia="Calibri" w:hAnsi="Calibri"/>
      <w:b/>
      <w:bCs/>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uiPriority w:val="99"/>
    <w:rPr>
      <w:rFonts w:ascii="Calibri" w:eastAsia="Calibri" w:hAnsi="Calibri"/>
      <w:sz w:val="22"/>
      <w:szCs w:val="22"/>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
    <w:name w:val="Table Grid Light2"/>
    <w:basedOn w:val="TableNormal"/>
    <w:uiPriority w:val="40"/>
    <w:rPr>
      <w:rFonts w:ascii="Calibri" w:eastAsia="Calibri" w:hAnsi="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2">
    <w:name w:val="Table List 12"/>
    <w:basedOn w:val="TableNormal"/>
    <w:uiPriority w:val="99"/>
    <w:rPr>
      <w:rFonts w:ascii="Calibri" w:eastAsia="Calibri" w:hAnsi="Calibri"/>
      <w:sz w:val="22"/>
      <w:szCs w:val="22"/>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uiPriority w:val="99"/>
    <w:rPr>
      <w:rFonts w:ascii="Calibri" w:eastAsia="Calibri" w:hAnsi="Calibri"/>
      <w:sz w:val="22"/>
      <w:szCs w:val="22"/>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uiPriority w:val="99"/>
    <w:rPr>
      <w:rFonts w:ascii="Calibri" w:eastAsia="Calibri" w:hAnsi="Calibri"/>
      <w:sz w:val="22"/>
      <w:szCs w:val="22"/>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uiPriority w:val="99"/>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uiPriority w:val="99"/>
    <w:rPr>
      <w:rFonts w:ascii="Calibri" w:eastAsia="Calibri" w:hAnsi="Calibri"/>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uiPriority w:val="99"/>
    <w:rPr>
      <w:rFonts w:ascii="Calibri" w:eastAsia="Calibri" w:hAnsi="Calibri"/>
      <w:sz w:val="22"/>
      <w:szCs w:val="22"/>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uiPriority w:val="99"/>
    <w:rPr>
      <w:rFonts w:ascii="Calibri" w:eastAsia="Calibri" w:hAnsi="Calibri"/>
      <w:sz w:val="22"/>
      <w:szCs w:val="22"/>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uiPriority w:val="99"/>
    <w:rPr>
      <w:rFonts w:ascii="Calibri" w:eastAsia="Calibri" w:hAnsi="Calibri"/>
      <w:sz w:val="22"/>
      <w:szCs w:val="22"/>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uiPriority w:val="99"/>
    <w:rPr>
      <w:rFonts w:ascii="Calibri" w:eastAsia="Calibri" w:hAnsi="Calibri"/>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uiPriority w:val="99"/>
    <w:rPr>
      <w:rFonts w:ascii="Calibri" w:eastAsia="Calibri" w:hAnsi="Calibri"/>
      <w:sz w:val="22"/>
      <w:szCs w:val="22"/>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uiPriority w:val="99"/>
    <w:rPr>
      <w:rFonts w:ascii="Calibri" w:eastAsia="Calibri" w:hAnsi="Calibri"/>
      <w:sz w:val="22"/>
      <w:szCs w:val="22"/>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uiPriority w:val="99"/>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uiPriority w:val="99"/>
    <w:rPr>
      <w:rFonts w:ascii="Calibri" w:eastAsia="Calibri" w:hAnsi="Calibri"/>
      <w:sz w:val="22"/>
      <w:szCs w:val="22"/>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uiPriority w:val="99"/>
    <w:rPr>
      <w:rFonts w:ascii="Calibri" w:eastAsia="Calibri" w:hAnsi="Calibri"/>
      <w:sz w:val="22"/>
      <w:szCs w:val="22"/>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uiPriority w:val="99"/>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uiPriority w:val="99"/>
    <w:rPr>
      <w:rFonts w:ascii="Calibri" w:eastAsia="Calibri" w:hAnsi="Calibri"/>
      <w:sz w:val="22"/>
      <w:szCs w:val="22"/>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uiPriority w:val="99"/>
    <w:rPr>
      <w:rFonts w:ascii="Calibri" w:eastAsia="Calibri" w:hAnsi="Calibri"/>
      <w:sz w:val="22"/>
      <w:szCs w:val="22"/>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uiPriority w:val="99"/>
    <w:rPr>
      <w:rFonts w:ascii="Calibri" w:eastAsia="Calibri" w:hAnsi="Calibri"/>
      <w:sz w:val="22"/>
      <w:szCs w:val="22"/>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
    <w:name w:val="Article / Section1"/>
    <w:basedOn w:val="NoList"/>
    <w:next w:val="ArticleSection"/>
    <w:uiPriority w:val="99"/>
    <w:semiHidden/>
    <w:unhideWhenUsed/>
    <w:pPr>
      <w:numPr>
        <w:numId w:val="21"/>
      </w:numPr>
    </w:pPr>
  </w:style>
  <w:style w:type="numbering" w:customStyle="1" w:styleId="1ai1">
    <w:name w:val="1 / a / i1"/>
    <w:basedOn w:val="NoList"/>
    <w:next w:val="1ai"/>
    <w:uiPriority w:val="99"/>
    <w:semiHidden/>
    <w:unhideWhenUsed/>
    <w:pPr>
      <w:numPr>
        <w:numId w:val="22"/>
      </w:numPr>
    </w:pPr>
  </w:style>
  <w:style w:type="numbering" w:customStyle="1" w:styleId="1111111">
    <w:name w:val="1 / 1.1 / 1.1.11"/>
    <w:basedOn w:val="NoList"/>
    <w:next w:val="111111"/>
    <w:uiPriority w:val="99"/>
    <w:semiHidden/>
    <w:unhideWhenUsed/>
    <w:pPr>
      <w:numPr>
        <w:numId w:val="23"/>
      </w:numPr>
    </w:pPr>
  </w:style>
  <w:style w:type="numbering" w:customStyle="1" w:styleId="NoList2">
    <w:name w:val="No List2"/>
    <w:next w:val="NoList"/>
    <w:uiPriority w:val="99"/>
    <w:semiHidden/>
    <w:unhideWhenUsed/>
  </w:style>
  <w:style w:type="table" w:customStyle="1" w:styleId="TableSimple13">
    <w:name w:val="Table Simple 13"/>
    <w:basedOn w:val="TableNormal"/>
    <w:next w:val="TableSimple1"/>
    <w:uiPriority w:val="99"/>
    <w:semiHidden/>
    <w:unhideWhenUsed/>
    <w:rPr>
      <w:sz w:val="22"/>
      <w:szCs w:val="22"/>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uiPriority w:val="99"/>
    <w:semiHidden/>
    <w:unhideWhenUsed/>
    <w:rPr>
      <w:sz w:val="22"/>
      <w:szCs w:val="22"/>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uiPriority w:val="99"/>
    <w:semiHidden/>
    <w:unhideWhenUsed/>
    <w:rPr>
      <w:sz w:val="22"/>
      <w:szCs w:val="22"/>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3">
    <w:name w:val="Table Classic 13"/>
    <w:basedOn w:val="TableNormal"/>
    <w:next w:val="TableClassic1"/>
    <w:uiPriority w:val="99"/>
    <w:semiHidden/>
    <w:unhideWhenUsed/>
    <w:rPr>
      <w:sz w:val="22"/>
      <w:szCs w:val="22"/>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uiPriority w:val="99"/>
    <w:semiHidden/>
    <w:unhideWhenUsed/>
    <w:rPr>
      <w:sz w:val="22"/>
      <w:szCs w:val="22"/>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uiPriority w:val="99"/>
    <w:semiHidden/>
    <w:unhideWhenUsed/>
    <w:rPr>
      <w:color w:val="000080"/>
      <w:sz w:val="22"/>
      <w:szCs w:val="22"/>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uiPriority w:val="99"/>
    <w:semiHidden/>
    <w:unhideWhenUsed/>
    <w:rPr>
      <w:sz w:val="22"/>
      <w:szCs w:val="22"/>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uiPriority w:val="99"/>
    <w:semiHidden/>
    <w:unhideWhenUsed/>
    <w:rPr>
      <w:color w:val="FFFFFF"/>
      <w:sz w:val="22"/>
      <w:szCs w:val="22"/>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uiPriority w:val="99"/>
    <w:semiHidden/>
    <w:unhideWhenUsed/>
    <w:rPr>
      <w:sz w:val="22"/>
      <w:szCs w:val="22"/>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uiPriority w:val="99"/>
    <w:semiHidden/>
    <w:unhideWhenUsed/>
    <w:rPr>
      <w:sz w:val="22"/>
      <w:szCs w:val="22"/>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uiPriority w:val="99"/>
    <w:semiHidden/>
    <w:unhideWhenUsed/>
    <w:rPr>
      <w:b/>
      <w:bCs/>
      <w:sz w:val="22"/>
      <w:szCs w:val="22"/>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uiPriority w:val="99"/>
    <w:semiHidden/>
    <w:unhideWhenUsed/>
    <w:rPr>
      <w:b/>
      <w:bCs/>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uiPriority w:val="99"/>
    <w:semiHidden/>
    <w:unhideWhenUsed/>
    <w:rPr>
      <w:b/>
      <w:bCs/>
      <w:sz w:val="22"/>
      <w:szCs w:val="22"/>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uiPriority w:val="99"/>
    <w:semiHidden/>
    <w:unhideWhenUsed/>
    <w:rPr>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uiPriority w:val="99"/>
    <w:semiHidden/>
    <w:unhideWhenUsed/>
    <w:rPr>
      <w:sz w:val="22"/>
      <w:szCs w:val="22"/>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3">
    <w:name w:val="Table Grid 13"/>
    <w:basedOn w:val="TableNormal"/>
    <w:next w:val="TableGrid1"/>
    <w:uiPriority w:val="99"/>
    <w:semiHidden/>
    <w:unhideWhenUsed/>
    <w:rPr>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uiPriority w:val="99"/>
    <w:semiHidden/>
    <w:unhideWhenUsed/>
    <w:rPr>
      <w:sz w:val="22"/>
      <w:szCs w:val="22"/>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uiPriority w:val="99"/>
    <w:semiHidden/>
    <w:unhideWhenUsed/>
    <w:rPr>
      <w:sz w:val="22"/>
      <w:szCs w:val="22"/>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uiPriority w:val="99"/>
    <w:semiHidden/>
    <w:unhideWhenUsed/>
    <w:rPr>
      <w:sz w:val="22"/>
      <w:szCs w:val="22"/>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uiPriority w:val="99"/>
    <w:semiHidden/>
    <w:unhideWhenUsed/>
    <w:rPr>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uiPriority w:val="99"/>
    <w:semiHidden/>
    <w:unhideWhenUsed/>
    <w:rPr>
      <w:sz w:val="22"/>
      <w:szCs w:val="22"/>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uiPriority w:val="99"/>
    <w:semiHidden/>
    <w:unhideWhenUsed/>
    <w:rPr>
      <w:b/>
      <w:bCs/>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uiPriority w:val="99"/>
    <w:semiHidden/>
    <w:unhideWhenUsed/>
    <w:rPr>
      <w:sz w:val="22"/>
      <w:szCs w:val="22"/>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uiPriority w:val="99"/>
    <w:semiHidden/>
    <w:unhideWhenUsed/>
    <w:rPr>
      <w:sz w:val="22"/>
      <w:szCs w:val="22"/>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uiPriority w:val="99"/>
    <w:semiHidden/>
    <w:unhideWhenUsed/>
    <w:rPr>
      <w:sz w:val="22"/>
      <w:szCs w:val="22"/>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uiPriority w:val="99"/>
    <w:semiHidden/>
    <w:unhideWhenUsed/>
    <w:rPr>
      <w:sz w:val="22"/>
      <w:szCs w:val="22"/>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uiPriority w:val="99"/>
    <w:semiHidden/>
    <w:unhideWhenUsed/>
    <w:rPr>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uiPriority w:val="99"/>
    <w:semiHidden/>
    <w:unhideWhenUsed/>
    <w:rPr>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uiPriority w:val="99"/>
    <w:semiHidden/>
    <w:unhideWhenUsed/>
    <w:rPr>
      <w:sz w:val="22"/>
      <w:szCs w:val="22"/>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uiPriority w:val="99"/>
    <w:semiHidden/>
    <w:unhideWhenUsed/>
    <w:rPr>
      <w:sz w:val="22"/>
      <w:szCs w:val="22"/>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uiPriority w:val="99"/>
    <w:semiHidden/>
    <w:unhideWhenUsed/>
    <w:rPr>
      <w:sz w:val="22"/>
      <w:szCs w:val="22"/>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3">
    <w:name w:val="Table 3D effects 13"/>
    <w:basedOn w:val="TableNormal"/>
    <w:next w:val="Table3Deffects1"/>
    <w:uiPriority w:val="99"/>
    <w:semiHidden/>
    <w:unhideWhenUsed/>
    <w:rPr>
      <w:sz w:val="22"/>
      <w:szCs w:val="22"/>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uiPriority w:val="99"/>
    <w:semiHidden/>
    <w:unhideWhenUsed/>
    <w:rPr>
      <w:sz w:val="22"/>
      <w:szCs w:val="22"/>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uiPriority w:val="99"/>
    <w:semiHidden/>
    <w:unhideWhenUsed/>
    <w:rPr>
      <w:sz w:val="22"/>
      <w:szCs w:val="22"/>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3">
    <w:name w:val="Table Contemporary3"/>
    <w:basedOn w:val="TableNormal"/>
    <w:next w:val="TableContemporary"/>
    <w:uiPriority w:val="99"/>
    <w:semiHidden/>
    <w:unhideWhenUsed/>
    <w:rPr>
      <w:sz w:val="22"/>
      <w:szCs w:val="22"/>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uiPriority w:val="99"/>
    <w:semiHidden/>
    <w:unhideWhenUsed/>
    <w:rPr>
      <w:sz w:val="22"/>
      <w:szCs w:val="22"/>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3">
    <w:name w:val="Table Professional3"/>
    <w:basedOn w:val="TableNormal"/>
    <w:next w:val="TableProfessional"/>
    <w:uiPriority w:val="99"/>
    <w:semiHidden/>
    <w:unhideWhenUsed/>
    <w:rPr>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uiPriority w:val="99"/>
    <w:semiHidden/>
    <w:unhideWhenUsed/>
    <w:rPr>
      <w:sz w:val="22"/>
      <w:szCs w:val="22"/>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uiPriority w:val="99"/>
    <w:semiHidden/>
    <w:unhideWhenUsed/>
    <w:rPr>
      <w:sz w:val="22"/>
      <w:szCs w:val="22"/>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3">
    <w:name w:val="Table Web 13"/>
    <w:basedOn w:val="TableNormal"/>
    <w:next w:val="TableWeb1"/>
    <w:uiPriority w:val="99"/>
    <w:semiHidden/>
    <w:unhideWhenUsed/>
    <w:rPr>
      <w:sz w:val="22"/>
      <w:szCs w:val="22"/>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uiPriority w:val="99"/>
    <w:semiHidden/>
    <w:unhideWhenUsed/>
    <w:rPr>
      <w:sz w:val="22"/>
      <w:szCs w:val="22"/>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uiPriority w:val="99"/>
    <w:semiHidden/>
    <w:unhideWhenUsed/>
    <w:rPr>
      <w:sz w:val="22"/>
      <w:szCs w:val="22"/>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30">
    <w:name w:val="Table Grid3"/>
    <w:basedOn w:val="TableNormal"/>
    <w:next w:val="TableGrid"/>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uiPriority w:val="99"/>
    <w:semiHidden/>
    <w:unhideWhenUsed/>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next w:val="LightShading"/>
    <w:uiPriority w:val="60"/>
    <w:semiHidden/>
    <w:unhideWhenUsed/>
    <w:rPr>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3">
    <w:name w:val="Light List3"/>
    <w:basedOn w:val="TableNormal"/>
    <w:next w:val="LightList"/>
    <w:uiPriority w:val="61"/>
    <w:semiHidden/>
    <w:unhideWhenUsed/>
    <w:rPr>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3">
    <w:name w:val="Light Grid3"/>
    <w:basedOn w:val="TableNormal"/>
    <w:next w:val="LightGrid"/>
    <w:uiPriority w:val="62"/>
    <w:semiHidden/>
    <w:unhideWhenUsed/>
    <w:rPr>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
    <w:name w:val="Medium Shading 13"/>
    <w:basedOn w:val="TableNormal"/>
    <w:next w:val="MediumShading1"/>
    <w:uiPriority w:val="63"/>
    <w:semiHidden/>
    <w:unhideWhenUsed/>
    <w:rPr>
      <w:sz w:val="22"/>
      <w:szCs w:val="22"/>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3">
    <w:name w:val="Medium Shading 23"/>
    <w:basedOn w:val="TableNormal"/>
    <w:next w:val="MediumShading2"/>
    <w:uiPriority w:val="64"/>
    <w:semiHidden/>
    <w:unhideWhenUsed/>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3">
    <w:name w:val="Medium List 13"/>
    <w:basedOn w:val="TableNormal"/>
    <w:next w:val="MediumList1"/>
    <w:uiPriority w:val="65"/>
    <w:semiHidden/>
    <w:unhideWhenUsed/>
    <w:rPr>
      <w:color w:val="000000"/>
      <w:sz w:val="22"/>
      <w:szCs w:val="22"/>
    </w:rPr>
    <w:tblPr>
      <w:tblStyleRowBandSize w:val="1"/>
      <w:tblStyleColBandSize w:val="1"/>
      <w:tblInd w:w="0" w:type="nil"/>
      <w:tblBorders>
        <w:top w:val="single" w:sz="8" w:space="0" w:color="000000"/>
        <w:bottom w:val="single" w:sz="8" w:space="0" w:color="000000"/>
      </w:tblBorders>
    </w:tblPr>
    <w:tblStylePr w:type="firstRow">
      <w:rPr>
        <w:rFonts w:ascii="Times New Roman" w:eastAsia="Times New Roman" w:hAnsi="Times New Roman"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3">
    <w:name w:val="Medium List 23"/>
    <w:basedOn w:val="TableNormal"/>
    <w:next w:val="MediumList2"/>
    <w:uiPriority w:val="66"/>
    <w:semiHidden/>
    <w:unhideWhenUsed/>
    <w:rPr>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13">
    <w:name w:val="Medium Grid 13"/>
    <w:basedOn w:val="TableNormal"/>
    <w:next w:val="MediumGrid1"/>
    <w:uiPriority w:val="67"/>
    <w:semiHidden/>
    <w:unhideWhenUsed/>
    <w:rPr>
      <w:sz w:val="22"/>
      <w:szCs w:val="22"/>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3">
    <w:name w:val="Medium Grid 23"/>
    <w:basedOn w:val="TableNormal"/>
    <w:next w:val="MediumGrid2"/>
    <w:uiPriority w:val="68"/>
    <w:semiHidden/>
    <w:unhideWhenUsed/>
    <w:rPr>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3">
    <w:name w:val="Medium Grid 33"/>
    <w:basedOn w:val="TableNormal"/>
    <w:next w:val="MediumGrid3"/>
    <w:uiPriority w:val="69"/>
    <w:semiHidden/>
    <w:unhideWhenUsed/>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DarkList3">
    <w:name w:val="Dark List3"/>
    <w:basedOn w:val="TableNormal"/>
    <w:next w:val="DarkList"/>
    <w:uiPriority w:val="70"/>
    <w:semiHidden/>
    <w:unhideWhenUsed/>
    <w:rPr>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olorfulShading3">
    <w:name w:val="Colorful Shading3"/>
    <w:basedOn w:val="TableNormal"/>
    <w:next w:val="ColorfulShading"/>
    <w:uiPriority w:val="71"/>
    <w:semiHidden/>
    <w:unhideWhenUsed/>
    <w:rPr>
      <w:color w:val="000000"/>
      <w:sz w:val="22"/>
      <w:szCs w:val="22"/>
    </w:rPr>
    <w:tblPr>
      <w:tblStyleRowBandSize w:val="1"/>
      <w:tblStyleColBandSize w:val="1"/>
      <w:tblInd w:w="0" w:type="nil"/>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3">
    <w:name w:val="Colorful List3"/>
    <w:basedOn w:val="TableNormal"/>
    <w:next w:val="ColorfulList"/>
    <w:uiPriority w:val="72"/>
    <w:semiHidden/>
    <w:unhideWhenUsed/>
    <w:rPr>
      <w:color w:val="000000"/>
      <w:sz w:val="22"/>
      <w:szCs w:val="22"/>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3">
    <w:name w:val="Colorful Grid3"/>
    <w:basedOn w:val="TableNormal"/>
    <w:next w:val="ColorfulGrid"/>
    <w:uiPriority w:val="73"/>
    <w:semiHidden/>
    <w:unhideWhenUsed/>
    <w:rPr>
      <w:color w:val="000000"/>
      <w:sz w:val="22"/>
      <w:szCs w:val="22"/>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Shading-Accent13">
    <w:name w:val="Light Shading - Accent 13"/>
    <w:basedOn w:val="TableNormal"/>
    <w:next w:val="LightShading-Accent1"/>
    <w:uiPriority w:val="60"/>
    <w:semiHidden/>
    <w:unhideWhenUsed/>
    <w:rPr>
      <w:color w:val="2E74B5"/>
      <w:sz w:val="22"/>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List-Accent13">
    <w:name w:val="Light List - Accent 13"/>
    <w:basedOn w:val="TableNormal"/>
    <w:next w:val="LightList-Accent1"/>
    <w:uiPriority w:val="61"/>
    <w:semiHidden/>
    <w:unhideWhenUsed/>
    <w:rPr>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
    <w:name w:val="Light Grid - Accent 13"/>
    <w:basedOn w:val="TableNormal"/>
    <w:next w:val="LightGrid-Accent1"/>
    <w:uiPriority w:val="62"/>
    <w:semiHidden/>
    <w:unhideWhenUsed/>
    <w:rPr>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Shading1-Accent13">
    <w:name w:val="Medium Shading 1 - Accent 13"/>
    <w:basedOn w:val="TableNormal"/>
    <w:next w:val="MediumShading1-Accent1"/>
    <w:uiPriority w:val="63"/>
    <w:semiHidden/>
    <w:unhideWhenUsed/>
    <w:rPr>
      <w:sz w:val="22"/>
      <w:szCs w:val="22"/>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0" w:beforeAutospacing="0" w:afterLines="0" w:after="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2-Accent13">
    <w:name w:val="Medium Shading 2 - Accent 13"/>
    <w:basedOn w:val="TableNormal"/>
    <w:next w:val="MediumShading2-Accent1"/>
    <w:uiPriority w:val="64"/>
    <w:semiHidden/>
    <w:unhideWhenUsed/>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3">
    <w:name w:val="Medium List 1 - Accent 13"/>
    <w:basedOn w:val="TableNormal"/>
    <w:next w:val="MediumList1-Accent1"/>
    <w:uiPriority w:val="65"/>
    <w:semiHidden/>
    <w:unhideWhenUsed/>
    <w:rPr>
      <w:color w:val="000000"/>
      <w:sz w:val="22"/>
      <w:szCs w:val="22"/>
    </w:rPr>
    <w:tblPr>
      <w:tblStyleRowBandSize w:val="1"/>
      <w:tblStyleColBandSize w:val="1"/>
      <w:tblInd w:w="0" w:type="nil"/>
      <w:tblBorders>
        <w:top w:val="single" w:sz="8" w:space="0" w:color="5B9BD5"/>
        <w:bottom w:val="single" w:sz="8" w:space="0" w:color="5B9BD5"/>
      </w:tblBorders>
    </w:tblPr>
    <w:tblStylePr w:type="firstRow">
      <w:rPr>
        <w:rFonts w:ascii="Times New Roman" w:eastAsia="Times New Roman" w:hAnsi="Times New Roman" w:cs="Times New Roman" w:hint="default"/>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2-Accent13">
    <w:name w:val="Medium List 2 - Accent 13"/>
    <w:basedOn w:val="TableNormal"/>
    <w:next w:val="MediumList2-Accent1"/>
    <w:uiPriority w:val="66"/>
    <w:semiHidden/>
    <w:unhideWhenUsed/>
    <w:rPr>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Grid1-Accent13">
    <w:name w:val="Medium Grid 1 - Accent 13"/>
    <w:basedOn w:val="TableNormal"/>
    <w:next w:val="MediumGrid1-Accent1"/>
    <w:uiPriority w:val="67"/>
    <w:semiHidden/>
    <w:unhideWhenUsed/>
    <w:rPr>
      <w:sz w:val="22"/>
      <w:szCs w:val="22"/>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2-Accent13">
    <w:name w:val="Medium Grid 2 - Accent 13"/>
    <w:basedOn w:val="TableNormal"/>
    <w:next w:val="MediumGrid2-Accent1"/>
    <w:uiPriority w:val="68"/>
    <w:semiHidden/>
    <w:unhideWhenUsed/>
    <w:rPr>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3-Accent13">
    <w:name w:val="Medium Grid 3 - Accent 13"/>
    <w:basedOn w:val="TableNormal"/>
    <w:next w:val="MediumGrid3-Accent1"/>
    <w:uiPriority w:val="69"/>
    <w:semiHidden/>
    <w:unhideWhenUsed/>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DarkList-Accent13">
    <w:name w:val="Dark List - Accent 13"/>
    <w:basedOn w:val="TableNormal"/>
    <w:next w:val="DarkList-Accent1"/>
    <w:uiPriority w:val="70"/>
    <w:semiHidden/>
    <w:unhideWhenUsed/>
    <w:rPr>
      <w:color w:val="FFFFFF"/>
      <w:sz w:val="22"/>
      <w:szCs w:val="22"/>
    </w:rPr>
    <w:tblPr>
      <w:tblStyleRowBandSize w:val="1"/>
      <w:tblStyleColBandSize w:val="1"/>
      <w:tblInd w:w="0" w:type="nil"/>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ColorfulShading-Accent13">
    <w:name w:val="Colorful Shading - Accent 13"/>
    <w:basedOn w:val="TableNormal"/>
    <w:next w:val="ColorfulShading-Accent1"/>
    <w:uiPriority w:val="71"/>
    <w:semiHidden/>
    <w:unhideWhenUsed/>
    <w:rPr>
      <w:color w:val="000000"/>
      <w:sz w:val="22"/>
      <w:szCs w:val="22"/>
    </w:rPr>
    <w:tblPr>
      <w:tblStyleRowBandSize w:val="1"/>
      <w:tblStyleColBandSize w:val="1"/>
      <w:tblInd w:w="0" w:type="nil"/>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List-Accent13">
    <w:name w:val="Colorful List - Accent 13"/>
    <w:basedOn w:val="TableNormal"/>
    <w:next w:val="ColorfulList-Accent1"/>
    <w:uiPriority w:val="72"/>
    <w:semiHidden/>
    <w:unhideWhenUsed/>
    <w:rPr>
      <w:color w:val="000000"/>
      <w:sz w:val="22"/>
      <w:szCs w:val="22"/>
    </w:rPr>
    <w:tblPr>
      <w:tblStyleRowBandSize w:val="1"/>
      <w:tblStyleColBandSize w:val="1"/>
      <w:tblInd w:w="0" w:type="nil"/>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Grid-Accent13">
    <w:name w:val="Colorful Grid - Accent 13"/>
    <w:basedOn w:val="TableNormal"/>
    <w:next w:val="ColorfulGrid-Accent1"/>
    <w:uiPriority w:val="73"/>
    <w:semiHidden/>
    <w:unhideWhenUsed/>
    <w:rPr>
      <w:color w:val="000000"/>
      <w:sz w:val="22"/>
      <w:szCs w:val="22"/>
    </w:rPr>
    <w:tblPr>
      <w:tblStyleRowBandSize w:val="1"/>
      <w:tblStyleColBandSize w:val="1"/>
      <w:tblInd w:w="0" w:type="nil"/>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23">
    <w:name w:val="Light Shading - Accent 23"/>
    <w:basedOn w:val="TableNormal"/>
    <w:next w:val="LightShading-Accent2"/>
    <w:uiPriority w:val="60"/>
    <w:semiHidden/>
    <w:unhideWhenUsed/>
    <w:rPr>
      <w:color w:val="C45911"/>
      <w:sz w:val="22"/>
      <w:szCs w:val="22"/>
    </w:rPr>
    <w:tblPr>
      <w:tblStyleRowBandSize w:val="1"/>
      <w:tblStyleColBandSize w:val="1"/>
      <w:tblInd w:w="0" w:type="nil"/>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List-Accent23">
    <w:name w:val="Light List - Accent 23"/>
    <w:basedOn w:val="TableNormal"/>
    <w:next w:val="LightList-Accent2"/>
    <w:uiPriority w:val="61"/>
    <w:semiHidden/>
    <w:unhideWhenUsed/>
    <w:rPr>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pPr>
        <w:spacing w:beforeLines="0" w:before="0" w:beforeAutospacing="0" w:afterLines="0" w:after="0" w:afterAutospacing="0" w:line="240" w:lineRule="auto"/>
      </w:pPr>
      <w:rPr>
        <w:b/>
        <w:bCs/>
        <w:color w:val="FFFFFF"/>
      </w:rPr>
      <w:tblPr/>
      <w:tcPr>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Grid-Accent23">
    <w:name w:val="Light Grid - Accent 23"/>
    <w:basedOn w:val="TableNormal"/>
    <w:next w:val="LightGrid-Accent2"/>
    <w:uiPriority w:val="62"/>
    <w:semiHidden/>
    <w:unhideWhenUsed/>
    <w:rPr>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3">
    <w:name w:val="Medium Shading 1 - Accent 23"/>
    <w:basedOn w:val="TableNormal"/>
    <w:next w:val="MediumShading1-Accent2"/>
    <w:uiPriority w:val="63"/>
    <w:semiHidden/>
    <w:unhideWhenUsed/>
    <w:rPr>
      <w:sz w:val="22"/>
      <w:szCs w:val="22"/>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0" w:beforeAutospacing="0" w:afterLines="0" w:after="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2-Accent23">
    <w:name w:val="Medium Shading 2 - Accent 23"/>
    <w:basedOn w:val="TableNormal"/>
    <w:next w:val="MediumShading2-Accent2"/>
    <w:uiPriority w:val="64"/>
    <w:semiHidden/>
    <w:unhideWhenUsed/>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3">
    <w:name w:val="Medium List 1 - Accent 23"/>
    <w:basedOn w:val="TableNormal"/>
    <w:next w:val="MediumList1-Accent2"/>
    <w:uiPriority w:val="65"/>
    <w:semiHidden/>
    <w:unhideWhenUsed/>
    <w:rPr>
      <w:color w:val="000000"/>
      <w:sz w:val="22"/>
      <w:szCs w:val="22"/>
    </w:rPr>
    <w:tblPr>
      <w:tblStyleRowBandSize w:val="1"/>
      <w:tblStyleColBandSize w:val="1"/>
      <w:tblInd w:w="0" w:type="nil"/>
      <w:tblBorders>
        <w:top w:val="single" w:sz="8" w:space="0" w:color="ED7D31"/>
        <w:bottom w:val="single" w:sz="8" w:space="0" w:color="ED7D31"/>
      </w:tblBorders>
    </w:tblPr>
    <w:tblStylePr w:type="firstRow">
      <w:rPr>
        <w:rFonts w:ascii="Times New Roman" w:eastAsia="Times New Roman" w:hAnsi="Times New Roman" w:cs="Times New Roman" w:hint="default"/>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2-Accent23">
    <w:name w:val="Medium List 2 - Accent 23"/>
    <w:basedOn w:val="TableNormal"/>
    <w:next w:val="MediumList2-Accent2"/>
    <w:uiPriority w:val="66"/>
    <w:semiHidden/>
    <w:unhideWhenUsed/>
    <w:rPr>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1-Accent23">
    <w:name w:val="Medium Grid 1 - Accent 23"/>
    <w:basedOn w:val="TableNormal"/>
    <w:next w:val="MediumGrid1-Accent2"/>
    <w:uiPriority w:val="67"/>
    <w:semiHidden/>
    <w:unhideWhenUsed/>
    <w:rPr>
      <w:sz w:val="22"/>
      <w:szCs w:val="22"/>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2-Accent23">
    <w:name w:val="Medium Grid 2 - Accent 23"/>
    <w:basedOn w:val="TableNormal"/>
    <w:next w:val="MediumGrid2-Accent2"/>
    <w:uiPriority w:val="68"/>
    <w:semiHidden/>
    <w:unhideWhenUsed/>
    <w:rPr>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3">
    <w:name w:val="Medium Grid 3 - Accent 23"/>
    <w:basedOn w:val="TableNormal"/>
    <w:next w:val="MediumGrid3-Accent2"/>
    <w:uiPriority w:val="69"/>
    <w:semiHidden/>
    <w:unhideWhenUsed/>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DarkList-Accent23">
    <w:name w:val="Dark List - Accent 23"/>
    <w:basedOn w:val="TableNormal"/>
    <w:next w:val="DarkList-Accent2"/>
    <w:uiPriority w:val="70"/>
    <w:semiHidden/>
    <w:unhideWhenUsed/>
    <w:rPr>
      <w:color w:val="FFFFFF"/>
      <w:sz w:val="22"/>
      <w:szCs w:val="22"/>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ColorfulShading-Accent23">
    <w:name w:val="Colorful Shading - Accent 23"/>
    <w:basedOn w:val="TableNormal"/>
    <w:next w:val="ColorfulShading-Accent2"/>
    <w:uiPriority w:val="71"/>
    <w:semiHidden/>
    <w:unhideWhenUsed/>
    <w:rPr>
      <w:color w:val="000000"/>
      <w:sz w:val="22"/>
      <w:szCs w:val="22"/>
    </w:rPr>
    <w:tblPr>
      <w:tblStyleRowBandSize w:val="1"/>
      <w:tblStyleColBandSize w:val="1"/>
      <w:tblInd w:w="0" w:type="nil"/>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List-Accent23">
    <w:name w:val="Colorful List - Accent 23"/>
    <w:basedOn w:val="TableNormal"/>
    <w:next w:val="ColorfulList-Accent2"/>
    <w:uiPriority w:val="72"/>
    <w:semiHidden/>
    <w:unhideWhenUsed/>
    <w:rPr>
      <w:color w:val="000000"/>
      <w:sz w:val="22"/>
      <w:szCs w:val="22"/>
    </w:rPr>
    <w:tblPr>
      <w:tblStyleRowBandSize w:val="1"/>
      <w:tblStyleColBandSize w:val="1"/>
      <w:tblInd w:w="0" w:type="nil"/>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Grid-Accent23">
    <w:name w:val="Colorful Grid - Accent 23"/>
    <w:basedOn w:val="TableNormal"/>
    <w:next w:val="ColorfulGrid-Accent2"/>
    <w:uiPriority w:val="73"/>
    <w:semiHidden/>
    <w:unhideWhenUsed/>
    <w:rPr>
      <w:color w:val="000000"/>
      <w:sz w:val="22"/>
      <w:szCs w:val="22"/>
    </w:rPr>
    <w:tblPr>
      <w:tblStyleRowBandSize w:val="1"/>
      <w:tblStyleColBandSize w:val="1"/>
      <w:tblInd w:w="0" w:type="nil"/>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LightShading-Accent33">
    <w:name w:val="Light Shading - Accent 33"/>
    <w:basedOn w:val="TableNormal"/>
    <w:next w:val="LightShading-Accent3"/>
    <w:uiPriority w:val="60"/>
    <w:semiHidden/>
    <w:unhideWhenUsed/>
    <w:rPr>
      <w:color w:val="7B7B7B"/>
      <w:sz w:val="22"/>
      <w:szCs w:val="22"/>
    </w:rPr>
    <w:tblPr>
      <w:tblStyleRowBandSize w:val="1"/>
      <w:tblStyleColBandSize w:val="1"/>
      <w:tblInd w:w="0" w:type="nil"/>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Accent33">
    <w:name w:val="Light List - Accent 33"/>
    <w:basedOn w:val="TableNormal"/>
    <w:next w:val="LightList-Accent3"/>
    <w:uiPriority w:val="61"/>
    <w:semiHidden/>
    <w:unhideWhenUsed/>
    <w:rPr>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Grid-Accent33">
    <w:name w:val="Light Grid - Accent 33"/>
    <w:basedOn w:val="TableNormal"/>
    <w:next w:val="LightGrid-Accent3"/>
    <w:uiPriority w:val="62"/>
    <w:semiHidden/>
    <w:unhideWhenUsed/>
    <w:rPr>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3">
    <w:name w:val="Medium Shading 1 - Accent 33"/>
    <w:basedOn w:val="TableNormal"/>
    <w:next w:val="MediumShading1-Accent3"/>
    <w:uiPriority w:val="63"/>
    <w:semiHidden/>
    <w:unhideWhenUsed/>
    <w:rPr>
      <w:sz w:val="22"/>
      <w:szCs w:val="22"/>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0" w:beforeAutospacing="0" w:afterLines="0" w:after="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Accent33">
    <w:name w:val="Medium Shading 2 - Accent 33"/>
    <w:basedOn w:val="TableNormal"/>
    <w:next w:val="MediumShading2-Accent3"/>
    <w:uiPriority w:val="64"/>
    <w:semiHidden/>
    <w:unhideWhenUsed/>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33">
    <w:name w:val="Medium List 1 - Accent 33"/>
    <w:basedOn w:val="TableNormal"/>
    <w:next w:val="MediumList1-Accent3"/>
    <w:uiPriority w:val="65"/>
    <w:semiHidden/>
    <w:unhideWhenUsed/>
    <w:rPr>
      <w:color w:val="000000"/>
      <w:sz w:val="22"/>
      <w:szCs w:val="22"/>
    </w:rPr>
    <w:tblPr>
      <w:tblStyleRowBandSize w:val="1"/>
      <w:tblStyleColBandSize w:val="1"/>
      <w:tblInd w:w="0" w:type="nil"/>
      <w:tblBorders>
        <w:top w:val="single" w:sz="8" w:space="0" w:color="A5A5A5"/>
        <w:bottom w:val="single" w:sz="8" w:space="0" w:color="A5A5A5"/>
      </w:tblBorders>
    </w:tblPr>
    <w:tblStylePr w:type="firstRow">
      <w:rPr>
        <w:rFonts w:ascii="Times New Roman" w:eastAsia="Times New Roman" w:hAnsi="Times New Roman" w:cs="Times New Roman" w:hint="default"/>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2-Accent33">
    <w:name w:val="Medium List 2 - Accent 33"/>
    <w:basedOn w:val="TableNormal"/>
    <w:next w:val="MediumList2-Accent3"/>
    <w:uiPriority w:val="66"/>
    <w:semiHidden/>
    <w:unhideWhenUsed/>
    <w:rPr>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Grid1-Accent33">
    <w:name w:val="Medium Grid 1 - Accent 33"/>
    <w:basedOn w:val="TableNormal"/>
    <w:next w:val="MediumGrid1-Accent3"/>
    <w:uiPriority w:val="67"/>
    <w:semiHidden/>
    <w:unhideWhenUsed/>
    <w:rPr>
      <w:sz w:val="22"/>
      <w:szCs w:val="22"/>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2-Accent33">
    <w:name w:val="Medium Grid 2 - Accent 33"/>
    <w:basedOn w:val="TableNormal"/>
    <w:next w:val="MediumGrid2-Accent3"/>
    <w:uiPriority w:val="68"/>
    <w:semiHidden/>
    <w:unhideWhenUsed/>
    <w:rPr>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3-Accent33">
    <w:name w:val="Medium Grid 3 - Accent 33"/>
    <w:basedOn w:val="TableNormal"/>
    <w:next w:val="MediumGrid3-Accent3"/>
    <w:uiPriority w:val="69"/>
    <w:semiHidden/>
    <w:unhideWhenUsed/>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DarkList-Accent33">
    <w:name w:val="Dark List - Accent 33"/>
    <w:basedOn w:val="TableNormal"/>
    <w:next w:val="DarkList-Accent3"/>
    <w:uiPriority w:val="70"/>
    <w:semiHidden/>
    <w:unhideWhenUsed/>
    <w:rPr>
      <w:color w:val="FFFFFF"/>
      <w:sz w:val="22"/>
      <w:szCs w:val="22"/>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ColorfulShading-Accent33">
    <w:name w:val="Colorful Shading - Accent 33"/>
    <w:basedOn w:val="TableNormal"/>
    <w:next w:val="ColorfulShading-Accent3"/>
    <w:uiPriority w:val="71"/>
    <w:semiHidden/>
    <w:unhideWhenUsed/>
    <w:rPr>
      <w:color w:val="000000"/>
      <w:sz w:val="22"/>
      <w:szCs w:val="22"/>
    </w:rPr>
    <w:tblPr>
      <w:tblStyleRowBandSize w:val="1"/>
      <w:tblStyleColBandSize w:val="1"/>
      <w:tblInd w:w="0" w:type="nil"/>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List-Accent33">
    <w:name w:val="Colorful List - Accent 33"/>
    <w:basedOn w:val="TableNormal"/>
    <w:next w:val="ColorfulList-Accent3"/>
    <w:uiPriority w:val="72"/>
    <w:semiHidden/>
    <w:unhideWhenUsed/>
    <w:rPr>
      <w:color w:val="000000"/>
      <w:sz w:val="22"/>
      <w:szCs w:val="22"/>
    </w:rPr>
    <w:tblPr>
      <w:tblStyleRowBandSize w:val="1"/>
      <w:tblStyleColBandSize w:val="1"/>
      <w:tblInd w:w="0" w:type="nil"/>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Grid-Accent33">
    <w:name w:val="Colorful Grid - Accent 33"/>
    <w:basedOn w:val="TableNormal"/>
    <w:next w:val="ColorfulGrid-Accent3"/>
    <w:uiPriority w:val="73"/>
    <w:semiHidden/>
    <w:unhideWhenUsed/>
    <w:rPr>
      <w:color w:val="000000"/>
      <w:sz w:val="22"/>
      <w:szCs w:val="22"/>
    </w:rPr>
    <w:tblPr>
      <w:tblStyleRowBandSize w:val="1"/>
      <w:tblStyleColBandSize w:val="1"/>
      <w:tblInd w:w="0" w:type="nil"/>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LightShading-Accent43">
    <w:name w:val="Light Shading - Accent 43"/>
    <w:basedOn w:val="TableNormal"/>
    <w:next w:val="LightShading-Accent4"/>
    <w:uiPriority w:val="60"/>
    <w:semiHidden/>
    <w:unhideWhenUsed/>
    <w:rPr>
      <w:color w:val="BF8F00"/>
      <w:sz w:val="22"/>
      <w:szCs w:val="22"/>
    </w:rPr>
    <w:tblPr>
      <w:tblStyleRowBandSize w:val="1"/>
      <w:tblStyleColBandSize w:val="1"/>
      <w:tblInd w:w="0" w:type="nil"/>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List-Accent43">
    <w:name w:val="Light List - Accent 43"/>
    <w:basedOn w:val="TableNormal"/>
    <w:next w:val="LightList-Accent4"/>
    <w:uiPriority w:val="61"/>
    <w:semiHidden/>
    <w:unhideWhenUsed/>
    <w:rPr>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pPr>
        <w:spacing w:beforeLines="0" w:before="0" w:beforeAutospacing="0" w:afterLines="0" w:after="0" w:afterAutospacing="0" w:line="240" w:lineRule="auto"/>
      </w:pPr>
      <w:rPr>
        <w:b/>
        <w:bCs/>
        <w:color w:val="FFFFFF"/>
      </w:rPr>
      <w:tblPr/>
      <w:tcPr>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3">
    <w:name w:val="Light Grid - Accent 43"/>
    <w:basedOn w:val="TableNormal"/>
    <w:next w:val="LightGrid-Accent4"/>
    <w:uiPriority w:val="62"/>
    <w:semiHidden/>
    <w:unhideWhenUsed/>
    <w:rPr>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Shading1-Accent43">
    <w:name w:val="Medium Shading 1 - Accent 43"/>
    <w:basedOn w:val="TableNormal"/>
    <w:next w:val="MediumShading1-Accent4"/>
    <w:uiPriority w:val="63"/>
    <w:semiHidden/>
    <w:unhideWhenUsed/>
    <w:rPr>
      <w:sz w:val="22"/>
      <w:szCs w:val="22"/>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0" w:beforeAutospacing="0" w:afterLines="0" w:after="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3">
    <w:name w:val="Medium Shading 2 - Accent 43"/>
    <w:basedOn w:val="TableNormal"/>
    <w:next w:val="MediumShading2-Accent4"/>
    <w:uiPriority w:val="64"/>
    <w:semiHidden/>
    <w:unhideWhenUsed/>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3">
    <w:name w:val="Medium List 1 - Accent 43"/>
    <w:basedOn w:val="TableNormal"/>
    <w:next w:val="MediumList1-Accent4"/>
    <w:uiPriority w:val="65"/>
    <w:semiHidden/>
    <w:unhideWhenUsed/>
    <w:rPr>
      <w:color w:val="000000"/>
      <w:sz w:val="22"/>
      <w:szCs w:val="22"/>
    </w:rPr>
    <w:tblPr>
      <w:tblStyleRowBandSize w:val="1"/>
      <w:tblStyleColBandSize w:val="1"/>
      <w:tblInd w:w="0" w:type="nil"/>
      <w:tblBorders>
        <w:top w:val="single" w:sz="8" w:space="0" w:color="FFC000"/>
        <w:bottom w:val="single" w:sz="8" w:space="0" w:color="FFC000"/>
      </w:tblBorders>
    </w:tblPr>
    <w:tblStylePr w:type="firstRow">
      <w:rPr>
        <w:rFonts w:ascii="Times New Roman" w:eastAsia="Times New Roman" w:hAnsi="Times New Roman" w:cs="Times New Roman" w:hint="default"/>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43">
    <w:name w:val="Medium List 2 - Accent 43"/>
    <w:basedOn w:val="TableNormal"/>
    <w:next w:val="MediumList2-Accent4"/>
    <w:uiPriority w:val="66"/>
    <w:semiHidden/>
    <w:unhideWhenUsed/>
    <w:rPr>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Grid1-Accent43">
    <w:name w:val="Medium Grid 1 - Accent 43"/>
    <w:basedOn w:val="TableNormal"/>
    <w:next w:val="MediumGrid1-Accent4"/>
    <w:uiPriority w:val="67"/>
    <w:semiHidden/>
    <w:unhideWhenUsed/>
    <w:rPr>
      <w:sz w:val="22"/>
      <w:szCs w:val="22"/>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2-Accent43">
    <w:name w:val="Medium Grid 2 - Accent 43"/>
    <w:basedOn w:val="TableNormal"/>
    <w:next w:val="MediumGrid2-Accent4"/>
    <w:uiPriority w:val="68"/>
    <w:semiHidden/>
    <w:unhideWhenUsed/>
    <w:rPr>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3-Accent43">
    <w:name w:val="Medium Grid 3 - Accent 43"/>
    <w:basedOn w:val="TableNormal"/>
    <w:next w:val="MediumGrid3-Accent4"/>
    <w:uiPriority w:val="69"/>
    <w:semiHidden/>
    <w:unhideWhenUsed/>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DarkList-Accent43">
    <w:name w:val="Dark List - Accent 43"/>
    <w:basedOn w:val="TableNormal"/>
    <w:next w:val="DarkList-Accent4"/>
    <w:uiPriority w:val="70"/>
    <w:semiHidden/>
    <w:unhideWhenUsed/>
    <w:rPr>
      <w:color w:val="FFFFFF"/>
      <w:sz w:val="22"/>
      <w:szCs w:val="22"/>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ColorfulShading-Accent43">
    <w:name w:val="Colorful Shading - Accent 43"/>
    <w:basedOn w:val="TableNormal"/>
    <w:next w:val="ColorfulShading-Accent4"/>
    <w:uiPriority w:val="71"/>
    <w:semiHidden/>
    <w:unhideWhenUsed/>
    <w:rPr>
      <w:color w:val="000000"/>
      <w:sz w:val="22"/>
      <w:szCs w:val="22"/>
    </w:rPr>
    <w:tblPr>
      <w:tblStyleRowBandSize w:val="1"/>
      <w:tblStyleColBandSize w:val="1"/>
      <w:tblInd w:w="0" w:type="nil"/>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List-Accent43">
    <w:name w:val="Colorful List - Accent 43"/>
    <w:basedOn w:val="TableNormal"/>
    <w:next w:val="ColorfulList-Accent4"/>
    <w:uiPriority w:val="72"/>
    <w:semiHidden/>
    <w:unhideWhenUsed/>
    <w:rPr>
      <w:color w:val="000000"/>
      <w:sz w:val="22"/>
      <w:szCs w:val="22"/>
    </w:rPr>
    <w:tblPr>
      <w:tblStyleRowBandSize w:val="1"/>
      <w:tblStyleColBandSize w:val="1"/>
      <w:tblInd w:w="0" w:type="nil"/>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Grid-Accent43">
    <w:name w:val="Colorful Grid - Accent 43"/>
    <w:basedOn w:val="TableNormal"/>
    <w:next w:val="ColorfulGrid-Accent4"/>
    <w:uiPriority w:val="73"/>
    <w:semiHidden/>
    <w:unhideWhenUsed/>
    <w:rPr>
      <w:color w:val="000000"/>
      <w:sz w:val="22"/>
      <w:szCs w:val="22"/>
    </w:rPr>
    <w:tblPr>
      <w:tblStyleRowBandSize w:val="1"/>
      <w:tblStyleColBandSize w:val="1"/>
      <w:tblInd w:w="0" w:type="nil"/>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LightShading-Accent53">
    <w:name w:val="Light Shading - Accent 53"/>
    <w:basedOn w:val="TableNormal"/>
    <w:next w:val="LightShading-Accent5"/>
    <w:uiPriority w:val="60"/>
    <w:semiHidden/>
    <w:unhideWhenUsed/>
    <w:rPr>
      <w:color w:val="2F5496"/>
      <w:sz w:val="22"/>
      <w:szCs w:val="22"/>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Accent53">
    <w:name w:val="Light List - Accent 53"/>
    <w:basedOn w:val="TableNormal"/>
    <w:next w:val="LightList-Accent5"/>
    <w:uiPriority w:val="61"/>
    <w:semiHidden/>
    <w:unhideWhenUsed/>
    <w:rPr>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line="240" w:lineRule="auto"/>
      </w:pPr>
      <w:rPr>
        <w:b/>
        <w:bCs/>
        <w:color w:val="FFFFFF"/>
      </w:rPr>
      <w:tblPr/>
      <w:tcPr>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Grid-Accent53">
    <w:name w:val="Light Grid - Accent 53"/>
    <w:basedOn w:val="TableNormal"/>
    <w:next w:val="LightGrid-Accent5"/>
    <w:uiPriority w:val="62"/>
    <w:semiHidden/>
    <w:unhideWhenUsed/>
    <w:rPr>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Accent53">
    <w:name w:val="Medium Shading 1 - Accent 53"/>
    <w:basedOn w:val="TableNormal"/>
    <w:next w:val="MediumShading1-Accent5"/>
    <w:uiPriority w:val="63"/>
    <w:semiHidden/>
    <w:unhideWhenUsed/>
    <w:rPr>
      <w:sz w:val="22"/>
      <w:szCs w:val="22"/>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2-Accent53">
    <w:name w:val="Medium Shading 2 - Accent 53"/>
    <w:basedOn w:val="TableNormal"/>
    <w:next w:val="MediumShading2-Accent5"/>
    <w:uiPriority w:val="64"/>
    <w:semiHidden/>
    <w:unhideWhenUsed/>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53">
    <w:name w:val="Medium List 1 - Accent 53"/>
    <w:basedOn w:val="TableNormal"/>
    <w:next w:val="MediumList1-Accent5"/>
    <w:uiPriority w:val="65"/>
    <w:semiHidden/>
    <w:unhideWhenUsed/>
    <w:rPr>
      <w:color w:val="000000"/>
      <w:sz w:val="22"/>
      <w:szCs w:val="22"/>
    </w:rPr>
    <w:tblPr>
      <w:tblStyleRowBandSize w:val="1"/>
      <w:tblStyleColBandSize w:val="1"/>
      <w:tblInd w:w="0" w:type="nil"/>
      <w:tblBorders>
        <w:top w:val="single" w:sz="8" w:space="0" w:color="4472C4"/>
        <w:bottom w:val="single" w:sz="8" w:space="0" w:color="4472C4"/>
      </w:tblBorders>
    </w:tblPr>
    <w:tblStylePr w:type="firstRow">
      <w:rPr>
        <w:rFonts w:ascii="Times New Roman" w:eastAsia="Times New Roman" w:hAnsi="Times New Roman" w:cs="Times New Roman" w:hint="default"/>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2-Accent53">
    <w:name w:val="Medium List 2 - Accent 53"/>
    <w:basedOn w:val="TableNormal"/>
    <w:next w:val="MediumList2-Accent5"/>
    <w:uiPriority w:val="66"/>
    <w:semiHidden/>
    <w:unhideWhenUsed/>
    <w:rPr>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1-Accent53">
    <w:name w:val="Medium Grid 1 - Accent 53"/>
    <w:basedOn w:val="TableNormal"/>
    <w:next w:val="MediumGrid1-Accent5"/>
    <w:uiPriority w:val="67"/>
    <w:semiHidden/>
    <w:unhideWhenUsed/>
    <w:rPr>
      <w:sz w:val="22"/>
      <w:szCs w:val="22"/>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2-Accent53">
    <w:name w:val="Medium Grid 2 - Accent 53"/>
    <w:basedOn w:val="TableNormal"/>
    <w:next w:val="MediumGrid2-Accent5"/>
    <w:uiPriority w:val="68"/>
    <w:semiHidden/>
    <w:unhideWhenUsed/>
    <w:rPr>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3-Accent53">
    <w:name w:val="Medium Grid 3 - Accent 53"/>
    <w:basedOn w:val="TableNormal"/>
    <w:next w:val="MediumGrid3-Accent5"/>
    <w:uiPriority w:val="69"/>
    <w:semiHidden/>
    <w:unhideWhenUsed/>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DarkList-Accent53">
    <w:name w:val="Dark List - Accent 53"/>
    <w:basedOn w:val="TableNormal"/>
    <w:next w:val="DarkList-Accent5"/>
    <w:uiPriority w:val="70"/>
    <w:semiHidden/>
    <w:unhideWhenUsed/>
    <w:rPr>
      <w:color w:val="FFFFFF"/>
      <w:sz w:val="22"/>
      <w:szCs w:val="22"/>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ColorfulShading-Accent53">
    <w:name w:val="Colorful Shading - Accent 53"/>
    <w:basedOn w:val="TableNormal"/>
    <w:next w:val="ColorfulShading-Accent5"/>
    <w:uiPriority w:val="71"/>
    <w:semiHidden/>
    <w:unhideWhenUsed/>
    <w:rPr>
      <w:color w:val="000000"/>
      <w:sz w:val="22"/>
      <w:szCs w:val="22"/>
    </w:rPr>
    <w:tblPr>
      <w:tblStyleRowBandSize w:val="1"/>
      <w:tblStyleColBandSize w:val="1"/>
      <w:tblInd w:w="0" w:type="nil"/>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List-Accent53">
    <w:name w:val="Colorful List - Accent 53"/>
    <w:basedOn w:val="TableNormal"/>
    <w:next w:val="ColorfulList-Accent5"/>
    <w:uiPriority w:val="72"/>
    <w:semiHidden/>
    <w:unhideWhenUsed/>
    <w:rPr>
      <w:color w:val="000000"/>
      <w:sz w:val="22"/>
      <w:szCs w:val="22"/>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Grid-Accent53">
    <w:name w:val="Colorful Grid - Accent 53"/>
    <w:basedOn w:val="TableNormal"/>
    <w:next w:val="ColorfulGrid-Accent5"/>
    <w:uiPriority w:val="73"/>
    <w:semiHidden/>
    <w:unhideWhenUsed/>
    <w:rPr>
      <w:color w:val="000000"/>
      <w:sz w:val="22"/>
      <w:szCs w:val="22"/>
    </w:rPr>
    <w:tblPr>
      <w:tblStyleRowBandSize w:val="1"/>
      <w:tblStyleColBandSize w:val="1"/>
      <w:tblInd w:w="0" w:type="nil"/>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LightShading-Accent63">
    <w:name w:val="Light Shading - Accent 63"/>
    <w:basedOn w:val="TableNormal"/>
    <w:next w:val="LightShading-Accent6"/>
    <w:uiPriority w:val="60"/>
    <w:semiHidden/>
    <w:unhideWhenUsed/>
    <w:rPr>
      <w:color w:val="538135"/>
      <w:sz w:val="22"/>
      <w:szCs w:val="22"/>
    </w:rPr>
    <w:tblPr>
      <w:tblStyleRowBandSize w:val="1"/>
      <w:tblStyleColBandSize w:val="1"/>
      <w:tblInd w:w="0" w:type="nil"/>
      <w:tblBorders>
        <w:top w:val="single" w:sz="8" w:space="0" w:color="70AD47"/>
        <w:bottom w:val="single" w:sz="8" w:space="0" w:color="70AD47"/>
      </w:tblBorders>
    </w:tblPr>
    <w:tblStylePr w:type="firstRow">
      <w:pPr>
        <w:spacing w:beforeLines="0" w:before="0" w:beforeAutospacing="0" w:afterLines="0" w:after="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ghtList-Accent63">
    <w:name w:val="Light List - Accent 63"/>
    <w:basedOn w:val="TableNormal"/>
    <w:next w:val="LightList-Accent6"/>
    <w:uiPriority w:val="61"/>
    <w:semiHidden/>
    <w:unhideWhenUsed/>
    <w:rPr>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pPr>
        <w:spacing w:beforeLines="0" w:before="0" w:beforeAutospacing="0" w:afterLines="0" w:after="0" w:afterAutospacing="0" w:line="240" w:lineRule="auto"/>
      </w:pPr>
      <w:rPr>
        <w:b/>
        <w:bCs/>
        <w:color w:val="FFFFFF"/>
      </w:rPr>
      <w:tblPr/>
      <w:tcPr>
        <w:shd w:val="clear" w:color="auto" w:fill="70AD47"/>
      </w:tcPr>
    </w:tblStylePr>
    <w:tblStylePr w:type="lastRow">
      <w:pPr>
        <w:spacing w:beforeLines="0" w:before="0" w:beforeAutospacing="0" w:afterLines="0" w:after="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3">
    <w:name w:val="Light Grid - Accent 63"/>
    <w:basedOn w:val="TableNormal"/>
    <w:next w:val="LightGrid-Accent6"/>
    <w:uiPriority w:val="62"/>
    <w:semiHidden/>
    <w:unhideWhenUsed/>
    <w:rPr>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63">
    <w:name w:val="Medium Shading 1 - Accent 63"/>
    <w:basedOn w:val="TableNormal"/>
    <w:next w:val="MediumShading1-Accent6"/>
    <w:uiPriority w:val="63"/>
    <w:semiHidden/>
    <w:unhideWhenUsed/>
    <w:rPr>
      <w:sz w:val="22"/>
      <w:szCs w:val="22"/>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Lines="0" w:before="0" w:beforeAutospacing="0" w:afterLines="0" w:after="0" w:afterAutospacing="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Lines="0" w:before="0" w:beforeAutospacing="0" w:afterLines="0" w:after="0" w:afterAutospacing="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Accent63">
    <w:name w:val="Medium Shading 2 - Accent 63"/>
    <w:basedOn w:val="TableNormal"/>
    <w:next w:val="MediumShading2-Accent6"/>
    <w:uiPriority w:val="64"/>
    <w:semiHidden/>
    <w:unhideWhenUsed/>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63">
    <w:name w:val="Medium List 1 - Accent 63"/>
    <w:basedOn w:val="TableNormal"/>
    <w:next w:val="MediumList1-Accent6"/>
    <w:uiPriority w:val="65"/>
    <w:semiHidden/>
    <w:unhideWhenUsed/>
    <w:rPr>
      <w:color w:val="000000"/>
      <w:sz w:val="22"/>
      <w:szCs w:val="22"/>
    </w:rPr>
    <w:tblPr>
      <w:tblStyleRowBandSize w:val="1"/>
      <w:tblStyleColBandSize w:val="1"/>
      <w:tblInd w:w="0" w:type="nil"/>
      <w:tblBorders>
        <w:top w:val="single" w:sz="8" w:space="0" w:color="70AD47"/>
        <w:bottom w:val="single" w:sz="8" w:space="0" w:color="70AD47"/>
      </w:tblBorders>
    </w:tblPr>
    <w:tblStylePr w:type="firstRow">
      <w:rPr>
        <w:rFonts w:ascii="Times New Roman" w:eastAsia="Times New Roman" w:hAnsi="Times New Roman" w:cs="Times New Roman" w:hint="default"/>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Accent63">
    <w:name w:val="Medium List 2 - Accent 63"/>
    <w:basedOn w:val="TableNormal"/>
    <w:next w:val="MediumList2-Accent6"/>
    <w:uiPriority w:val="66"/>
    <w:semiHidden/>
    <w:unhideWhenUsed/>
    <w:rPr>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Grid1-Accent63">
    <w:name w:val="Medium Grid 1 - Accent 63"/>
    <w:basedOn w:val="TableNormal"/>
    <w:next w:val="MediumGrid1-Accent6"/>
    <w:uiPriority w:val="67"/>
    <w:semiHidden/>
    <w:unhideWhenUsed/>
    <w:rPr>
      <w:sz w:val="22"/>
      <w:szCs w:val="22"/>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Accent63">
    <w:name w:val="Medium Grid 2 - Accent 63"/>
    <w:basedOn w:val="TableNormal"/>
    <w:next w:val="MediumGrid2-Accent6"/>
    <w:uiPriority w:val="68"/>
    <w:semiHidden/>
    <w:unhideWhenUsed/>
    <w:rPr>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Accent63">
    <w:name w:val="Medium Grid 3 - Accent 63"/>
    <w:basedOn w:val="TableNormal"/>
    <w:next w:val="MediumGrid3-Accent6"/>
    <w:uiPriority w:val="69"/>
    <w:semiHidden/>
    <w:unhideWhenUsed/>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DarkList-Accent63">
    <w:name w:val="Dark List - Accent 63"/>
    <w:basedOn w:val="TableNormal"/>
    <w:next w:val="DarkList-Accent6"/>
    <w:uiPriority w:val="70"/>
    <w:semiHidden/>
    <w:unhideWhenUsed/>
    <w:rPr>
      <w:color w:val="FFFFFF"/>
      <w:sz w:val="22"/>
      <w:szCs w:val="22"/>
    </w:rPr>
    <w:tblPr>
      <w:tblStyleRowBandSize w:val="1"/>
      <w:tblStyleColBandSize w:val="1"/>
      <w:tblInd w:w="0" w:type="nil"/>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ColorfulShading-Accent63">
    <w:name w:val="Colorful Shading - Accent 63"/>
    <w:basedOn w:val="TableNormal"/>
    <w:next w:val="ColorfulShading-Accent6"/>
    <w:uiPriority w:val="71"/>
    <w:semiHidden/>
    <w:unhideWhenUsed/>
    <w:rPr>
      <w:color w:val="000000"/>
      <w:sz w:val="22"/>
      <w:szCs w:val="22"/>
    </w:rPr>
    <w:tblPr>
      <w:tblStyleRowBandSize w:val="1"/>
      <w:tblStyleColBandSize w:val="1"/>
      <w:tblInd w:w="0" w:type="nil"/>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ColorfulList-Accent63">
    <w:name w:val="Colorful List - Accent 63"/>
    <w:basedOn w:val="TableNormal"/>
    <w:next w:val="ColorfulList-Accent6"/>
    <w:uiPriority w:val="72"/>
    <w:semiHidden/>
    <w:unhideWhenUsed/>
    <w:rPr>
      <w:color w:val="000000"/>
      <w:sz w:val="22"/>
      <w:szCs w:val="22"/>
    </w:rPr>
    <w:tblPr>
      <w:tblStyleRowBandSize w:val="1"/>
      <w:tblStyleColBandSize w:val="1"/>
      <w:tblInd w:w="0" w:type="nil"/>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Grid-Accent63">
    <w:name w:val="Colorful Grid - Accent 63"/>
    <w:basedOn w:val="TableNormal"/>
    <w:next w:val="ColorfulGrid-Accent6"/>
    <w:uiPriority w:val="73"/>
    <w:semiHidden/>
    <w:unhideWhenUsed/>
    <w:rPr>
      <w:color w:val="000000"/>
      <w:sz w:val="22"/>
      <w:szCs w:val="22"/>
    </w:rPr>
    <w:tblPr>
      <w:tblStyleRowBandSize w:val="1"/>
      <w:tblStyleColBandSize w:val="1"/>
      <w:tblInd w:w="0" w:type="nil"/>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PlainTable13">
    <w:name w:val="Plain Table 13"/>
    <w:basedOn w:val="TableNormal"/>
    <w:next w:val="PlainTable1"/>
    <w:uiPriority w:val="41"/>
    <w:rPr>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3">
    <w:name w:val="Plain Table 23"/>
    <w:basedOn w:val="TableNormal"/>
    <w:next w:val="PlainTable2"/>
    <w:uiPriority w:val="42"/>
    <w:rPr>
      <w:sz w:val="22"/>
      <w:szCs w:val="22"/>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3">
    <w:name w:val="Plain Table 33"/>
    <w:basedOn w:val="TableNormal"/>
    <w:next w:val="PlainTable3"/>
    <w:uiPriority w:val="43"/>
    <w:rPr>
      <w:sz w:val="22"/>
      <w:szCs w:val="22"/>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44"/>
    <w:rPr>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3">
    <w:name w:val="Plain Table 53"/>
    <w:basedOn w:val="TableNormal"/>
    <w:next w:val="PlainTable5"/>
    <w:uiPriority w:val="45"/>
    <w:rPr>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7F7F7F"/>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F7F7F"/>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3">
    <w:name w:val="Table Grid Light3"/>
    <w:basedOn w:val="TableNormal"/>
    <w:next w:val="TableGridLight"/>
    <w:uiPriority w:val="40"/>
    <w:rPr>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3">
    <w:name w:val="Grid Table 1 Light3"/>
    <w:basedOn w:val="TableNormal"/>
    <w:next w:val="GridTable1Light"/>
    <w:uiPriority w:val="46"/>
    <w:rPr>
      <w:sz w:val="22"/>
      <w:szCs w:val="22"/>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3">
    <w:name w:val="Grid Table 23"/>
    <w:basedOn w:val="TableNormal"/>
    <w:next w:val="GridTable2"/>
    <w:uiPriority w:val="47"/>
    <w:rPr>
      <w:sz w:val="22"/>
      <w:szCs w:val="22"/>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3">
    <w:name w:val="Grid Table 33"/>
    <w:basedOn w:val="TableNormal"/>
    <w:next w:val="GridTable3"/>
    <w:uiPriority w:val="48"/>
    <w:rPr>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3">
    <w:name w:val="Grid Table 43"/>
    <w:basedOn w:val="TableNormal"/>
    <w:next w:val="GridTable4"/>
    <w:uiPriority w:val="49"/>
    <w:rPr>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3">
    <w:name w:val="Grid Table 5 Dark3"/>
    <w:basedOn w:val="TableNormal"/>
    <w:next w:val="GridTable5Dark"/>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6Colorful3">
    <w:name w:val="Grid Table 6 Colorful3"/>
    <w:basedOn w:val="TableNormal"/>
    <w:next w:val="GridTable6Colorful"/>
    <w:uiPriority w:val="51"/>
    <w:rPr>
      <w:color w:val="000000"/>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7Colorful3">
    <w:name w:val="Grid Table 7 Colorful3"/>
    <w:basedOn w:val="TableNormal"/>
    <w:next w:val="GridTable7Colorful"/>
    <w:uiPriority w:val="52"/>
    <w:rPr>
      <w:color w:val="000000"/>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3">
    <w:name w:val="Grid Table 1 Light - Accent 13"/>
    <w:basedOn w:val="TableNormal"/>
    <w:next w:val="GridTable1Light-Accent1"/>
    <w:uiPriority w:val="46"/>
    <w:rPr>
      <w:sz w:val="22"/>
      <w:szCs w:val="22"/>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3">
    <w:name w:val="Grid Table 2 - Accent 13"/>
    <w:basedOn w:val="TableNormal"/>
    <w:next w:val="GridTable2-Accent1"/>
    <w:uiPriority w:val="47"/>
    <w:rPr>
      <w:sz w:val="22"/>
      <w:szCs w:val="22"/>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3-Accent13">
    <w:name w:val="Grid Table 3 - Accent 13"/>
    <w:basedOn w:val="TableNormal"/>
    <w:next w:val="GridTable3-Accent1"/>
    <w:uiPriority w:val="48"/>
    <w:rPr>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4-Accent13">
    <w:name w:val="Grid Table 4 - Accent 13"/>
    <w:basedOn w:val="TableNormal"/>
    <w:next w:val="GridTable4-Accent1"/>
    <w:uiPriority w:val="49"/>
    <w:rPr>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3">
    <w:name w:val="Grid Table 5 Dark - Accent 13"/>
    <w:basedOn w:val="TableNormal"/>
    <w:next w:val="GridTable5Dark-Accent1"/>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6Colorful-Accent13">
    <w:name w:val="Grid Table 6 Colorful - Accent 13"/>
    <w:basedOn w:val="TableNormal"/>
    <w:next w:val="GridTable6Colorful-Accent1"/>
    <w:uiPriority w:val="51"/>
    <w:rPr>
      <w:color w:val="2E74B5"/>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7Colorful-Accent13">
    <w:name w:val="Grid Table 7 Colorful - Accent 13"/>
    <w:basedOn w:val="TableNormal"/>
    <w:next w:val="GridTable7Colorful-Accent1"/>
    <w:uiPriority w:val="52"/>
    <w:rPr>
      <w:color w:val="2E74B5"/>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1Light-Accent23">
    <w:name w:val="Grid Table 1 Light - Accent 23"/>
    <w:basedOn w:val="TableNormal"/>
    <w:next w:val="GridTable1Light-Accent2"/>
    <w:uiPriority w:val="46"/>
    <w:rPr>
      <w:sz w:val="22"/>
      <w:szCs w:val="22"/>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2-Accent23">
    <w:name w:val="Grid Table 2 - Accent 23"/>
    <w:basedOn w:val="TableNormal"/>
    <w:next w:val="GridTable2-Accent2"/>
    <w:uiPriority w:val="47"/>
    <w:rPr>
      <w:sz w:val="22"/>
      <w:szCs w:val="22"/>
    </w:rPr>
    <w:tblPr>
      <w:tblStyleRowBandSize w:val="1"/>
      <w:tblStyleColBandSize w:val="1"/>
      <w:tblInd w:w="0" w:type="nil"/>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3-Accent23">
    <w:name w:val="Grid Table 3 - Accent 23"/>
    <w:basedOn w:val="TableNormal"/>
    <w:next w:val="GridTable3-Accent2"/>
    <w:uiPriority w:val="48"/>
    <w:rPr>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4-Accent23">
    <w:name w:val="Grid Table 4 - Accent 23"/>
    <w:basedOn w:val="TableNormal"/>
    <w:next w:val="GridTable4-Accent2"/>
    <w:uiPriority w:val="49"/>
    <w:rPr>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3">
    <w:name w:val="Grid Table 5 Dark - Accent 23"/>
    <w:basedOn w:val="TableNormal"/>
    <w:next w:val="GridTable5Dark-Accent2"/>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6Colorful-Accent23">
    <w:name w:val="Grid Table 6 Colorful - Accent 23"/>
    <w:basedOn w:val="TableNormal"/>
    <w:next w:val="GridTable6Colorful-Accent2"/>
    <w:uiPriority w:val="51"/>
    <w:rPr>
      <w:color w:val="C45911"/>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7Colorful-Accent23">
    <w:name w:val="Grid Table 7 Colorful - Accent 23"/>
    <w:basedOn w:val="TableNormal"/>
    <w:next w:val="GridTable7Colorful-Accent2"/>
    <w:uiPriority w:val="52"/>
    <w:rPr>
      <w:color w:val="C45911"/>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1Light-Accent33">
    <w:name w:val="Grid Table 1 Light - Accent 33"/>
    <w:basedOn w:val="TableNormal"/>
    <w:next w:val="GridTable1Light-Accent3"/>
    <w:uiPriority w:val="46"/>
    <w:rPr>
      <w:sz w:val="22"/>
      <w:szCs w:val="22"/>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33">
    <w:name w:val="Grid Table 2 - Accent 33"/>
    <w:basedOn w:val="TableNormal"/>
    <w:next w:val="GridTable2-Accent3"/>
    <w:uiPriority w:val="47"/>
    <w:rPr>
      <w:sz w:val="22"/>
      <w:szCs w:val="22"/>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3">
    <w:name w:val="Grid Table 3 - Accent 33"/>
    <w:basedOn w:val="TableNormal"/>
    <w:next w:val="GridTable3-Accent3"/>
    <w:uiPriority w:val="48"/>
    <w:rPr>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4-Accent33">
    <w:name w:val="Grid Table 4 - Accent 33"/>
    <w:basedOn w:val="TableNormal"/>
    <w:next w:val="GridTable4-Accent3"/>
    <w:uiPriority w:val="49"/>
    <w:rPr>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3">
    <w:name w:val="Grid Table 5 Dark - Accent 33"/>
    <w:basedOn w:val="TableNormal"/>
    <w:next w:val="GridTable5Dark-Accent3"/>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6Colorful-Accent33">
    <w:name w:val="Grid Table 6 Colorful - Accent 33"/>
    <w:basedOn w:val="TableNormal"/>
    <w:next w:val="GridTable6Colorful-Accent3"/>
    <w:uiPriority w:val="51"/>
    <w:rPr>
      <w:color w:val="7B7B7B"/>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7Colorful-Accent33">
    <w:name w:val="Grid Table 7 Colorful - Accent 33"/>
    <w:basedOn w:val="TableNormal"/>
    <w:next w:val="GridTable7Colorful-Accent3"/>
    <w:uiPriority w:val="52"/>
    <w:rPr>
      <w:color w:val="7B7B7B"/>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1Light-Accent43">
    <w:name w:val="Grid Table 1 Light - Accent 43"/>
    <w:basedOn w:val="TableNormal"/>
    <w:next w:val="GridTable1Light-Accent4"/>
    <w:uiPriority w:val="46"/>
    <w:rPr>
      <w:sz w:val="22"/>
      <w:szCs w:val="22"/>
    </w:rPr>
    <w:tblPr>
      <w:tblStyleRowBandSize w:val="1"/>
      <w:tblStyleColBandSize w:val="1"/>
      <w:tblInd w:w="0" w:type="nil"/>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2-Accent43">
    <w:name w:val="Grid Table 2 - Accent 43"/>
    <w:basedOn w:val="TableNormal"/>
    <w:next w:val="GridTable2-Accent4"/>
    <w:uiPriority w:val="47"/>
    <w:rPr>
      <w:sz w:val="22"/>
      <w:szCs w:val="22"/>
    </w:rPr>
    <w:tblPr>
      <w:tblStyleRowBandSize w:val="1"/>
      <w:tblStyleColBandSize w:val="1"/>
      <w:tblInd w:w="0" w:type="nil"/>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3-Accent43">
    <w:name w:val="Grid Table 3 - Accent 43"/>
    <w:basedOn w:val="TableNormal"/>
    <w:next w:val="GridTable3-Accent4"/>
    <w:uiPriority w:val="48"/>
    <w:rPr>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4-Accent43">
    <w:name w:val="Grid Table 4 - Accent 43"/>
    <w:basedOn w:val="TableNormal"/>
    <w:next w:val="GridTable4-Accent4"/>
    <w:uiPriority w:val="49"/>
    <w:rPr>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3">
    <w:name w:val="Grid Table 5 Dark - Accent 43"/>
    <w:basedOn w:val="TableNormal"/>
    <w:next w:val="GridTable5Dark-Accent4"/>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6Colorful-Accent43">
    <w:name w:val="Grid Table 6 Colorful - Accent 43"/>
    <w:basedOn w:val="TableNormal"/>
    <w:next w:val="GridTable6Colorful-Accent4"/>
    <w:uiPriority w:val="51"/>
    <w:rPr>
      <w:color w:val="BF8F00"/>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7Colorful-Accent43">
    <w:name w:val="Grid Table 7 Colorful - Accent 43"/>
    <w:basedOn w:val="TableNormal"/>
    <w:next w:val="GridTable7Colorful-Accent4"/>
    <w:uiPriority w:val="52"/>
    <w:rPr>
      <w:color w:val="BF8F00"/>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1Light-Accent53">
    <w:name w:val="Grid Table 1 Light - Accent 53"/>
    <w:basedOn w:val="TableNormal"/>
    <w:next w:val="GridTable1Light-Accent5"/>
    <w:uiPriority w:val="46"/>
    <w:rPr>
      <w:sz w:val="22"/>
      <w:szCs w:val="22"/>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2-Accent53">
    <w:name w:val="Grid Table 2 - Accent 53"/>
    <w:basedOn w:val="TableNormal"/>
    <w:next w:val="GridTable2-Accent5"/>
    <w:uiPriority w:val="47"/>
    <w:rPr>
      <w:sz w:val="22"/>
      <w:szCs w:val="22"/>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3-Accent53">
    <w:name w:val="Grid Table 3 - Accent 53"/>
    <w:basedOn w:val="TableNormal"/>
    <w:next w:val="GridTable3-Accent5"/>
    <w:uiPriority w:val="48"/>
    <w:rPr>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4-Accent53">
    <w:name w:val="Grid Table 4 - Accent 53"/>
    <w:basedOn w:val="TableNormal"/>
    <w:next w:val="GridTable4-Accent5"/>
    <w:uiPriority w:val="49"/>
    <w:rPr>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3">
    <w:name w:val="Grid Table 5 Dark - Accent 53"/>
    <w:basedOn w:val="TableNormal"/>
    <w:next w:val="GridTable5Dark-Accent5"/>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53">
    <w:name w:val="Grid Table 6 Colorful - Accent 53"/>
    <w:basedOn w:val="TableNormal"/>
    <w:next w:val="GridTable6Colorful-Accent5"/>
    <w:uiPriority w:val="51"/>
    <w:rPr>
      <w:color w:val="2F5496"/>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7Colorful-Accent53">
    <w:name w:val="Grid Table 7 Colorful - Accent 53"/>
    <w:basedOn w:val="TableNormal"/>
    <w:next w:val="GridTable7Colorful-Accent5"/>
    <w:uiPriority w:val="52"/>
    <w:rPr>
      <w:color w:val="2F5496"/>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1Light-Accent63">
    <w:name w:val="Grid Table 1 Light - Accent 63"/>
    <w:basedOn w:val="TableNormal"/>
    <w:next w:val="GridTable1Light-Accent6"/>
    <w:uiPriority w:val="46"/>
    <w:rPr>
      <w:sz w:val="22"/>
      <w:szCs w:val="22"/>
    </w:rPr>
    <w:tblPr>
      <w:tblStyleRowBandSize w:val="1"/>
      <w:tblStyleColBandSize w:val="1"/>
      <w:tblInd w:w="0" w:type="nil"/>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Accent63">
    <w:name w:val="Grid Table 2 - Accent 63"/>
    <w:basedOn w:val="TableNormal"/>
    <w:next w:val="GridTable2-Accent6"/>
    <w:uiPriority w:val="47"/>
    <w:rPr>
      <w:sz w:val="22"/>
      <w:szCs w:val="22"/>
    </w:rPr>
    <w:tblPr>
      <w:tblStyleRowBandSize w:val="1"/>
      <w:tblStyleColBandSize w:val="1"/>
      <w:tblInd w:w="0" w:type="nil"/>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63">
    <w:name w:val="Grid Table 3 - Accent 63"/>
    <w:basedOn w:val="TableNormal"/>
    <w:next w:val="GridTable3-Accent6"/>
    <w:uiPriority w:val="48"/>
    <w:rPr>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Accent63">
    <w:name w:val="Grid Table 4 - Accent 63"/>
    <w:basedOn w:val="TableNormal"/>
    <w:next w:val="GridTable4-Accent6"/>
    <w:uiPriority w:val="49"/>
    <w:rPr>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3">
    <w:name w:val="Grid Table 5 Dark - Accent 63"/>
    <w:basedOn w:val="TableNormal"/>
    <w:next w:val="GridTable5Dark-Accent6"/>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Accent63">
    <w:name w:val="Grid Table 6 Colorful - Accent 63"/>
    <w:basedOn w:val="TableNormal"/>
    <w:next w:val="GridTable6Colorful-Accent6"/>
    <w:uiPriority w:val="51"/>
    <w:rPr>
      <w:color w:val="538135"/>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Accent63">
    <w:name w:val="Grid Table 7 Colorful - Accent 63"/>
    <w:basedOn w:val="TableNormal"/>
    <w:next w:val="GridTable7Colorful-Accent6"/>
    <w:uiPriority w:val="52"/>
    <w:rPr>
      <w:color w:val="538135"/>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stTable1Light3">
    <w:name w:val="List Table 1 Light3"/>
    <w:basedOn w:val="TableNormal"/>
    <w:next w:val="ListTable1Light"/>
    <w:uiPriority w:val="46"/>
    <w:rPr>
      <w:sz w:val="22"/>
      <w:szCs w:val="22"/>
    </w:rPr>
    <w:tblPr>
      <w:tblStyleRowBandSize w:val="1"/>
      <w:tblStyleColBandSize w:val="1"/>
      <w:tblInd w:w="0" w:type="nil"/>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3">
    <w:name w:val="List Table 23"/>
    <w:basedOn w:val="TableNormal"/>
    <w:next w:val="ListTable2"/>
    <w:uiPriority w:val="47"/>
    <w:rPr>
      <w:sz w:val="22"/>
      <w:szCs w:val="22"/>
    </w:rPr>
    <w:tblPr>
      <w:tblStyleRowBandSize w:val="1"/>
      <w:tblStyleColBandSize w:val="1"/>
      <w:tblInd w:w="0" w:type="nil"/>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3">
    <w:name w:val="List Table 33"/>
    <w:basedOn w:val="TableNormal"/>
    <w:next w:val="ListTable3"/>
    <w:uiPriority w:val="48"/>
    <w:rPr>
      <w:sz w:val="22"/>
      <w:szCs w:val="22"/>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43">
    <w:name w:val="List Table 43"/>
    <w:basedOn w:val="TableNormal"/>
    <w:next w:val="ListTable4"/>
    <w:uiPriority w:val="49"/>
    <w:rPr>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5Dark3">
    <w:name w:val="List Table 5 Dark3"/>
    <w:basedOn w:val="TableNormal"/>
    <w:next w:val="ListTable5Dark"/>
    <w:uiPriority w:val="50"/>
    <w:rPr>
      <w:color w:val="FFFFFF"/>
      <w:sz w:val="22"/>
      <w:szCs w:val="22"/>
    </w:rPr>
    <w:tblPr>
      <w:tblStyleRowBandSize w:val="1"/>
      <w:tblStyleColBandSize w:val="1"/>
      <w:tblInd w:w="0" w:type="nil"/>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3">
    <w:name w:val="List Table 6 Colorful3"/>
    <w:basedOn w:val="TableNormal"/>
    <w:next w:val="ListTable6Colorful"/>
    <w:uiPriority w:val="51"/>
    <w:rPr>
      <w:color w:val="000000"/>
      <w:sz w:val="22"/>
      <w:szCs w:val="22"/>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3">
    <w:name w:val="List Table 7 Colorful3"/>
    <w:basedOn w:val="TableNormal"/>
    <w:next w:val="ListTable7Colorful"/>
    <w:uiPriority w:val="52"/>
    <w:rPr>
      <w:color w:val="000000"/>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000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000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13">
    <w:name w:val="List Table 1 Light - Accent 13"/>
    <w:basedOn w:val="TableNormal"/>
    <w:next w:val="ListTable1Light-Accent1"/>
    <w:uiPriority w:val="46"/>
    <w:rPr>
      <w:sz w:val="22"/>
      <w:szCs w:val="22"/>
    </w:rPr>
    <w:tblPr>
      <w:tblStyleRowBandSize w:val="1"/>
      <w:tblStyleColBandSize w:val="1"/>
      <w:tblInd w:w="0" w:type="nil"/>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13">
    <w:name w:val="List Table 2 - Accent 13"/>
    <w:basedOn w:val="TableNormal"/>
    <w:next w:val="ListTable2-Accent1"/>
    <w:uiPriority w:val="47"/>
    <w:rPr>
      <w:sz w:val="22"/>
      <w:szCs w:val="22"/>
    </w:rPr>
    <w:tblPr>
      <w:tblStyleRowBandSize w:val="1"/>
      <w:tblStyleColBandSize w:val="1"/>
      <w:tblInd w:w="0" w:type="nil"/>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3">
    <w:name w:val="List Table 3 - Accent 13"/>
    <w:basedOn w:val="TableNormal"/>
    <w:next w:val="ListTable3-Accent1"/>
    <w:uiPriority w:val="48"/>
    <w:rPr>
      <w:sz w:val="22"/>
      <w:szCs w:val="22"/>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4-Accent13">
    <w:name w:val="List Table 4 - Accent 13"/>
    <w:basedOn w:val="TableNormal"/>
    <w:next w:val="ListTable4-Accent1"/>
    <w:uiPriority w:val="49"/>
    <w:rPr>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5Dark-Accent13">
    <w:name w:val="List Table 5 Dark - Accent 13"/>
    <w:basedOn w:val="TableNormal"/>
    <w:next w:val="ListTable5Dark-Accent1"/>
    <w:uiPriority w:val="50"/>
    <w:rPr>
      <w:color w:val="FFFFFF"/>
      <w:sz w:val="22"/>
      <w:szCs w:val="22"/>
    </w:rPr>
    <w:tblPr>
      <w:tblStyleRowBandSize w:val="1"/>
      <w:tblStyleColBandSize w:val="1"/>
      <w:tblInd w:w="0" w:type="nil"/>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3">
    <w:name w:val="List Table 6 Colorful - Accent 13"/>
    <w:basedOn w:val="TableNormal"/>
    <w:next w:val="ListTable6Colorful-Accent1"/>
    <w:uiPriority w:val="51"/>
    <w:rPr>
      <w:color w:val="2E74B5"/>
      <w:sz w:val="22"/>
      <w:szCs w:val="22"/>
    </w:rPr>
    <w:tblPr>
      <w:tblStyleRowBandSize w:val="1"/>
      <w:tblStyleColBandSize w:val="1"/>
      <w:tblInd w:w="0" w:type="nil"/>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7Colorful-Accent13">
    <w:name w:val="List Table 7 Colorful - Accent 13"/>
    <w:basedOn w:val="TableNormal"/>
    <w:next w:val="ListTable7Colorful-Accent1"/>
    <w:uiPriority w:val="52"/>
    <w:rPr>
      <w:color w:val="2E74B5"/>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5B9BD5"/>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5B9BD5"/>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5B9BD5"/>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23">
    <w:name w:val="List Table 1 Light - Accent 23"/>
    <w:basedOn w:val="TableNormal"/>
    <w:next w:val="ListTable1Light-Accent2"/>
    <w:uiPriority w:val="46"/>
    <w:rPr>
      <w:sz w:val="22"/>
      <w:szCs w:val="22"/>
    </w:rPr>
    <w:tblPr>
      <w:tblStyleRowBandSize w:val="1"/>
      <w:tblStyleColBandSize w:val="1"/>
      <w:tblInd w:w="0" w:type="nil"/>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23">
    <w:name w:val="List Table 2 - Accent 23"/>
    <w:basedOn w:val="TableNormal"/>
    <w:next w:val="ListTable2-Accent2"/>
    <w:uiPriority w:val="47"/>
    <w:rPr>
      <w:sz w:val="22"/>
      <w:szCs w:val="22"/>
    </w:rPr>
    <w:tblPr>
      <w:tblStyleRowBandSize w:val="1"/>
      <w:tblStyleColBandSize w:val="1"/>
      <w:tblInd w:w="0" w:type="nil"/>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3">
    <w:name w:val="List Table 3 - Accent 23"/>
    <w:basedOn w:val="TableNormal"/>
    <w:next w:val="ListTable3-Accent2"/>
    <w:uiPriority w:val="48"/>
    <w:rPr>
      <w:sz w:val="22"/>
      <w:szCs w:val="22"/>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4-Accent23">
    <w:name w:val="List Table 4 - Accent 23"/>
    <w:basedOn w:val="TableNormal"/>
    <w:next w:val="ListTable4-Accent2"/>
    <w:uiPriority w:val="49"/>
    <w:rPr>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5Dark-Accent23">
    <w:name w:val="List Table 5 Dark - Accent 23"/>
    <w:basedOn w:val="TableNormal"/>
    <w:next w:val="ListTable5Dark-Accent2"/>
    <w:uiPriority w:val="50"/>
    <w:rPr>
      <w:color w:val="FFFFFF"/>
      <w:sz w:val="22"/>
      <w:szCs w:val="22"/>
    </w:rPr>
    <w:tblPr>
      <w:tblStyleRowBandSize w:val="1"/>
      <w:tblStyleColBandSize w:val="1"/>
      <w:tblInd w:w="0" w:type="nil"/>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23">
    <w:name w:val="List Table 6 Colorful - Accent 23"/>
    <w:basedOn w:val="TableNormal"/>
    <w:next w:val="ListTable6Colorful-Accent2"/>
    <w:uiPriority w:val="51"/>
    <w:rPr>
      <w:color w:val="C45911"/>
      <w:sz w:val="22"/>
      <w:szCs w:val="22"/>
    </w:rPr>
    <w:tblPr>
      <w:tblStyleRowBandSize w:val="1"/>
      <w:tblStyleColBandSize w:val="1"/>
      <w:tblInd w:w="0" w:type="nil"/>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7Colorful-Accent23">
    <w:name w:val="List Table 7 Colorful - Accent 23"/>
    <w:basedOn w:val="TableNormal"/>
    <w:next w:val="ListTable7Colorful-Accent2"/>
    <w:uiPriority w:val="52"/>
    <w:rPr>
      <w:color w:val="C45911"/>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ED7D31"/>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ED7D31"/>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ED7D31"/>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33">
    <w:name w:val="List Table 1 Light - Accent 33"/>
    <w:basedOn w:val="TableNormal"/>
    <w:next w:val="ListTable1Light-Accent3"/>
    <w:uiPriority w:val="46"/>
    <w:rPr>
      <w:sz w:val="22"/>
      <w:szCs w:val="22"/>
    </w:rPr>
    <w:tblPr>
      <w:tblStyleRowBandSize w:val="1"/>
      <w:tblStyleColBandSize w:val="1"/>
      <w:tblInd w:w="0" w:type="nil"/>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33">
    <w:name w:val="List Table 2 - Accent 33"/>
    <w:basedOn w:val="TableNormal"/>
    <w:next w:val="ListTable2-Accent3"/>
    <w:uiPriority w:val="47"/>
    <w:rPr>
      <w:sz w:val="22"/>
      <w:szCs w:val="22"/>
    </w:rPr>
    <w:tblPr>
      <w:tblStyleRowBandSize w:val="1"/>
      <w:tblStyleColBandSize w:val="1"/>
      <w:tblInd w:w="0" w:type="nil"/>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3-Accent33">
    <w:name w:val="List Table 3 - Accent 33"/>
    <w:basedOn w:val="TableNormal"/>
    <w:next w:val="ListTable3-Accent3"/>
    <w:uiPriority w:val="48"/>
    <w:rPr>
      <w:sz w:val="22"/>
      <w:szCs w:val="22"/>
    </w:rPr>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4-Accent33">
    <w:name w:val="List Table 4 - Accent 33"/>
    <w:basedOn w:val="TableNormal"/>
    <w:next w:val="ListTable4-Accent3"/>
    <w:uiPriority w:val="49"/>
    <w:rPr>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5Dark-Accent33">
    <w:name w:val="List Table 5 Dark - Accent 33"/>
    <w:basedOn w:val="TableNormal"/>
    <w:next w:val="ListTable5Dark-Accent3"/>
    <w:uiPriority w:val="50"/>
    <w:rPr>
      <w:color w:val="FFFFFF"/>
      <w:sz w:val="22"/>
      <w:szCs w:val="22"/>
    </w:rPr>
    <w:tblPr>
      <w:tblStyleRowBandSize w:val="1"/>
      <w:tblStyleColBandSize w:val="1"/>
      <w:tblInd w:w="0" w:type="nil"/>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33">
    <w:name w:val="List Table 6 Colorful - Accent 33"/>
    <w:basedOn w:val="TableNormal"/>
    <w:next w:val="ListTable6Colorful-Accent3"/>
    <w:uiPriority w:val="51"/>
    <w:rPr>
      <w:color w:val="7B7B7B"/>
      <w:sz w:val="22"/>
      <w:szCs w:val="22"/>
    </w:rPr>
    <w:tblPr>
      <w:tblStyleRowBandSize w:val="1"/>
      <w:tblStyleColBandSize w:val="1"/>
      <w:tblInd w:w="0" w:type="nil"/>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7Colorful-Accent33">
    <w:name w:val="List Table 7 Colorful - Accent 33"/>
    <w:basedOn w:val="TableNormal"/>
    <w:next w:val="ListTable7Colorful-Accent3"/>
    <w:uiPriority w:val="52"/>
    <w:rPr>
      <w:color w:val="7B7B7B"/>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A5A5A5"/>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A5A5A5"/>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A5A5A5"/>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43">
    <w:name w:val="List Table 1 Light - Accent 43"/>
    <w:basedOn w:val="TableNormal"/>
    <w:next w:val="ListTable1Light-Accent4"/>
    <w:uiPriority w:val="46"/>
    <w:rPr>
      <w:sz w:val="22"/>
      <w:szCs w:val="22"/>
    </w:rPr>
    <w:tblPr>
      <w:tblStyleRowBandSize w:val="1"/>
      <w:tblStyleColBandSize w:val="1"/>
      <w:tblInd w:w="0" w:type="nil"/>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43">
    <w:name w:val="List Table 2 - Accent 43"/>
    <w:basedOn w:val="TableNormal"/>
    <w:next w:val="ListTable2-Accent4"/>
    <w:uiPriority w:val="47"/>
    <w:rPr>
      <w:sz w:val="22"/>
      <w:szCs w:val="22"/>
    </w:rPr>
    <w:tblPr>
      <w:tblStyleRowBandSize w:val="1"/>
      <w:tblStyleColBandSize w:val="1"/>
      <w:tblInd w:w="0" w:type="nil"/>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Accent43">
    <w:name w:val="List Table 3 - Accent 43"/>
    <w:basedOn w:val="TableNormal"/>
    <w:next w:val="ListTable3-Accent4"/>
    <w:uiPriority w:val="48"/>
    <w:rPr>
      <w:sz w:val="22"/>
      <w:szCs w:val="22"/>
    </w:rPr>
    <w:tblPr>
      <w:tblStyleRowBandSize w:val="1"/>
      <w:tblStyleColBandSize w:val="1"/>
      <w:tblInd w:w="0" w:type="nil"/>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43">
    <w:name w:val="List Table 4 - Accent 43"/>
    <w:basedOn w:val="TableNormal"/>
    <w:next w:val="ListTable4-Accent4"/>
    <w:uiPriority w:val="49"/>
    <w:rPr>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5Dark-Accent43">
    <w:name w:val="List Table 5 Dark - Accent 43"/>
    <w:basedOn w:val="TableNormal"/>
    <w:next w:val="ListTable5Dark-Accent4"/>
    <w:uiPriority w:val="50"/>
    <w:rPr>
      <w:color w:val="FFFFFF"/>
      <w:sz w:val="22"/>
      <w:szCs w:val="22"/>
    </w:rPr>
    <w:tblPr>
      <w:tblStyleRowBandSize w:val="1"/>
      <w:tblStyleColBandSize w:val="1"/>
      <w:tblInd w:w="0" w:type="nil"/>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43">
    <w:name w:val="List Table 6 Colorful - Accent 43"/>
    <w:basedOn w:val="TableNormal"/>
    <w:next w:val="ListTable6Colorful-Accent4"/>
    <w:uiPriority w:val="51"/>
    <w:rPr>
      <w:color w:val="BF8F00"/>
      <w:sz w:val="22"/>
      <w:szCs w:val="22"/>
    </w:rPr>
    <w:tblPr>
      <w:tblStyleRowBandSize w:val="1"/>
      <w:tblStyleColBandSize w:val="1"/>
      <w:tblInd w:w="0" w:type="nil"/>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7Colorful-Accent43">
    <w:name w:val="List Table 7 Colorful - Accent 43"/>
    <w:basedOn w:val="TableNormal"/>
    <w:next w:val="ListTable7Colorful-Accent4"/>
    <w:uiPriority w:val="52"/>
    <w:rPr>
      <w:color w:val="BF8F00"/>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FFC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FFC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FFC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53">
    <w:name w:val="List Table 1 Light - Accent 53"/>
    <w:basedOn w:val="TableNormal"/>
    <w:next w:val="ListTable1Light-Accent5"/>
    <w:uiPriority w:val="46"/>
    <w:rPr>
      <w:sz w:val="22"/>
      <w:szCs w:val="22"/>
    </w:rPr>
    <w:tblPr>
      <w:tblStyleRowBandSize w:val="1"/>
      <w:tblStyleColBandSize w:val="1"/>
      <w:tblInd w:w="0" w:type="nil"/>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53">
    <w:name w:val="List Table 2 - Accent 53"/>
    <w:basedOn w:val="TableNormal"/>
    <w:next w:val="ListTable2-Accent5"/>
    <w:uiPriority w:val="47"/>
    <w:rPr>
      <w:sz w:val="22"/>
      <w:szCs w:val="22"/>
    </w:rPr>
    <w:tblPr>
      <w:tblStyleRowBandSize w:val="1"/>
      <w:tblStyleColBandSize w:val="1"/>
      <w:tblInd w:w="0" w:type="nil"/>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3">
    <w:name w:val="List Table 3 - Accent 53"/>
    <w:basedOn w:val="TableNormal"/>
    <w:next w:val="ListTable3-Accent5"/>
    <w:uiPriority w:val="48"/>
    <w:rPr>
      <w:sz w:val="22"/>
      <w:szCs w:val="22"/>
    </w:rPr>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4-Accent53">
    <w:name w:val="List Table 4 - Accent 53"/>
    <w:basedOn w:val="TableNormal"/>
    <w:next w:val="ListTable4-Accent5"/>
    <w:uiPriority w:val="49"/>
    <w:rPr>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5Dark-Accent53">
    <w:name w:val="List Table 5 Dark - Accent 53"/>
    <w:basedOn w:val="TableNormal"/>
    <w:next w:val="ListTable5Dark-Accent5"/>
    <w:uiPriority w:val="50"/>
    <w:rPr>
      <w:color w:val="FFFFFF"/>
      <w:sz w:val="22"/>
      <w:szCs w:val="22"/>
    </w:rPr>
    <w:tblPr>
      <w:tblStyleRowBandSize w:val="1"/>
      <w:tblStyleColBandSize w:val="1"/>
      <w:tblInd w:w="0" w:type="nil"/>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53">
    <w:name w:val="List Table 6 Colorful - Accent 53"/>
    <w:basedOn w:val="TableNormal"/>
    <w:next w:val="ListTable6Colorful-Accent5"/>
    <w:uiPriority w:val="51"/>
    <w:rPr>
      <w:color w:val="2F5496"/>
      <w:sz w:val="22"/>
      <w:szCs w:val="22"/>
    </w:rPr>
    <w:tblPr>
      <w:tblStyleRowBandSize w:val="1"/>
      <w:tblStyleColBandSize w:val="1"/>
      <w:tblInd w:w="0" w:type="nil"/>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7Colorful-Accent53">
    <w:name w:val="List Table 7 Colorful - Accent 53"/>
    <w:basedOn w:val="TableNormal"/>
    <w:next w:val="ListTable7Colorful-Accent5"/>
    <w:uiPriority w:val="52"/>
    <w:rPr>
      <w:color w:val="2F5496"/>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4472C4"/>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4472C4"/>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4472C4"/>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63">
    <w:name w:val="List Table 1 Light - Accent 63"/>
    <w:basedOn w:val="TableNormal"/>
    <w:next w:val="ListTable1Light-Accent6"/>
    <w:uiPriority w:val="46"/>
    <w:rPr>
      <w:sz w:val="22"/>
      <w:szCs w:val="22"/>
    </w:rPr>
    <w:tblPr>
      <w:tblStyleRowBandSize w:val="1"/>
      <w:tblStyleColBandSize w:val="1"/>
      <w:tblInd w:w="0" w:type="nil"/>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3">
    <w:name w:val="List Table 2 - Accent 63"/>
    <w:basedOn w:val="TableNormal"/>
    <w:next w:val="ListTable2-Accent6"/>
    <w:uiPriority w:val="47"/>
    <w:rPr>
      <w:sz w:val="22"/>
      <w:szCs w:val="22"/>
    </w:rPr>
    <w:tblPr>
      <w:tblStyleRowBandSize w:val="1"/>
      <w:tblStyleColBandSize w:val="1"/>
      <w:tblInd w:w="0" w:type="nil"/>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63">
    <w:name w:val="List Table 3 - Accent 63"/>
    <w:basedOn w:val="TableNormal"/>
    <w:next w:val="ListTable3-Accent6"/>
    <w:uiPriority w:val="48"/>
    <w:rPr>
      <w:sz w:val="22"/>
      <w:szCs w:val="22"/>
    </w:rPr>
    <w:tblPr>
      <w:tblStyleRowBandSize w:val="1"/>
      <w:tblStyleColBandSize w:val="1"/>
      <w:tblInd w:w="0" w:type="nil"/>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Accent63">
    <w:name w:val="List Table 4 - Accent 63"/>
    <w:basedOn w:val="TableNormal"/>
    <w:next w:val="ListTable4-Accent6"/>
    <w:uiPriority w:val="49"/>
    <w:rPr>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Accent63">
    <w:name w:val="List Table 5 Dark - Accent 63"/>
    <w:basedOn w:val="TableNormal"/>
    <w:next w:val="ListTable5Dark-Accent6"/>
    <w:uiPriority w:val="50"/>
    <w:rPr>
      <w:color w:val="FFFFFF"/>
      <w:sz w:val="22"/>
      <w:szCs w:val="22"/>
    </w:rPr>
    <w:tblPr>
      <w:tblStyleRowBandSize w:val="1"/>
      <w:tblStyleColBandSize w:val="1"/>
      <w:tblInd w:w="0" w:type="nil"/>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63">
    <w:name w:val="List Table 6 Colorful - Accent 63"/>
    <w:basedOn w:val="TableNormal"/>
    <w:next w:val="ListTable6Colorful-Accent6"/>
    <w:uiPriority w:val="51"/>
    <w:rPr>
      <w:color w:val="538135"/>
      <w:sz w:val="22"/>
      <w:szCs w:val="22"/>
    </w:rPr>
    <w:tblPr>
      <w:tblStyleRowBandSize w:val="1"/>
      <w:tblStyleColBandSize w:val="1"/>
      <w:tblInd w:w="0" w:type="nil"/>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Accent63">
    <w:name w:val="List Table 7 Colorful - Accent 63"/>
    <w:basedOn w:val="TableNormal"/>
    <w:next w:val="ListTable7Colorful-Accent6"/>
    <w:uiPriority w:val="52"/>
    <w:rPr>
      <w:color w:val="538135"/>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70AD47"/>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0AD47"/>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0AD47"/>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ArticleSection2">
    <w:name w:val="Article / Section2"/>
    <w:basedOn w:val="NoList"/>
    <w:next w:val="ArticleSection"/>
    <w:uiPriority w:val="99"/>
    <w:semiHidden/>
    <w:unhideWhenUsed/>
  </w:style>
  <w:style w:type="numbering" w:customStyle="1" w:styleId="1ai2">
    <w:name w:val="1 / a / i2"/>
    <w:basedOn w:val="NoList"/>
    <w:next w:val="1ai"/>
    <w:uiPriority w:val="99"/>
    <w:semiHidden/>
    <w:unhideWhenUsed/>
  </w:style>
  <w:style w:type="numbering" w:customStyle="1" w:styleId="1111112">
    <w:name w:val="1 / 1.1 / 1.1.12"/>
    <w:basedOn w:val="NoList"/>
    <w:next w:val="111111"/>
    <w:uiPriority w:val="99"/>
    <w:semiHidden/>
    <w:unhideWhenUsed/>
  </w:style>
  <w:style w:type="numbering" w:customStyle="1" w:styleId="NoList3">
    <w:name w:val="No List3"/>
    <w:next w:val="NoList"/>
    <w:uiPriority w:val="99"/>
    <w:semiHidden/>
    <w:unhideWhenUsed/>
  </w:style>
  <w:style w:type="table" w:customStyle="1" w:styleId="TableSimple14">
    <w:name w:val="Table Simple 14"/>
    <w:basedOn w:val="TableNormal"/>
    <w:next w:val="TableSimple1"/>
    <w:uiPriority w:val="99"/>
    <w:semiHidden/>
    <w:unhideWhenUsed/>
    <w:rPr>
      <w:sz w:val="22"/>
      <w:szCs w:val="22"/>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uiPriority w:val="99"/>
    <w:semiHidden/>
    <w:unhideWhenUsed/>
    <w:rPr>
      <w:sz w:val="22"/>
      <w:szCs w:val="22"/>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uiPriority w:val="99"/>
    <w:semiHidden/>
    <w:unhideWhenUsed/>
    <w:rPr>
      <w:sz w:val="22"/>
      <w:szCs w:val="22"/>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4">
    <w:name w:val="Table Classic 14"/>
    <w:basedOn w:val="TableNormal"/>
    <w:next w:val="TableClassic1"/>
    <w:uiPriority w:val="99"/>
    <w:semiHidden/>
    <w:unhideWhenUsed/>
    <w:rPr>
      <w:sz w:val="22"/>
      <w:szCs w:val="22"/>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uiPriority w:val="99"/>
    <w:semiHidden/>
    <w:unhideWhenUsed/>
    <w:rPr>
      <w:sz w:val="22"/>
      <w:szCs w:val="22"/>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uiPriority w:val="99"/>
    <w:semiHidden/>
    <w:unhideWhenUsed/>
    <w:rPr>
      <w:color w:val="000080"/>
      <w:sz w:val="22"/>
      <w:szCs w:val="22"/>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uiPriority w:val="99"/>
    <w:semiHidden/>
    <w:unhideWhenUsed/>
    <w:rPr>
      <w:sz w:val="22"/>
      <w:szCs w:val="22"/>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uiPriority w:val="99"/>
    <w:semiHidden/>
    <w:unhideWhenUsed/>
    <w:rPr>
      <w:color w:val="FFFFFF"/>
      <w:sz w:val="22"/>
      <w:szCs w:val="22"/>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uiPriority w:val="99"/>
    <w:semiHidden/>
    <w:unhideWhenUsed/>
    <w:rPr>
      <w:sz w:val="22"/>
      <w:szCs w:val="22"/>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uiPriority w:val="99"/>
    <w:semiHidden/>
    <w:unhideWhenUsed/>
    <w:rPr>
      <w:sz w:val="22"/>
      <w:szCs w:val="22"/>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uiPriority w:val="99"/>
    <w:semiHidden/>
    <w:unhideWhenUsed/>
    <w:rPr>
      <w:b/>
      <w:bCs/>
      <w:sz w:val="22"/>
      <w:szCs w:val="22"/>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uiPriority w:val="99"/>
    <w:semiHidden/>
    <w:unhideWhenUsed/>
    <w:rPr>
      <w:b/>
      <w:bCs/>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uiPriority w:val="99"/>
    <w:semiHidden/>
    <w:unhideWhenUsed/>
    <w:rPr>
      <w:b/>
      <w:bCs/>
      <w:sz w:val="22"/>
      <w:szCs w:val="22"/>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uiPriority w:val="99"/>
    <w:semiHidden/>
    <w:unhideWhenUsed/>
    <w:rPr>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uiPriority w:val="99"/>
    <w:semiHidden/>
    <w:unhideWhenUsed/>
    <w:rPr>
      <w:sz w:val="22"/>
      <w:szCs w:val="22"/>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4">
    <w:name w:val="Table Grid 14"/>
    <w:basedOn w:val="TableNormal"/>
    <w:next w:val="TableGrid1"/>
    <w:uiPriority w:val="99"/>
    <w:semiHidden/>
    <w:unhideWhenUsed/>
    <w:rPr>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uiPriority w:val="99"/>
    <w:semiHidden/>
    <w:unhideWhenUsed/>
    <w:rPr>
      <w:sz w:val="22"/>
      <w:szCs w:val="22"/>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uiPriority w:val="99"/>
    <w:semiHidden/>
    <w:unhideWhenUsed/>
    <w:rPr>
      <w:sz w:val="22"/>
      <w:szCs w:val="22"/>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uiPriority w:val="99"/>
    <w:semiHidden/>
    <w:unhideWhenUsed/>
    <w:rPr>
      <w:sz w:val="22"/>
      <w:szCs w:val="22"/>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uiPriority w:val="99"/>
    <w:semiHidden/>
    <w:unhideWhenUsed/>
    <w:rPr>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uiPriority w:val="99"/>
    <w:semiHidden/>
    <w:unhideWhenUsed/>
    <w:rPr>
      <w:sz w:val="22"/>
      <w:szCs w:val="22"/>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uiPriority w:val="99"/>
    <w:semiHidden/>
    <w:unhideWhenUsed/>
    <w:rPr>
      <w:b/>
      <w:bCs/>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uiPriority w:val="99"/>
    <w:semiHidden/>
    <w:unhideWhenUsed/>
    <w:rPr>
      <w:sz w:val="22"/>
      <w:szCs w:val="22"/>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uiPriority w:val="99"/>
    <w:semiHidden/>
    <w:unhideWhenUsed/>
    <w:rPr>
      <w:sz w:val="22"/>
      <w:szCs w:val="22"/>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uiPriority w:val="99"/>
    <w:semiHidden/>
    <w:unhideWhenUsed/>
    <w:rPr>
      <w:sz w:val="22"/>
      <w:szCs w:val="22"/>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uiPriority w:val="99"/>
    <w:semiHidden/>
    <w:unhideWhenUsed/>
    <w:rPr>
      <w:sz w:val="22"/>
      <w:szCs w:val="22"/>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uiPriority w:val="99"/>
    <w:semiHidden/>
    <w:unhideWhenUsed/>
    <w:rPr>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uiPriority w:val="99"/>
    <w:semiHidden/>
    <w:unhideWhenUsed/>
    <w:rPr>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uiPriority w:val="99"/>
    <w:semiHidden/>
    <w:unhideWhenUsed/>
    <w:rPr>
      <w:sz w:val="22"/>
      <w:szCs w:val="22"/>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uiPriority w:val="99"/>
    <w:semiHidden/>
    <w:unhideWhenUsed/>
    <w:rPr>
      <w:sz w:val="22"/>
      <w:szCs w:val="22"/>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uiPriority w:val="99"/>
    <w:semiHidden/>
    <w:unhideWhenUsed/>
    <w:rPr>
      <w:sz w:val="22"/>
      <w:szCs w:val="22"/>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4">
    <w:name w:val="Table 3D effects 14"/>
    <w:basedOn w:val="TableNormal"/>
    <w:next w:val="Table3Deffects1"/>
    <w:uiPriority w:val="99"/>
    <w:semiHidden/>
    <w:unhideWhenUsed/>
    <w:rPr>
      <w:sz w:val="22"/>
      <w:szCs w:val="22"/>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uiPriority w:val="99"/>
    <w:semiHidden/>
    <w:unhideWhenUsed/>
    <w:rPr>
      <w:sz w:val="22"/>
      <w:szCs w:val="22"/>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uiPriority w:val="99"/>
    <w:semiHidden/>
    <w:unhideWhenUsed/>
    <w:rPr>
      <w:sz w:val="22"/>
      <w:szCs w:val="22"/>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4">
    <w:name w:val="Table Contemporary4"/>
    <w:basedOn w:val="TableNormal"/>
    <w:next w:val="TableContemporary"/>
    <w:uiPriority w:val="99"/>
    <w:semiHidden/>
    <w:unhideWhenUsed/>
    <w:rPr>
      <w:sz w:val="22"/>
      <w:szCs w:val="22"/>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uiPriority w:val="99"/>
    <w:semiHidden/>
    <w:unhideWhenUsed/>
    <w:rPr>
      <w:sz w:val="22"/>
      <w:szCs w:val="22"/>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4">
    <w:name w:val="Table Professional4"/>
    <w:basedOn w:val="TableNormal"/>
    <w:next w:val="TableProfessional"/>
    <w:uiPriority w:val="99"/>
    <w:semiHidden/>
    <w:unhideWhenUsed/>
    <w:rPr>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uiPriority w:val="99"/>
    <w:semiHidden/>
    <w:unhideWhenUsed/>
    <w:rPr>
      <w:sz w:val="22"/>
      <w:szCs w:val="22"/>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uiPriority w:val="99"/>
    <w:semiHidden/>
    <w:unhideWhenUsed/>
    <w:rPr>
      <w:sz w:val="22"/>
      <w:szCs w:val="22"/>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4">
    <w:name w:val="Table Web 14"/>
    <w:basedOn w:val="TableNormal"/>
    <w:next w:val="TableWeb1"/>
    <w:uiPriority w:val="99"/>
    <w:semiHidden/>
    <w:unhideWhenUsed/>
    <w:rPr>
      <w:sz w:val="22"/>
      <w:szCs w:val="22"/>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uiPriority w:val="99"/>
    <w:semiHidden/>
    <w:unhideWhenUsed/>
    <w:rPr>
      <w:sz w:val="22"/>
      <w:szCs w:val="22"/>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uiPriority w:val="99"/>
    <w:semiHidden/>
    <w:unhideWhenUsed/>
    <w:rPr>
      <w:sz w:val="22"/>
      <w:szCs w:val="22"/>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40">
    <w:name w:val="Table Grid4"/>
    <w:basedOn w:val="TableNormal"/>
    <w:next w:val="TableGrid"/>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uiPriority w:val="99"/>
    <w:semiHidden/>
    <w:unhideWhenUsed/>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4">
    <w:name w:val="Light Shading4"/>
    <w:basedOn w:val="TableNormal"/>
    <w:next w:val="LightShading"/>
    <w:uiPriority w:val="60"/>
    <w:semiHidden/>
    <w:unhideWhenUsed/>
    <w:rPr>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4">
    <w:name w:val="Light List4"/>
    <w:basedOn w:val="TableNormal"/>
    <w:next w:val="LightList"/>
    <w:uiPriority w:val="61"/>
    <w:semiHidden/>
    <w:unhideWhenUsed/>
    <w:rPr>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4">
    <w:name w:val="Light Grid4"/>
    <w:basedOn w:val="TableNormal"/>
    <w:next w:val="LightGrid"/>
    <w:uiPriority w:val="62"/>
    <w:semiHidden/>
    <w:unhideWhenUsed/>
    <w:rPr>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4">
    <w:name w:val="Medium Shading 14"/>
    <w:basedOn w:val="TableNormal"/>
    <w:next w:val="MediumShading1"/>
    <w:uiPriority w:val="63"/>
    <w:semiHidden/>
    <w:unhideWhenUsed/>
    <w:rPr>
      <w:sz w:val="22"/>
      <w:szCs w:val="22"/>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4">
    <w:name w:val="Medium Shading 24"/>
    <w:basedOn w:val="TableNormal"/>
    <w:next w:val="MediumShading2"/>
    <w:uiPriority w:val="64"/>
    <w:semiHidden/>
    <w:unhideWhenUsed/>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4">
    <w:name w:val="Medium List 14"/>
    <w:basedOn w:val="TableNormal"/>
    <w:next w:val="MediumList1"/>
    <w:uiPriority w:val="65"/>
    <w:semiHidden/>
    <w:unhideWhenUsed/>
    <w:rPr>
      <w:color w:val="000000"/>
      <w:sz w:val="22"/>
      <w:szCs w:val="22"/>
    </w:rPr>
    <w:tblPr>
      <w:tblStyleRowBandSize w:val="1"/>
      <w:tblStyleColBandSize w:val="1"/>
      <w:tblInd w:w="0" w:type="nil"/>
      <w:tblBorders>
        <w:top w:val="single" w:sz="8" w:space="0" w:color="000000"/>
        <w:bottom w:val="single" w:sz="8" w:space="0" w:color="000000"/>
      </w:tblBorders>
    </w:tblPr>
    <w:tblStylePr w:type="firstRow">
      <w:rPr>
        <w:rFonts w:ascii="Times New Roman" w:eastAsia="Times New Roman" w:hAnsi="Times New Roman"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4">
    <w:name w:val="Medium List 24"/>
    <w:basedOn w:val="TableNormal"/>
    <w:next w:val="MediumList2"/>
    <w:uiPriority w:val="66"/>
    <w:semiHidden/>
    <w:unhideWhenUsed/>
    <w:rPr>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14">
    <w:name w:val="Medium Grid 14"/>
    <w:basedOn w:val="TableNormal"/>
    <w:next w:val="MediumGrid1"/>
    <w:uiPriority w:val="67"/>
    <w:semiHidden/>
    <w:unhideWhenUsed/>
    <w:rPr>
      <w:sz w:val="22"/>
      <w:szCs w:val="22"/>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4">
    <w:name w:val="Medium Grid 24"/>
    <w:basedOn w:val="TableNormal"/>
    <w:next w:val="MediumGrid2"/>
    <w:uiPriority w:val="68"/>
    <w:semiHidden/>
    <w:unhideWhenUsed/>
    <w:rPr>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4">
    <w:name w:val="Medium Grid 34"/>
    <w:basedOn w:val="TableNormal"/>
    <w:next w:val="MediumGrid3"/>
    <w:uiPriority w:val="69"/>
    <w:semiHidden/>
    <w:unhideWhenUsed/>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DarkList4">
    <w:name w:val="Dark List4"/>
    <w:basedOn w:val="TableNormal"/>
    <w:next w:val="DarkList"/>
    <w:uiPriority w:val="70"/>
    <w:semiHidden/>
    <w:unhideWhenUsed/>
    <w:rPr>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olorfulShading4">
    <w:name w:val="Colorful Shading4"/>
    <w:basedOn w:val="TableNormal"/>
    <w:next w:val="ColorfulShading"/>
    <w:uiPriority w:val="71"/>
    <w:semiHidden/>
    <w:unhideWhenUsed/>
    <w:rPr>
      <w:color w:val="000000"/>
      <w:sz w:val="22"/>
      <w:szCs w:val="22"/>
    </w:rPr>
    <w:tblPr>
      <w:tblStyleRowBandSize w:val="1"/>
      <w:tblStyleColBandSize w:val="1"/>
      <w:tblInd w:w="0" w:type="nil"/>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4">
    <w:name w:val="Colorful List4"/>
    <w:basedOn w:val="TableNormal"/>
    <w:next w:val="ColorfulList"/>
    <w:uiPriority w:val="72"/>
    <w:semiHidden/>
    <w:unhideWhenUsed/>
    <w:rPr>
      <w:color w:val="000000"/>
      <w:sz w:val="22"/>
      <w:szCs w:val="22"/>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4">
    <w:name w:val="Colorful Grid4"/>
    <w:basedOn w:val="TableNormal"/>
    <w:next w:val="ColorfulGrid"/>
    <w:uiPriority w:val="73"/>
    <w:semiHidden/>
    <w:unhideWhenUsed/>
    <w:rPr>
      <w:color w:val="000000"/>
      <w:sz w:val="22"/>
      <w:szCs w:val="22"/>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Shading-Accent14">
    <w:name w:val="Light Shading - Accent 14"/>
    <w:basedOn w:val="TableNormal"/>
    <w:next w:val="LightShading-Accent1"/>
    <w:uiPriority w:val="60"/>
    <w:semiHidden/>
    <w:unhideWhenUsed/>
    <w:rPr>
      <w:color w:val="2E74B5"/>
      <w:sz w:val="22"/>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List-Accent14">
    <w:name w:val="Light List - Accent 14"/>
    <w:basedOn w:val="TableNormal"/>
    <w:next w:val="LightList-Accent1"/>
    <w:uiPriority w:val="61"/>
    <w:semiHidden/>
    <w:unhideWhenUsed/>
    <w:rPr>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4">
    <w:name w:val="Light Grid - Accent 14"/>
    <w:basedOn w:val="TableNormal"/>
    <w:next w:val="LightGrid-Accent1"/>
    <w:uiPriority w:val="62"/>
    <w:semiHidden/>
    <w:unhideWhenUsed/>
    <w:rPr>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Shading1-Accent14">
    <w:name w:val="Medium Shading 1 - Accent 14"/>
    <w:basedOn w:val="TableNormal"/>
    <w:next w:val="MediumShading1-Accent1"/>
    <w:uiPriority w:val="63"/>
    <w:semiHidden/>
    <w:unhideWhenUsed/>
    <w:rPr>
      <w:sz w:val="22"/>
      <w:szCs w:val="22"/>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0" w:beforeAutospacing="0" w:afterLines="0" w:after="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2-Accent14">
    <w:name w:val="Medium Shading 2 - Accent 14"/>
    <w:basedOn w:val="TableNormal"/>
    <w:next w:val="MediumShading2-Accent1"/>
    <w:uiPriority w:val="64"/>
    <w:semiHidden/>
    <w:unhideWhenUsed/>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4">
    <w:name w:val="Medium List 1 - Accent 14"/>
    <w:basedOn w:val="TableNormal"/>
    <w:next w:val="MediumList1-Accent1"/>
    <w:uiPriority w:val="65"/>
    <w:semiHidden/>
    <w:unhideWhenUsed/>
    <w:rPr>
      <w:color w:val="000000"/>
      <w:sz w:val="22"/>
      <w:szCs w:val="22"/>
    </w:rPr>
    <w:tblPr>
      <w:tblStyleRowBandSize w:val="1"/>
      <w:tblStyleColBandSize w:val="1"/>
      <w:tblInd w:w="0" w:type="nil"/>
      <w:tblBorders>
        <w:top w:val="single" w:sz="8" w:space="0" w:color="5B9BD5"/>
        <w:bottom w:val="single" w:sz="8" w:space="0" w:color="5B9BD5"/>
      </w:tblBorders>
    </w:tblPr>
    <w:tblStylePr w:type="firstRow">
      <w:rPr>
        <w:rFonts w:ascii="Times New Roman" w:eastAsia="Times New Roman" w:hAnsi="Times New Roman" w:cs="Times New Roman" w:hint="default"/>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2-Accent14">
    <w:name w:val="Medium List 2 - Accent 14"/>
    <w:basedOn w:val="TableNormal"/>
    <w:next w:val="MediumList2-Accent1"/>
    <w:uiPriority w:val="66"/>
    <w:semiHidden/>
    <w:unhideWhenUsed/>
    <w:rPr>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Grid1-Accent14">
    <w:name w:val="Medium Grid 1 - Accent 14"/>
    <w:basedOn w:val="TableNormal"/>
    <w:next w:val="MediumGrid1-Accent1"/>
    <w:uiPriority w:val="67"/>
    <w:semiHidden/>
    <w:unhideWhenUsed/>
    <w:rPr>
      <w:sz w:val="22"/>
      <w:szCs w:val="22"/>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2-Accent14">
    <w:name w:val="Medium Grid 2 - Accent 14"/>
    <w:basedOn w:val="TableNormal"/>
    <w:next w:val="MediumGrid2-Accent1"/>
    <w:uiPriority w:val="68"/>
    <w:semiHidden/>
    <w:unhideWhenUsed/>
    <w:rPr>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3-Accent14">
    <w:name w:val="Medium Grid 3 - Accent 14"/>
    <w:basedOn w:val="TableNormal"/>
    <w:next w:val="MediumGrid3-Accent1"/>
    <w:uiPriority w:val="69"/>
    <w:semiHidden/>
    <w:unhideWhenUsed/>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DarkList-Accent14">
    <w:name w:val="Dark List - Accent 14"/>
    <w:basedOn w:val="TableNormal"/>
    <w:next w:val="DarkList-Accent1"/>
    <w:uiPriority w:val="70"/>
    <w:semiHidden/>
    <w:unhideWhenUsed/>
    <w:rPr>
      <w:color w:val="FFFFFF"/>
      <w:sz w:val="22"/>
      <w:szCs w:val="22"/>
    </w:rPr>
    <w:tblPr>
      <w:tblStyleRowBandSize w:val="1"/>
      <w:tblStyleColBandSize w:val="1"/>
      <w:tblInd w:w="0" w:type="nil"/>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ColorfulShading-Accent14">
    <w:name w:val="Colorful Shading - Accent 14"/>
    <w:basedOn w:val="TableNormal"/>
    <w:next w:val="ColorfulShading-Accent1"/>
    <w:uiPriority w:val="71"/>
    <w:semiHidden/>
    <w:unhideWhenUsed/>
    <w:rPr>
      <w:color w:val="000000"/>
      <w:sz w:val="22"/>
      <w:szCs w:val="22"/>
    </w:rPr>
    <w:tblPr>
      <w:tblStyleRowBandSize w:val="1"/>
      <w:tblStyleColBandSize w:val="1"/>
      <w:tblInd w:w="0" w:type="nil"/>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List-Accent14">
    <w:name w:val="Colorful List - Accent 14"/>
    <w:basedOn w:val="TableNormal"/>
    <w:next w:val="ColorfulList-Accent1"/>
    <w:uiPriority w:val="72"/>
    <w:semiHidden/>
    <w:unhideWhenUsed/>
    <w:rPr>
      <w:color w:val="000000"/>
      <w:sz w:val="22"/>
      <w:szCs w:val="22"/>
    </w:rPr>
    <w:tblPr>
      <w:tblStyleRowBandSize w:val="1"/>
      <w:tblStyleColBandSize w:val="1"/>
      <w:tblInd w:w="0" w:type="nil"/>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Grid-Accent14">
    <w:name w:val="Colorful Grid - Accent 14"/>
    <w:basedOn w:val="TableNormal"/>
    <w:next w:val="ColorfulGrid-Accent1"/>
    <w:uiPriority w:val="73"/>
    <w:semiHidden/>
    <w:unhideWhenUsed/>
    <w:rPr>
      <w:color w:val="000000"/>
      <w:sz w:val="22"/>
      <w:szCs w:val="22"/>
    </w:rPr>
    <w:tblPr>
      <w:tblStyleRowBandSize w:val="1"/>
      <w:tblStyleColBandSize w:val="1"/>
      <w:tblInd w:w="0" w:type="nil"/>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24">
    <w:name w:val="Light Shading - Accent 24"/>
    <w:basedOn w:val="TableNormal"/>
    <w:next w:val="LightShading-Accent2"/>
    <w:uiPriority w:val="60"/>
    <w:semiHidden/>
    <w:unhideWhenUsed/>
    <w:rPr>
      <w:color w:val="C45911"/>
      <w:sz w:val="22"/>
      <w:szCs w:val="22"/>
    </w:rPr>
    <w:tblPr>
      <w:tblStyleRowBandSize w:val="1"/>
      <w:tblStyleColBandSize w:val="1"/>
      <w:tblInd w:w="0" w:type="nil"/>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List-Accent24">
    <w:name w:val="Light List - Accent 24"/>
    <w:basedOn w:val="TableNormal"/>
    <w:next w:val="LightList-Accent2"/>
    <w:uiPriority w:val="61"/>
    <w:semiHidden/>
    <w:unhideWhenUsed/>
    <w:rPr>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pPr>
        <w:spacing w:beforeLines="0" w:before="0" w:beforeAutospacing="0" w:afterLines="0" w:after="0" w:afterAutospacing="0" w:line="240" w:lineRule="auto"/>
      </w:pPr>
      <w:rPr>
        <w:b/>
        <w:bCs/>
        <w:color w:val="FFFFFF"/>
      </w:rPr>
      <w:tblPr/>
      <w:tcPr>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Grid-Accent24">
    <w:name w:val="Light Grid - Accent 24"/>
    <w:basedOn w:val="TableNormal"/>
    <w:next w:val="LightGrid-Accent2"/>
    <w:uiPriority w:val="62"/>
    <w:semiHidden/>
    <w:unhideWhenUsed/>
    <w:rPr>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4">
    <w:name w:val="Medium Shading 1 - Accent 24"/>
    <w:basedOn w:val="TableNormal"/>
    <w:next w:val="MediumShading1-Accent2"/>
    <w:uiPriority w:val="63"/>
    <w:semiHidden/>
    <w:unhideWhenUsed/>
    <w:rPr>
      <w:sz w:val="22"/>
      <w:szCs w:val="22"/>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0" w:beforeAutospacing="0" w:afterLines="0" w:after="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2-Accent24">
    <w:name w:val="Medium Shading 2 - Accent 24"/>
    <w:basedOn w:val="TableNormal"/>
    <w:next w:val="MediumShading2-Accent2"/>
    <w:uiPriority w:val="64"/>
    <w:semiHidden/>
    <w:unhideWhenUsed/>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4">
    <w:name w:val="Medium List 1 - Accent 24"/>
    <w:basedOn w:val="TableNormal"/>
    <w:next w:val="MediumList1-Accent2"/>
    <w:uiPriority w:val="65"/>
    <w:semiHidden/>
    <w:unhideWhenUsed/>
    <w:rPr>
      <w:color w:val="000000"/>
      <w:sz w:val="22"/>
      <w:szCs w:val="22"/>
    </w:rPr>
    <w:tblPr>
      <w:tblStyleRowBandSize w:val="1"/>
      <w:tblStyleColBandSize w:val="1"/>
      <w:tblInd w:w="0" w:type="nil"/>
      <w:tblBorders>
        <w:top w:val="single" w:sz="8" w:space="0" w:color="ED7D31"/>
        <w:bottom w:val="single" w:sz="8" w:space="0" w:color="ED7D31"/>
      </w:tblBorders>
    </w:tblPr>
    <w:tblStylePr w:type="firstRow">
      <w:rPr>
        <w:rFonts w:ascii="Times New Roman" w:eastAsia="Times New Roman" w:hAnsi="Times New Roman" w:cs="Times New Roman" w:hint="default"/>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2-Accent24">
    <w:name w:val="Medium List 2 - Accent 24"/>
    <w:basedOn w:val="TableNormal"/>
    <w:next w:val="MediumList2-Accent2"/>
    <w:uiPriority w:val="66"/>
    <w:semiHidden/>
    <w:unhideWhenUsed/>
    <w:rPr>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1-Accent24">
    <w:name w:val="Medium Grid 1 - Accent 24"/>
    <w:basedOn w:val="TableNormal"/>
    <w:next w:val="MediumGrid1-Accent2"/>
    <w:uiPriority w:val="67"/>
    <w:semiHidden/>
    <w:unhideWhenUsed/>
    <w:rPr>
      <w:sz w:val="22"/>
      <w:szCs w:val="22"/>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2-Accent24">
    <w:name w:val="Medium Grid 2 - Accent 24"/>
    <w:basedOn w:val="TableNormal"/>
    <w:next w:val="MediumGrid2-Accent2"/>
    <w:uiPriority w:val="68"/>
    <w:semiHidden/>
    <w:unhideWhenUsed/>
    <w:rPr>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4">
    <w:name w:val="Medium Grid 3 - Accent 24"/>
    <w:basedOn w:val="TableNormal"/>
    <w:next w:val="MediumGrid3-Accent2"/>
    <w:uiPriority w:val="69"/>
    <w:semiHidden/>
    <w:unhideWhenUsed/>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DarkList-Accent24">
    <w:name w:val="Dark List - Accent 24"/>
    <w:basedOn w:val="TableNormal"/>
    <w:next w:val="DarkList-Accent2"/>
    <w:uiPriority w:val="70"/>
    <w:semiHidden/>
    <w:unhideWhenUsed/>
    <w:rPr>
      <w:color w:val="FFFFFF"/>
      <w:sz w:val="22"/>
      <w:szCs w:val="22"/>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ColorfulShading-Accent24">
    <w:name w:val="Colorful Shading - Accent 24"/>
    <w:basedOn w:val="TableNormal"/>
    <w:next w:val="ColorfulShading-Accent2"/>
    <w:uiPriority w:val="71"/>
    <w:semiHidden/>
    <w:unhideWhenUsed/>
    <w:rPr>
      <w:color w:val="000000"/>
      <w:sz w:val="22"/>
      <w:szCs w:val="22"/>
    </w:rPr>
    <w:tblPr>
      <w:tblStyleRowBandSize w:val="1"/>
      <w:tblStyleColBandSize w:val="1"/>
      <w:tblInd w:w="0" w:type="nil"/>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List-Accent24">
    <w:name w:val="Colorful List - Accent 24"/>
    <w:basedOn w:val="TableNormal"/>
    <w:next w:val="ColorfulList-Accent2"/>
    <w:uiPriority w:val="72"/>
    <w:semiHidden/>
    <w:unhideWhenUsed/>
    <w:rPr>
      <w:color w:val="000000"/>
      <w:sz w:val="22"/>
      <w:szCs w:val="22"/>
    </w:rPr>
    <w:tblPr>
      <w:tblStyleRowBandSize w:val="1"/>
      <w:tblStyleColBandSize w:val="1"/>
      <w:tblInd w:w="0" w:type="nil"/>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Grid-Accent24">
    <w:name w:val="Colorful Grid - Accent 24"/>
    <w:basedOn w:val="TableNormal"/>
    <w:next w:val="ColorfulGrid-Accent2"/>
    <w:uiPriority w:val="73"/>
    <w:semiHidden/>
    <w:unhideWhenUsed/>
    <w:rPr>
      <w:color w:val="000000"/>
      <w:sz w:val="22"/>
      <w:szCs w:val="22"/>
    </w:rPr>
    <w:tblPr>
      <w:tblStyleRowBandSize w:val="1"/>
      <w:tblStyleColBandSize w:val="1"/>
      <w:tblInd w:w="0" w:type="nil"/>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LightShading-Accent34">
    <w:name w:val="Light Shading - Accent 34"/>
    <w:basedOn w:val="TableNormal"/>
    <w:next w:val="LightShading-Accent3"/>
    <w:uiPriority w:val="60"/>
    <w:semiHidden/>
    <w:unhideWhenUsed/>
    <w:rPr>
      <w:color w:val="7B7B7B"/>
      <w:sz w:val="22"/>
      <w:szCs w:val="22"/>
    </w:rPr>
    <w:tblPr>
      <w:tblStyleRowBandSize w:val="1"/>
      <w:tblStyleColBandSize w:val="1"/>
      <w:tblInd w:w="0" w:type="nil"/>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Accent34">
    <w:name w:val="Light List - Accent 34"/>
    <w:basedOn w:val="TableNormal"/>
    <w:next w:val="LightList-Accent3"/>
    <w:uiPriority w:val="61"/>
    <w:semiHidden/>
    <w:unhideWhenUsed/>
    <w:rPr>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Grid-Accent34">
    <w:name w:val="Light Grid - Accent 34"/>
    <w:basedOn w:val="TableNormal"/>
    <w:next w:val="LightGrid-Accent3"/>
    <w:uiPriority w:val="62"/>
    <w:semiHidden/>
    <w:unhideWhenUsed/>
    <w:rPr>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4">
    <w:name w:val="Medium Shading 1 - Accent 34"/>
    <w:basedOn w:val="TableNormal"/>
    <w:next w:val="MediumShading1-Accent3"/>
    <w:uiPriority w:val="63"/>
    <w:semiHidden/>
    <w:unhideWhenUsed/>
    <w:rPr>
      <w:sz w:val="22"/>
      <w:szCs w:val="22"/>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0" w:beforeAutospacing="0" w:afterLines="0" w:after="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Accent34">
    <w:name w:val="Medium Shading 2 - Accent 34"/>
    <w:basedOn w:val="TableNormal"/>
    <w:next w:val="MediumShading2-Accent3"/>
    <w:uiPriority w:val="64"/>
    <w:semiHidden/>
    <w:unhideWhenUsed/>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34">
    <w:name w:val="Medium List 1 - Accent 34"/>
    <w:basedOn w:val="TableNormal"/>
    <w:next w:val="MediumList1-Accent3"/>
    <w:uiPriority w:val="65"/>
    <w:semiHidden/>
    <w:unhideWhenUsed/>
    <w:rPr>
      <w:color w:val="000000"/>
      <w:sz w:val="22"/>
      <w:szCs w:val="22"/>
    </w:rPr>
    <w:tblPr>
      <w:tblStyleRowBandSize w:val="1"/>
      <w:tblStyleColBandSize w:val="1"/>
      <w:tblInd w:w="0" w:type="nil"/>
      <w:tblBorders>
        <w:top w:val="single" w:sz="8" w:space="0" w:color="A5A5A5"/>
        <w:bottom w:val="single" w:sz="8" w:space="0" w:color="A5A5A5"/>
      </w:tblBorders>
    </w:tblPr>
    <w:tblStylePr w:type="firstRow">
      <w:rPr>
        <w:rFonts w:ascii="Times New Roman" w:eastAsia="Times New Roman" w:hAnsi="Times New Roman" w:cs="Times New Roman" w:hint="default"/>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2-Accent34">
    <w:name w:val="Medium List 2 - Accent 34"/>
    <w:basedOn w:val="TableNormal"/>
    <w:next w:val="MediumList2-Accent3"/>
    <w:uiPriority w:val="66"/>
    <w:semiHidden/>
    <w:unhideWhenUsed/>
    <w:rPr>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Grid1-Accent34">
    <w:name w:val="Medium Grid 1 - Accent 34"/>
    <w:basedOn w:val="TableNormal"/>
    <w:next w:val="MediumGrid1-Accent3"/>
    <w:uiPriority w:val="67"/>
    <w:semiHidden/>
    <w:unhideWhenUsed/>
    <w:rPr>
      <w:sz w:val="22"/>
      <w:szCs w:val="22"/>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2-Accent34">
    <w:name w:val="Medium Grid 2 - Accent 34"/>
    <w:basedOn w:val="TableNormal"/>
    <w:next w:val="MediumGrid2-Accent3"/>
    <w:uiPriority w:val="68"/>
    <w:semiHidden/>
    <w:unhideWhenUsed/>
    <w:rPr>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3-Accent34">
    <w:name w:val="Medium Grid 3 - Accent 34"/>
    <w:basedOn w:val="TableNormal"/>
    <w:next w:val="MediumGrid3-Accent3"/>
    <w:uiPriority w:val="69"/>
    <w:semiHidden/>
    <w:unhideWhenUsed/>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DarkList-Accent34">
    <w:name w:val="Dark List - Accent 34"/>
    <w:basedOn w:val="TableNormal"/>
    <w:next w:val="DarkList-Accent3"/>
    <w:uiPriority w:val="70"/>
    <w:semiHidden/>
    <w:unhideWhenUsed/>
    <w:rPr>
      <w:color w:val="FFFFFF"/>
      <w:sz w:val="22"/>
      <w:szCs w:val="22"/>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ColorfulShading-Accent34">
    <w:name w:val="Colorful Shading - Accent 34"/>
    <w:basedOn w:val="TableNormal"/>
    <w:next w:val="ColorfulShading-Accent3"/>
    <w:uiPriority w:val="71"/>
    <w:semiHidden/>
    <w:unhideWhenUsed/>
    <w:rPr>
      <w:color w:val="000000"/>
      <w:sz w:val="22"/>
      <w:szCs w:val="22"/>
    </w:rPr>
    <w:tblPr>
      <w:tblStyleRowBandSize w:val="1"/>
      <w:tblStyleColBandSize w:val="1"/>
      <w:tblInd w:w="0" w:type="nil"/>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List-Accent34">
    <w:name w:val="Colorful List - Accent 34"/>
    <w:basedOn w:val="TableNormal"/>
    <w:next w:val="ColorfulList-Accent3"/>
    <w:uiPriority w:val="72"/>
    <w:semiHidden/>
    <w:unhideWhenUsed/>
    <w:rPr>
      <w:color w:val="000000"/>
      <w:sz w:val="22"/>
      <w:szCs w:val="22"/>
    </w:rPr>
    <w:tblPr>
      <w:tblStyleRowBandSize w:val="1"/>
      <w:tblStyleColBandSize w:val="1"/>
      <w:tblInd w:w="0" w:type="nil"/>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Grid-Accent34">
    <w:name w:val="Colorful Grid - Accent 34"/>
    <w:basedOn w:val="TableNormal"/>
    <w:next w:val="ColorfulGrid-Accent3"/>
    <w:uiPriority w:val="73"/>
    <w:semiHidden/>
    <w:unhideWhenUsed/>
    <w:rPr>
      <w:color w:val="000000"/>
      <w:sz w:val="22"/>
      <w:szCs w:val="22"/>
    </w:rPr>
    <w:tblPr>
      <w:tblStyleRowBandSize w:val="1"/>
      <w:tblStyleColBandSize w:val="1"/>
      <w:tblInd w:w="0" w:type="nil"/>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LightShading-Accent44">
    <w:name w:val="Light Shading - Accent 44"/>
    <w:basedOn w:val="TableNormal"/>
    <w:next w:val="LightShading-Accent4"/>
    <w:uiPriority w:val="60"/>
    <w:semiHidden/>
    <w:unhideWhenUsed/>
    <w:rPr>
      <w:color w:val="BF8F00"/>
      <w:sz w:val="22"/>
      <w:szCs w:val="22"/>
    </w:rPr>
    <w:tblPr>
      <w:tblStyleRowBandSize w:val="1"/>
      <w:tblStyleColBandSize w:val="1"/>
      <w:tblInd w:w="0" w:type="nil"/>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List-Accent44">
    <w:name w:val="Light List - Accent 44"/>
    <w:basedOn w:val="TableNormal"/>
    <w:next w:val="LightList-Accent4"/>
    <w:uiPriority w:val="61"/>
    <w:semiHidden/>
    <w:unhideWhenUsed/>
    <w:rPr>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pPr>
        <w:spacing w:beforeLines="0" w:before="0" w:beforeAutospacing="0" w:afterLines="0" w:after="0" w:afterAutospacing="0" w:line="240" w:lineRule="auto"/>
      </w:pPr>
      <w:rPr>
        <w:b/>
        <w:bCs/>
        <w:color w:val="FFFFFF"/>
      </w:rPr>
      <w:tblPr/>
      <w:tcPr>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4">
    <w:name w:val="Light Grid - Accent 44"/>
    <w:basedOn w:val="TableNormal"/>
    <w:next w:val="LightGrid-Accent4"/>
    <w:uiPriority w:val="62"/>
    <w:semiHidden/>
    <w:unhideWhenUsed/>
    <w:rPr>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Shading1-Accent44">
    <w:name w:val="Medium Shading 1 - Accent 44"/>
    <w:basedOn w:val="TableNormal"/>
    <w:next w:val="MediumShading1-Accent4"/>
    <w:uiPriority w:val="63"/>
    <w:semiHidden/>
    <w:unhideWhenUsed/>
    <w:rPr>
      <w:sz w:val="22"/>
      <w:szCs w:val="22"/>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0" w:beforeAutospacing="0" w:afterLines="0" w:after="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4">
    <w:name w:val="Medium Shading 2 - Accent 44"/>
    <w:basedOn w:val="TableNormal"/>
    <w:next w:val="MediumShading2-Accent4"/>
    <w:uiPriority w:val="64"/>
    <w:semiHidden/>
    <w:unhideWhenUsed/>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4">
    <w:name w:val="Medium List 1 - Accent 44"/>
    <w:basedOn w:val="TableNormal"/>
    <w:next w:val="MediumList1-Accent4"/>
    <w:uiPriority w:val="65"/>
    <w:semiHidden/>
    <w:unhideWhenUsed/>
    <w:rPr>
      <w:color w:val="000000"/>
      <w:sz w:val="22"/>
      <w:szCs w:val="22"/>
    </w:rPr>
    <w:tblPr>
      <w:tblStyleRowBandSize w:val="1"/>
      <w:tblStyleColBandSize w:val="1"/>
      <w:tblInd w:w="0" w:type="nil"/>
      <w:tblBorders>
        <w:top w:val="single" w:sz="8" w:space="0" w:color="FFC000"/>
        <w:bottom w:val="single" w:sz="8" w:space="0" w:color="FFC000"/>
      </w:tblBorders>
    </w:tblPr>
    <w:tblStylePr w:type="firstRow">
      <w:rPr>
        <w:rFonts w:ascii="Times New Roman" w:eastAsia="Times New Roman" w:hAnsi="Times New Roman" w:cs="Times New Roman" w:hint="default"/>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44">
    <w:name w:val="Medium List 2 - Accent 44"/>
    <w:basedOn w:val="TableNormal"/>
    <w:next w:val="MediumList2-Accent4"/>
    <w:uiPriority w:val="66"/>
    <w:semiHidden/>
    <w:unhideWhenUsed/>
    <w:rPr>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Grid1-Accent44">
    <w:name w:val="Medium Grid 1 - Accent 44"/>
    <w:basedOn w:val="TableNormal"/>
    <w:next w:val="MediumGrid1-Accent4"/>
    <w:uiPriority w:val="67"/>
    <w:semiHidden/>
    <w:unhideWhenUsed/>
    <w:rPr>
      <w:sz w:val="22"/>
      <w:szCs w:val="22"/>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2-Accent44">
    <w:name w:val="Medium Grid 2 - Accent 44"/>
    <w:basedOn w:val="TableNormal"/>
    <w:next w:val="MediumGrid2-Accent4"/>
    <w:uiPriority w:val="68"/>
    <w:semiHidden/>
    <w:unhideWhenUsed/>
    <w:rPr>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3-Accent44">
    <w:name w:val="Medium Grid 3 - Accent 44"/>
    <w:basedOn w:val="TableNormal"/>
    <w:next w:val="MediumGrid3-Accent4"/>
    <w:uiPriority w:val="69"/>
    <w:semiHidden/>
    <w:unhideWhenUsed/>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DarkList-Accent44">
    <w:name w:val="Dark List - Accent 44"/>
    <w:basedOn w:val="TableNormal"/>
    <w:next w:val="DarkList-Accent4"/>
    <w:uiPriority w:val="70"/>
    <w:semiHidden/>
    <w:unhideWhenUsed/>
    <w:rPr>
      <w:color w:val="FFFFFF"/>
      <w:sz w:val="22"/>
      <w:szCs w:val="22"/>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ColorfulShading-Accent44">
    <w:name w:val="Colorful Shading - Accent 44"/>
    <w:basedOn w:val="TableNormal"/>
    <w:next w:val="ColorfulShading-Accent4"/>
    <w:uiPriority w:val="71"/>
    <w:semiHidden/>
    <w:unhideWhenUsed/>
    <w:rPr>
      <w:color w:val="000000"/>
      <w:sz w:val="22"/>
      <w:szCs w:val="22"/>
    </w:rPr>
    <w:tblPr>
      <w:tblStyleRowBandSize w:val="1"/>
      <w:tblStyleColBandSize w:val="1"/>
      <w:tblInd w:w="0" w:type="nil"/>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List-Accent44">
    <w:name w:val="Colorful List - Accent 44"/>
    <w:basedOn w:val="TableNormal"/>
    <w:next w:val="ColorfulList-Accent4"/>
    <w:uiPriority w:val="72"/>
    <w:semiHidden/>
    <w:unhideWhenUsed/>
    <w:rPr>
      <w:color w:val="000000"/>
      <w:sz w:val="22"/>
      <w:szCs w:val="22"/>
    </w:rPr>
    <w:tblPr>
      <w:tblStyleRowBandSize w:val="1"/>
      <w:tblStyleColBandSize w:val="1"/>
      <w:tblInd w:w="0" w:type="nil"/>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Grid-Accent44">
    <w:name w:val="Colorful Grid - Accent 44"/>
    <w:basedOn w:val="TableNormal"/>
    <w:next w:val="ColorfulGrid-Accent4"/>
    <w:uiPriority w:val="73"/>
    <w:semiHidden/>
    <w:unhideWhenUsed/>
    <w:rPr>
      <w:color w:val="000000"/>
      <w:sz w:val="22"/>
      <w:szCs w:val="22"/>
    </w:rPr>
    <w:tblPr>
      <w:tblStyleRowBandSize w:val="1"/>
      <w:tblStyleColBandSize w:val="1"/>
      <w:tblInd w:w="0" w:type="nil"/>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LightShading-Accent54">
    <w:name w:val="Light Shading - Accent 54"/>
    <w:basedOn w:val="TableNormal"/>
    <w:next w:val="LightShading-Accent5"/>
    <w:uiPriority w:val="60"/>
    <w:semiHidden/>
    <w:unhideWhenUsed/>
    <w:rPr>
      <w:color w:val="2F5496"/>
      <w:sz w:val="22"/>
      <w:szCs w:val="22"/>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Accent54">
    <w:name w:val="Light List - Accent 54"/>
    <w:basedOn w:val="TableNormal"/>
    <w:next w:val="LightList-Accent5"/>
    <w:uiPriority w:val="61"/>
    <w:semiHidden/>
    <w:unhideWhenUsed/>
    <w:rPr>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line="240" w:lineRule="auto"/>
      </w:pPr>
      <w:rPr>
        <w:b/>
        <w:bCs/>
        <w:color w:val="FFFFFF"/>
      </w:rPr>
      <w:tblPr/>
      <w:tcPr>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Grid-Accent54">
    <w:name w:val="Light Grid - Accent 54"/>
    <w:basedOn w:val="TableNormal"/>
    <w:next w:val="LightGrid-Accent5"/>
    <w:uiPriority w:val="62"/>
    <w:semiHidden/>
    <w:unhideWhenUsed/>
    <w:rPr>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Accent54">
    <w:name w:val="Medium Shading 1 - Accent 54"/>
    <w:basedOn w:val="TableNormal"/>
    <w:next w:val="MediumShading1-Accent5"/>
    <w:uiPriority w:val="63"/>
    <w:semiHidden/>
    <w:unhideWhenUsed/>
    <w:rPr>
      <w:sz w:val="22"/>
      <w:szCs w:val="22"/>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2-Accent54">
    <w:name w:val="Medium Shading 2 - Accent 54"/>
    <w:basedOn w:val="TableNormal"/>
    <w:next w:val="MediumShading2-Accent5"/>
    <w:uiPriority w:val="64"/>
    <w:semiHidden/>
    <w:unhideWhenUsed/>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54">
    <w:name w:val="Medium List 1 - Accent 54"/>
    <w:basedOn w:val="TableNormal"/>
    <w:next w:val="MediumList1-Accent5"/>
    <w:uiPriority w:val="65"/>
    <w:semiHidden/>
    <w:unhideWhenUsed/>
    <w:rPr>
      <w:color w:val="000000"/>
      <w:sz w:val="22"/>
      <w:szCs w:val="22"/>
    </w:rPr>
    <w:tblPr>
      <w:tblStyleRowBandSize w:val="1"/>
      <w:tblStyleColBandSize w:val="1"/>
      <w:tblInd w:w="0" w:type="nil"/>
      <w:tblBorders>
        <w:top w:val="single" w:sz="8" w:space="0" w:color="4472C4"/>
        <w:bottom w:val="single" w:sz="8" w:space="0" w:color="4472C4"/>
      </w:tblBorders>
    </w:tblPr>
    <w:tblStylePr w:type="firstRow">
      <w:rPr>
        <w:rFonts w:ascii="Times New Roman" w:eastAsia="Times New Roman" w:hAnsi="Times New Roman" w:cs="Times New Roman" w:hint="default"/>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2-Accent54">
    <w:name w:val="Medium List 2 - Accent 54"/>
    <w:basedOn w:val="TableNormal"/>
    <w:next w:val="MediumList2-Accent5"/>
    <w:uiPriority w:val="66"/>
    <w:semiHidden/>
    <w:unhideWhenUsed/>
    <w:rPr>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1-Accent54">
    <w:name w:val="Medium Grid 1 - Accent 54"/>
    <w:basedOn w:val="TableNormal"/>
    <w:next w:val="MediumGrid1-Accent5"/>
    <w:uiPriority w:val="67"/>
    <w:semiHidden/>
    <w:unhideWhenUsed/>
    <w:rPr>
      <w:sz w:val="22"/>
      <w:szCs w:val="22"/>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2-Accent54">
    <w:name w:val="Medium Grid 2 - Accent 54"/>
    <w:basedOn w:val="TableNormal"/>
    <w:next w:val="MediumGrid2-Accent5"/>
    <w:uiPriority w:val="68"/>
    <w:semiHidden/>
    <w:unhideWhenUsed/>
    <w:rPr>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3-Accent54">
    <w:name w:val="Medium Grid 3 - Accent 54"/>
    <w:basedOn w:val="TableNormal"/>
    <w:next w:val="MediumGrid3-Accent5"/>
    <w:uiPriority w:val="69"/>
    <w:semiHidden/>
    <w:unhideWhenUsed/>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DarkList-Accent54">
    <w:name w:val="Dark List - Accent 54"/>
    <w:basedOn w:val="TableNormal"/>
    <w:next w:val="DarkList-Accent5"/>
    <w:uiPriority w:val="70"/>
    <w:semiHidden/>
    <w:unhideWhenUsed/>
    <w:rPr>
      <w:color w:val="FFFFFF"/>
      <w:sz w:val="22"/>
      <w:szCs w:val="22"/>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ColorfulShading-Accent54">
    <w:name w:val="Colorful Shading - Accent 54"/>
    <w:basedOn w:val="TableNormal"/>
    <w:next w:val="ColorfulShading-Accent5"/>
    <w:uiPriority w:val="71"/>
    <w:semiHidden/>
    <w:unhideWhenUsed/>
    <w:rPr>
      <w:color w:val="000000"/>
      <w:sz w:val="22"/>
      <w:szCs w:val="22"/>
    </w:rPr>
    <w:tblPr>
      <w:tblStyleRowBandSize w:val="1"/>
      <w:tblStyleColBandSize w:val="1"/>
      <w:tblInd w:w="0" w:type="nil"/>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List-Accent54">
    <w:name w:val="Colorful List - Accent 54"/>
    <w:basedOn w:val="TableNormal"/>
    <w:next w:val="ColorfulList-Accent5"/>
    <w:uiPriority w:val="72"/>
    <w:semiHidden/>
    <w:unhideWhenUsed/>
    <w:rPr>
      <w:color w:val="000000"/>
      <w:sz w:val="22"/>
      <w:szCs w:val="22"/>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Grid-Accent54">
    <w:name w:val="Colorful Grid - Accent 54"/>
    <w:basedOn w:val="TableNormal"/>
    <w:next w:val="ColorfulGrid-Accent5"/>
    <w:uiPriority w:val="73"/>
    <w:semiHidden/>
    <w:unhideWhenUsed/>
    <w:rPr>
      <w:color w:val="000000"/>
      <w:sz w:val="22"/>
      <w:szCs w:val="22"/>
    </w:rPr>
    <w:tblPr>
      <w:tblStyleRowBandSize w:val="1"/>
      <w:tblStyleColBandSize w:val="1"/>
      <w:tblInd w:w="0" w:type="nil"/>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LightShading-Accent64">
    <w:name w:val="Light Shading - Accent 64"/>
    <w:basedOn w:val="TableNormal"/>
    <w:next w:val="LightShading-Accent6"/>
    <w:uiPriority w:val="60"/>
    <w:semiHidden/>
    <w:unhideWhenUsed/>
    <w:rPr>
      <w:color w:val="538135"/>
      <w:sz w:val="22"/>
      <w:szCs w:val="22"/>
    </w:rPr>
    <w:tblPr>
      <w:tblStyleRowBandSize w:val="1"/>
      <w:tblStyleColBandSize w:val="1"/>
      <w:tblInd w:w="0" w:type="nil"/>
      <w:tblBorders>
        <w:top w:val="single" w:sz="8" w:space="0" w:color="70AD47"/>
        <w:bottom w:val="single" w:sz="8" w:space="0" w:color="70AD47"/>
      </w:tblBorders>
    </w:tblPr>
    <w:tblStylePr w:type="firstRow">
      <w:pPr>
        <w:spacing w:beforeLines="0" w:before="0" w:beforeAutospacing="0" w:afterLines="0" w:after="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ghtList-Accent64">
    <w:name w:val="Light List - Accent 64"/>
    <w:basedOn w:val="TableNormal"/>
    <w:next w:val="LightList-Accent6"/>
    <w:uiPriority w:val="61"/>
    <w:semiHidden/>
    <w:unhideWhenUsed/>
    <w:rPr>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pPr>
        <w:spacing w:beforeLines="0" w:before="0" w:beforeAutospacing="0" w:afterLines="0" w:after="0" w:afterAutospacing="0" w:line="240" w:lineRule="auto"/>
      </w:pPr>
      <w:rPr>
        <w:b/>
        <w:bCs/>
        <w:color w:val="FFFFFF"/>
      </w:rPr>
      <w:tblPr/>
      <w:tcPr>
        <w:shd w:val="clear" w:color="auto" w:fill="70AD47"/>
      </w:tcPr>
    </w:tblStylePr>
    <w:tblStylePr w:type="lastRow">
      <w:pPr>
        <w:spacing w:beforeLines="0" w:before="0" w:beforeAutospacing="0" w:afterLines="0" w:after="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4">
    <w:name w:val="Light Grid - Accent 64"/>
    <w:basedOn w:val="TableNormal"/>
    <w:next w:val="LightGrid-Accent6"/>
    <w:uiPriority w:val="62"/>
    <w:semiHidden/>
    <w:unhideWhenUsed/>
    <w:rPr>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64">
    <w:name w:val="Medium Shading 1 - Accent 64"/>
    <w:basedOn w:val="TableNormal"/>
    <w:next w:val="MediumShading1-Accent6"/>
    <w:uiPriority w:val="63"/>
    <w:semiHidden/>
    <w:unhideWhenUsed/>
    <w:rPr>
      <w:sz w:val="22"/>
      <w:szCs w:val="22"/>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Lines="0" w:before="0" w:beforeAutospacing="0" w:afterLines="0" w:after="0" w:afterAutospacing="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Lines="0" w:before="0" w:beforeAutospacing="0" w:afterLines="0" w:after="0" w:afterAutospacing="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Accent64">
    <w:name w:val="Medium Shading 2 - Accent 64"/>
    <w:basedOn w:val="TableNormal"/>
    <w:next w:val="MediumShading2-Accent6"/>
    <w:uiPriority w:val="64"/>
    <w:semiHidden/>
    <w:unhideWhenUsed/>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64">
    <w:name w:val="Medium List 1 - Accent 64"/>
    <w:basedOn w:val="TableNormal"/>
    <w:next w:val="MediumList1-Accent6"/>
    <w:uiPriority w:val="65"/>
    <w:semiHidden/>
    <w:unhideWhenUsed/>
    <w:rPr>
      <w:color w:val="000000"/>
      <w:sz w:val="22"/>
      <w:szCs w:val="22"/>
    </w:rPr>
    <w:tblPr>
      <w:tblStyleRowBandSize w:val="1"/>
      <w:tblStyleColBandSize w:val="1"/>
      <w:tblInd w:w="0" w:type="nil"/>
      <w:tblBorders>
        <w:top w:val="single" w:sz="8" w:space="0" w:color="70AD47"/>
        <w:bottom w:val="single" w:sz="8" w:space="0" w:color="70AD47"/>
      </w:tblBorders>
    </w:tblPr>
    <w:tblStylePr w:type="firstRow">
      <w:rPr>
        <w:rFonts w:ascii="Times New Roman" w:eastAsia="Times New Roman" w:hAnsi="Times New Roman" w:cs="Times New Roman" w:hint="default"/>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Accent64">
    <w:name w:val="Medium List 2 - Accent 64"/>
    <w:basedOn w:val="TableNormal"/>
    <w:next w:val="MediumList2-Accent6"/>
    <w:uiPriority w:val="66"/>
    <w:semiHidden/>
    <w:unhideWhenUsed/>
    <w:rPr>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Grid1-Accent64">
    <w:name w:val="Medium Grid 1 - Accent 64"/>
    <w:basedOn w:val="TableNormal"/>
    <w:next w:val="MediumGrid1-Accent6"/>
    <w:uiPriority w:val="67"/>
    <w:semiHidden/>
    <w:unhideWhenUsed/>
    <w:rPr>
      <w:sz w:val="22"/>
      <w:szCs w:val="22"/>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Accent64">
    <w:name w:val="Medium Grid 2 - Accent 64"/>
    <w:basedOn w:val="TableNormal"/>
    <w:next w:val="MediumGrid2-Accent6"/>
    <w:uiPriority w:val="68"/>
    <w:semiHidden/>
    <w:unhideWhenUsed/>
    <w:rPr>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Accent64">
    <w:name w:val="Medium Grid 3 - Accent 64"/>
    <w:basedOn w:val="TableNormal"/>
    <w:next w:val="MediumGrid3-Accent6"/>
    <w:uiPriority w:val="69"/>
    <w:semiHidden/>
    <w:unhideWhenUsed/>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DarkList-Accent64">
    <w:name w:val="Dark List - Accent 64"/>
    <w:basedOn w:val="TableNormal"/>
    <w:next w:val="DarkList-Accent6"/>
    <w:uiPriority w:val="70"/>
    <w:semiHidden/>
    <w:unhideWhenUsed/>
    <w:rPr>
      <w:color w:val="FFFFFF"/>
      <w:sz w:val="22"/>
      <w:szCs w:val="22"/>
    </w:rPr>
    <w:tblPr>
      <w:tblStyleRowBandSize w:val="1"/>
      <w:tblStyleColBandSize w:val="1"/>
      <w:tblInd w:w="0" w:type="nil"/>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ColorfulShading-Accent64">
    <w:name w:val="Colorful Shading - Accent 64"/>
    <w:basedOn w:val="TableNormal"/>
    <w:next w:val="ColorfulShading-Accent6"/>
    <w:uiPriority w:val="71"/>
    <w:semiHidden/>
    <w:unhideWhenUsed/>
    <w:rPr>
      <w:color w:val="000000"/>
      <w:sz w:val="22"/>
      <w:szCs w:val="22"/>
    </w:rPr>
    <w:tblPr>
      <w:tblStyleRowBandSize w:val="1"/>
      <w:tblStyleColBandSize w:val="1"/>
      <w:tblInd w:w="0" w:type="nil"/>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ColorfulList-Accent64">
    <w:name w:val="Colorful List - Accent 64"/>
    <w:basedOn w:val="TableNormal"/>
    <w:next w:val="ColorfulList-Accent6"/>
    <w:uiPriority w:val="72"/>
    <w:semiHidden/>
    <w:unhideWhenUsed/>
    <w:rPr>
      <w:color w:val="000000"/>
      <w:sz w:val="22"/>
      <w:szCs w:val="22"/>
    </w:rPr>
    <w:tblPr>
      <w:tblStyleRowBandSize w:val="1"/>
      <w:tblStyleColBandSize w:val="1"/>
      <w:tblInd w:w="0" w:type="nil"/>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Grid-Accent64">
    <w:name w:val="Colorful Grid - Accent 64"/>
    <w:basedOn w:val="TableNormal"/>
    <w:next w:val="ColorfulGrid-Accent6"/>
    <w:uiPriority w:val="73"/>
    <w:semiHidden/>
    <w:unhideWhenUsed/>
    <w:rPr>
      <w:color w:val="000000"/>
      <w:sz w:val="22"/>
      <w:szCs w:val="22"/>
    </w:rPr>
    <w:tblPr>
      <w:tblStyleRowBandSize w:val="1"/>
      <w:tblStyleColBandSize w:val="1"/>
      <w:tblInd w:w="0" w:type="nil"/>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PlainTable14">
    <w:name w:val="Plain Table 14"/>
    <w:basedOn w:val="TableNormal"/>
    <w:next w:val="PlainTable1"/>
    <w:uiPriority w:val="41"/>
    <w:rPr>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4">
    <w:name w:val="Plain Table 24"/>
    <w:basedOn w:val="TableNormal"/>
    <w:next w:val="PlainTable2"/>
    <w:uiPriority w:val="42"/>
    <w:rPr>
      <w:sz w:val="22"/>
      <w:szCs w:val="22"/>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4">
    <w:name w:val="Plain Table 34"/>
    <w:basedOn w:val="TableNormal"/>
    <w:next w:val="PlainTable3"/>
    <w:uiPriority w:val="43"/>
    <w:rPr>
      <w:sz w:val="22"/>
      <w:szCs w:val="22"/>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Normal"/>
    <w:next w:val="PlainTable4"/>
    <w:uiPriority w:val="44"/>
    <w:rPr>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4">
    <w:name w:val="Plain Table 54"/>
    <w:basedOn w:val="TableNormal"/>
    <w:next w:val="PlainTable5"/>
    <w:uiPriority w:val="45"/>
    <w:rPr>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7F7F7F"/>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F7F7F"/>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4">
    <w:name w:val="Table Grid Light4"/>
    <w:basedOn w:val="TableNormal"/>
    <w:next w:val="TableGridLight"/>
    <w:uiPriority w:val="40"/>
    <w:rPr>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4">
    <w:name w:val="Grid Table 1 Light4"/>
    <w:basedOn w:val="TableNormal"/>
    <w:next w:val="GridTable1Light"/>
    <w:uiPriority w:val="46"/>
    <w:rPr>
      <w:sz w:val="22"/>
      <w:szCs w:val="22"/>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4">
    <w:name w:val="Grid Table 24"/>
    <w:basedOn w:val="TableNormal"/>
    <w:next w:val="GridTable2"/>
    <w:uiPriority w:val="47"/>
    <w:rPr>
      <w:sz w:val="22"/>
      <w:szCs w:val="22"/>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4">
    <w:name w:val="Grid Table 34"/>
    <w:basedOn w:val="TableNormal"/>
    <w:next w:val="GridTable3"/>
    <w:uiPriority w:val="48"/>
    <w:rPr>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4">
    <w:name w:val="Grid Table 44"/>
    <w:basedOn w:val="TableNormal"/>
    <w:next w:val="GridTable4"/>
    <w:uiPriority w:val="49"/>
    <w:rPr>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4">
    <w:name w:val="Grid Table 5 Dark4"/>
    <w:basedOn w:val="TableNormal"/>
    <w:next w:val="GridTable5Dark"/>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6Colorful4">
    <w:name w:val="Grid Table 6 Colorful4"/>
    <w:basedOn w:val="TableNormal"/>
    <w:next w:val="GridTable6Colorful"/>
    <w:uiPriority w:val="51"/>
    <w:rPr>
      <w:color w:val="000000"/>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7Colorful4">
    <w:name w:val="Grid Table 7 Colorful4"/>
    <w:basedOn w:val="TableNormal"/>
    <w:next w:val="GridTable7Colorful"/>
    <w:uiPriority w:val="52"/>
    <w:rPr>
      <w:color w:val="000000"/>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4">
    <w:name w:val="Grid Table 1 Light - Accent 14"/>
    <w:basedOn w:val="TableNormal"/>
    <w:next w:val="GridTable1Light-Accent1"/>
    <w:uiPriority w:val="46"/>
    <w:rPr>
      <w:sz w:val="22"/>
      <w:szCs w:val="22"/>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4">
    <w:name w:val="Grid Table 2 - Accent 14"/>
    <w:basedOn w:val="TableNormal"/>
    <w:next w:val="GridTable2-Accent1"/>
    <w:uiPriority w:val="47"/>
    <w:rPr>
      <w:sz w:val="22"/>
      <w:szCs w:val="22"/>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3-Accent14">
    <w:name w:val="Grid Table 3 - Accent 14"/>
    <w:basedOn w:val="TableNormal"/>
    <w:next w:val="GridTable3-Accent1"/>
    <w:uiPriority w:val="48"/>
    <w:rPr>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4-Accent14">
    <w:name w:val="Grid Table 4 - Accent 14"/>
    <w:basedOn w:val="TableNormal"/>
    <w:next w:val="GridTable4-Accent1"/>
    <w:uiPriority w:val="49"/>
    <w:rPr>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4">
    <w:name w:val="Grid Table 5 Dark - Accent 14"/>
    <w:basedOn w:val="TableNormal"/>
    <w:next w:val="GridTable5Dark-Accent1"/>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6Colorful-Accent14">
    <w:name w:val="Grid Table 6 Colorful - Accent 14"/>
    <w:basedOn w:val="TableNormal"/>
    <w:next w:val="GridTable6Colorful-Accent1"/>
    <w:uiPriority w:val="51"/>
    <w:rPr>
      <w:color w:val="2E74B5"/>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7Colorful-Accent14">
    <w:name w:val="Grid Table 7 Colorful - Accent 14"/>
    <w:basedOn w:val="TableNormal"/>
    <w:next w:val="GridTable7Colorful-Accent1"/>
    <w:uiPriority w:val="52"/>
    <w:rPr>
      <w:color w:val="2E74B5"/>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1Light-Accent24">
    <w:name w:val="Grid Table 1 Light - Accent 24"/>
    <w:basedOn w:val="TableNormal"/>
    <w:next w:val="GridTable1Light-Accent2"/>
    <w:uiPriority w:val="46"/>
    <w:rPr>
      <w:sz w:val="22"/>
      <w:szCs w:val="22"/>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2-Accent24">
    <w:name w:val="Grid Table 2 - Accent 24"/>
    <w:basedOn w:val="TableNormal"/>
    <w:next w:val="GridTable2-Accent2"/>
    <w:uiPriority w:val="47"/>
    <w:rPr>
      <w:sz w:val="22"/>
      <w:szCs w:val="22"/>
    </w:rPr>
    <w:tblPr>
      <w:tblStyleRowBandSize w:val="1"/>
      <w:tblStyleColBandSize w:val="1"/>
      <w:tblInd w:w="0" w:type="nil"/>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3-Accent24">
    <w:name w:val="Grid Table 3 - Accent 24"/>
    <w:basedOn w:val="TableNormal"/>
    <w:next w:val="GridTable3-Accent2"/>
    <w:uiPriority w:val="48"/>
    <w:rPr>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4-Accent24">
    <w:name w:val="Grid Table 4 - Accent 24"/>
    <w:basedOn w:val="TableNormal"/>
    <w:next w:val="GridTable4-Accent2"/>
    <w:uiPriority w:val="49"/>
    <w:rPr>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4">
    <w:name w:val="Grid Table 5 Dark - Accent 24"/>
    <w:basedOn w:val="TableNormal"/>
    <w:next w:val="GridTable5Dark-Accent2"/>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6Colorful-Accent24">
    <w:name w:val="Grid Table 6 Colorful - Accent 24"/>
    <w:basedOn w:val="TableNormal"/>
    <w:next w:val="GridTable6Colorful-Accent2"/>
    <w:uiPriority w:val="51"/>
    <w:rPr>
      <w:color w:val="C45911"/>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7Colorful-Accent24">
    <w:name w:val="Grid Table 7 Colorful - Accent 24"/>
    <w:basedOn w:val="TableNormal"/>
    <w:next w:val="GridTable7Colorful-Accent2"/>
    <w:uiPriority w:val="52"/>
    <w:rPr>
      <w:color w:val="C45911"/>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1Light-Accent34">
    <w:name w:val="Grid Table 1 Light - Accent 34"/>
    <w:basedOn w:val="TableNormal"/>
    <w:next w:val="GridTable1Light-Accent3"/>
    <w:uiPriority w:val="46"/>
    <w:rPr>
      <w:sz w:val="22"/>
      <w:szCs w:val="22"/>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34">
    <w:name w:val="Grid Table 2 - Accent 34"/>
    <w:basedOn w:val="TableNormal"/>
    <w:next w:val="GridTable2-Accent3"/>
    <w:uiPriority w:val="47"/>
    <w:rPr>
      <w:sz w:val="22"/>
      <w:szCs w:val="22"/>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4">
    <w:name w:val="Grid Table 3 - Accent 34"/>
    <w:basedOn w:val="TableNormal"/>
    <w:next w:val="GridTable3-Accent3"/>
    <w:uiPriority w:val="48"/>
    <w:rPr>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4-Accent34">
    <w:name w:val="Grid Table 4 - Accent 34"/>
    <w:basedOn w:val="TableNormal"/>
    <w:next w:val="GridTable4-Accent3"/>
    <w:uiPriority w:val="49"/>
    <w:rPr>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4">
    <w:name w:val="Grid Table 5 Dark - Accent 34"/>
    <w:basedOn w:val="TableNormal"/>
    <w:next w:val="GridTable5Dark-Accent3"/>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6Colorful-Accent34">
    <w:name w:val="Grid Table 6 Colorful - Accent 34"/>
    <w:basedOn w:val="TableNormal"/>
    <w:next w:val="GridTable6Colorful-Accent3"/>
    <w:uiPriority w:val="51"/>
    <w:rPr>
      <w:color w:val="7B7B7B"/>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7Colorful-Accent34">
    <w:name w:val="Grid Table 7 Colorful - Accent 34"/>
    <w:basedOn w:val="TableNormal"/>
    <w:next w:val="GridTable7Colorful-Accent3"/>
    <w:uiPriority w:val="52"/>
    <w:rPr>
      <w:color w:val="7B7B7B"/>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1Light-Accent44">
    <w:name w:val="Grid Table 1 Light - Accent 44"/>
    <w:basedOn w:val="TableNormal"/>
    <w:next w:val="GridTable1Light-Accent4"/>
    <w:uiPriority w:val="46"/>
    <w:rPr>
      <w:sz w:val="22"/>
      <w:szCs w:val="22"/>
    </w:rPr>
    <w:tblPr>
      <w:tblStyleRowBandSize w:val="1"/>
      <w:tblStyleColBandSize w:val="1"/>
      <w:tblInd w:w="0" w:type="nil"/>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2-Accent44">
    <w:name w:val="Grid Table 2 - Accent 44"/>
    <w:basedOn w:val="TableNormal"/>
    <w:next w:val="GridTable2-Accent4"/>
    <w:uiPriority w:val="47"/>
    <w:rPr>
      <w:sz w:val="22"/>
      <w:szCs w:val="22"/>
    </w:rPr>
    <w:tblPr>
      <w:tblStyleRowBandSize w:val="1"/>
      <w:tblStyleColBandSize w:val="1"/>
      <w:tblInd w:w="0" w:type="nil"/>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3-Accent44">
    <w:name w:val="Grid Table 3 - Accent 44"/>
    <w:basedOn w:val="TableNormal"/>
    <w:next w:val="GridTable3-Accent4"/>
    <w:uiPriority w:val="48"/>
    <w:rPr>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4-Accent44">
    <w:name w:val="Grid Table 4 - Accent 44"/>
    <w:basedOn w:val="TableNormal"/>
    <w:next w:val="GridTable4-Accent4"/>
    <w:uiPriority w:val="49"/>
    <w:rPr>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4">
    <w:name w:val="Grid Table 5 Dark - Accent 44"/>
    <w:basedOn w:val="TableNormal"/>
    <w:next w:val="GridTable5Dark-Accent4"/>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6Colorful-Accent44">
    <w:name w:val="Grid Table 6 Colorful - Accent 44"/>
    <w:basedOn w:val="TableNormal"/>
    <w:next w:val="GridTable6Colorful-Accent4"/>
    <w:uiPriority w:val="51"/>
    <w:rPr>
      <w:color w:val="BF8F00"/>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7Colorful-Accent44">
    <w:name w:val="Grid Table 7 Colorful - Accent 44"/>
    <w:basedOn w:val="TableNormal"/>
    <w:next w:val="GridTable7Colorful-Accent4"/>
    <w:uiPriority w:val="52"/>
    <w:rPr>
      <w:color w:val="BF8F00"/>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1Light-Accent54">
    <w:name w:val="Grid Table 1 Light - Accent 54"/>
    <w:basedOn w:val="TableNormal"/>
    <w:next w:val="GridTable1Light-Accent5"/>
    <w:uiPriority w:val="46"/>
    <w:rPr>
      <w:sz w:val="22"/>
      <w:szCs w:val="22"/>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2-Accent54">
    <w:name w:val="Grid Table 2 - Accent 54"/>
    <w:basedOn w:val="TableNormal"/>
    <w:next w:val="GridTable2-Accent5"/>
    <w:uiPriority w:val="47"/>
    <w:rPr>
      <w:sz w:val="22"/>
      <w:szCs w:val="22"/>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3-Accent54">
    <w:name w:val="Grid Table 3 - Accent 54"/>
    <w:basedOn w:val="TableNormal"/>
    <w:next w:val="GridTable3-Accent5"/>
    <w:uiPriority w:val="48"/>
    <w:rPr>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4-Accent54">
    <w:name w:val="Grid Table 4 - Accent 54"/>
    <w:basedOn w:val="TableNormal"/>
    <w:next w:val="GridTable4-Accent5"/>
    <w:uiPriority w:val="49"/>
    <w:rPr>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4">
    <w:name w:val="Grid Table 5 Dark - Accent 54"/>
    <w:basedOn w:val="TableNormal"/>
    <w:next w:val="GridTable5Dark-Accent5"/>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54">
    <w:name w:val="Grid Table 6 Colorful - Accent 54"/>
    <w:basedOn w:val="TableNormal"/>
    <w:next w:val="GridTable6Colorful-Accent5"/>
    <w:uiPriority w:val="51"/>
    <w:rPr>
      <w:color w:val="2F5496"/>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7Colorful-Accent54">
    <w:name w:val="Grid Table 7 Colorful - Accent 54"/>
    <w:basedOn w:val="TableNormal"/>
    <w:next w:val="GridTable7Colorful-Accent5"/>
    <w:uiPriority w:val="52"/>
    <w:rPr>
      <w:color w:val="2F5496"/>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1Light-Accent64">
    <w:name w:val="Grid Table 1 Light - Accent 64"/>
    <w:basedOn w:val="TableNormal"/>
    <w:next w:val="GridTable1Light-Accent6"/>
    <w:uiPriority w:val="46"/>
    <w:rPr>
      <w:sz w:val="22"/>
      <w:szCs w:val="22"/>
    </w:rPr>
    <w:tblPr>
      <w:tblStyleRowBandSize w:val="1"/>
      <w:tblStyleColBandSize w:val="1"/>
      <w:tblInd w:w="0" w:type="nil"/>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Accent64">
    <w:name w:val="Grid Table 2 - Accent 64"/>
    <w:basedOn w:val="TableNormal"/>
    <w:next w:val="GridTable2-Accent6"/>
    <w:uiPriority w:val="47"/>
    <w:rPr>
      <w:sz w:val="22"/>
      <w:szCs w:val="22"/>
    </w:rPr>
    <w:tblPr>
      <w:tblStyleRowBandSize w:val="1"/>
      <w:tblStyleColBandSize w:val="1"/>
      <w:tblInd w:w="0" w:type="nil"/>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64">
    <w:name w:val="Grid Table 3 - Accent 64"/>
    <w:basedOn w:val="TableNormal"/>
    <w:next w:val="GridTable3-Accent6"/>
    <w:uiPriority w:val="48"/>
    <w:rPr>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Accent64">
    <w:name w:val="Grid Table 4 - Accent 64"/>
    <w:basedOn w:val="TableNormal"/>
    <w:next w:val="GridTable4-Accent6"/>
    <w:uiPriority w:val="49"/>
    <w:rPr>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4">
    <w:name w:val="Grid Table 5 Dark - Accent 64"/>
    <w:basedOn w:val="TableNormal"/>
    <w:next w:val="GridTable5Dark-Accent6"/>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Accent64">
    <w:name w:val="Grid Table 6 Colorful - Accent 64"/>
    <w:basedOn w:val="TableNormal"/>
    <w:next w:val="GridTable6Colorful-Accent6"/>
    <w:uiPriority w:val="51"/>
    <w:rPr>
      <w:color w:val="538135"/>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Accent64">
    <w:name w:val="Grid Table 7 Colorful - Accent 64"/>
    <w:basedOn w:val="TableNormal"/>
    <w:next w:val="GridTable7Colorful-Accent6"/>
    <w:uiPriority w:val="52"/>
    <w:rPr>
      <w:color w:val="538135"/>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stTable1Light4">
    <w:name w:val="List Table 1 Light4"/>
    <w:basedOn w:val="TableNormal"/>
    <w:next w:val="ListTable1Light"/>
    <w:uiPriority w:val="46"/>
    <w:rPr>
      <w:sz w:val="22"/>
      <w:szCs w:val="22"/>
    </w:rPr>
    <w:tblPr>
      <w:tblStyleRowBandSize w:val="1"/>
      <w:tblStyleColBandSize w:val="1"/>
      <w:tblInd w:w="0" w:type="nil"/>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4">
    <w:name w:val="List Table 24"/>
    <w:basedOn w:val="TableNormal"/>
    <w:next w:val="ListTable2"/>
    <w:uiPriority w:val="47"/>
    <w:rPr>
      <w:sz w:val="22"/>
      <w:szCs w:val="22"/>
    </w:rPr>
    <w:tblPr>
      <w:tblStyleRowBandSize w:val="1"/>
      <w:tblStyleColBandSize w:val="1"/>
      <w:tblInd w:w="0" w:type="nil"/>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4">
    <w:name w:val="List Table 34"/>
    <w:basedOn w:val="TableNormal"/>
    <w:next w:val="ListTable3"/>
    <w:uiPriority w:val="48"/>
    <w:rPr>
      <w:sz w:val="22"/>
      <w:szCs w:val="22"/>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44">
    <w:name w:val="List Table 44"/>
    <w:basedOn w:val="TableNormal"/>
    <w:next w:val="ListTable4"/>
    <w:uiPriority w:val="49"/>
    <w:rPr>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5Dark4">
    <w:name w:val="List Table 5 Dark4"/>
    <w:basedOn w:val="TableNormal"/>
    <w:next w:val="ListTable5Dark"/>
    <w:uiPriority w:val="50"/>
    <w:rPr>
      <w:color w:val="FFFFFF"/>
      <w:sz w:val="22"/>
      <w:szCs w:val="22"/>
    </w:rPr>
    <w:tblPr>
      <w:tblStyleRowBandSize w:val="1"/>
      <w:tblStyleColBandSize w:val="1"/>
      <w:tblInd w:w="0" w:type="nil"/>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4">
    <w:name w:val="List Table 6 Colorful4"/>
    <w:basedOn w:val="TableNormal"/>
    <w:next w:val="ListTable6Colorful"/>
    <w:uiPriority w:val="51"/>
    <w:rPr>
      <w:color w:val="000000"/>
      <w:sz w:val="22"/>
      <w:szCs w:val="22"/>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4">
    <w:name w:val="List Table 7 Colorful4"/>
    <w:basedOn w:val="TableNormal"/>
    <w:next w:val="ListTable7Colorful"/>
    <w:uiPriority w:val="52"/>
    <w:rPr>
      <w:color w:val="000000"/>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000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000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14">
    <w:name w:val="List Table 1 Light - Accent 14"/>
    <w:basedOn w:val="TableNormal"/>
    <w:next w:val="ListTable1Light-Accent1"/>
    <w:uiPriority w:val="46"/>
    <w:rPr>
      <w:sz w:val="22"/>
      <w:szCs w:val="22"/>
    </w:rPr>
    <w:tblPr>
      <w:tblStyleRowBandSize w:val="1"/>
      <w:tblStyleColBandSize w:val="1"/>
      <w:tblInd w:w="0" w:type="nil"/>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14">
    <w:name w:val="List Table 2 - Accent 14"/>
    <w:basedOn w:val="TableNormal"/>
    <w:next w:val="ListTable2-Accent1"/>
    <w:uiPriority w:val="47"/>
    <w:rPr>
      <w:sz w:val="22"/>
      <w:szCs w:val="22"/>
    </w:rPr>
    <w:tblPr>
      <w:tblStyleRowBandSize w:val="1"/>
      <w:tblStyleColBandSize w:val="1"/>
      <w:tblInd w:w="0" w:type="nil"/>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4">
    <w:name w:val="List Table 3 - Accent 14"/>
    <w:basedOn w:val="TableNormal"/>
    <w:next w:val="ListTable3-Accent1"/>
    <w:uiPriority w:val="48"/>
    <w:rPr>
      <w:sz w:val="22"/>
      <w:szCs w:val="22"/>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4-Accent14">
    <w:name w:val="List Table 4 - Accent 14"/>
    <w:basedOn w:val="TableNormal"/>
    <w:next w:val="ListTable4-Accent1"/>
    <w:uiPriority w:val="49"/>
    <w:rPr>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5Dark-Accent14">
    <w:name w:val="List Table 5 Dark - Accent 14"/>
    <w:basedOn w:val="TableNormal"/>
    <w:next w:val="ListTable5Dark-Accent1"/>
    <w:uiPriority w:val="50"/>
    <w:rPr>
      <w:color w:val="FFFFFF"/>
      <w:sz w:val="22"/>
      <w:szCs w:val="22"/>
    </w:rPr>
    <w:tblPr>
      <w:tblStyleRowBandSize w:val="1"/>
      <w:tblStyleColBandSize w:val="1"/>
      <w:tblInd w:w="0" w:type="nil"/>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4">
    <w:name w:val="List Table 6 Colorful - Accent 14"/>
    <w:basedOn w:val="TableNormal"/>
    <w:next w:val="ListTable6Colorful-Accent1"/>
    <w:uiPriority w:val="51"/>
    <w:rPr>
      <w:color w:val="2E74B5"/>
      <w:sz w:val="22"/>
      <w:szCs w:val="22"/>
    </w:rPr>
    <w:tblPr>
      <w:tblStyleRowBandSize w:val="1"/>
      <w:tblStyleColBandSize w:val="1"/>
      <w:tblInd w:w="0" w:type="nil"/>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7Colorful-Accent14">
    <w:name w:val="List Table 7 Colorful - Accent 14"/>
    <w:basedOn w:val="TableNormal"/>
    <w:next w:val="ListTable7Colorful-Accent1"/>
    <w:uiPriority w:val="52"/>
    <w:rPr>
      <w:color w:val="2E74B5"/>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5B9BD5"/>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5B9BD5"/>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5B9BD5"/>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24">
    <w:name w:val="List Table 1 Light - Accent 24"/>
    <w:basedOn w:val="TableNormal"/>
    <w:next w:val="ListTable1Light-Accent2"/>
    <w:uiPriority w:val="46"/>
    <w:rPr>
      <w:sz w:val="22"/>
      <w:szCs w:val="22"/>
    </w:rPr>
    <w:tblPr>
      <w:tblStyleRowBandSize w:val="1"/>
      <w:tblStyleColBandSize w:val="1"/>
      <w:tblInd w:w="0" w:type="nil"/>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24">
    <w:name w:val="List Table 2 - Accent 24"/>
    <w:basedOn w:val="TableNormal"/>
    <w:next w:val="ListTable2-Accent2"/>
    <w:uiPriority w:val="47"/>
    <w:rPr>
      <w:sz w:val="22"/>
      <w:szCs w:val="22"/>
    </w:rPr>
    <w:tblPr>
      <w:tblStyleRowBandSize w:val="1"/>
      <w:tblStyleColBandSize w:val="1"/>
      <w:tblInd w:w="0" w:type="nil"/>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4">
    <w:name w:val="List Table 3 - Accent 24"/>
    <w:basedOn w:val="TableNormal"/>
    <w:next w:val="ListTable3-Accent2"/>
    <w:uiPriority w:val="48"/>
    <w:rPr>
      <w:sz w:val="22"/>
      <w:szCs w:val="22"/>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4-Accent24">
    <w:name w:val="List Table 4 - Accent 24"/>
    <w:basedOn w:val="TableNormal"/>
    <w:next w:val="ListTable4-Accent2"/>
    <w:uiPriority w:val="49"/>
    <w:rPr>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5Dark-Accent24">
    <w:name w:val="List Table 5 Dark - Accent 24"/>
    <w:basedOn w:val="TableNormal"/>
    <w:next w:val="ListTable5Dark-Accent2"/>
    <w:uiPriority w:val="50"/>
    <w:rPr>
      <w:color w:val="FFFFFF"/>
      <w:sz w:val="22"/>
      <w:szCs w:val="22"/>
    </w:rPr>
    <w:tblPr>
      <w:tblStyleRowBandSize w:val="1"/>
      <w:tblStyleColBandSize w:val="1"/>
      <w:tblInd w:w="0" w:type="nil"/>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24">
    <w:name w:val="List Table 6 Colorful - Accent 24"/>
    <w:basedOn w:val="TableNormal"/>
    <w:next w:val="ListTable6Colorful-Accent2"/>
    <w:uiPriority w:val="51"/>
    <w:rPr>
      <w:color w:val="C45911"/>
      <w:sz w:val="22"/>
      <w:szCs w:val="22"/>
    </w:rPr>
    <w:tblPr>
      <w:tblStyleRowBandSize w:val="1"/>
      <w:tblStyleColBandSize w:val="1"/>
      <w:tblInd w:w="0" w:type="nil"/>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7Colorful-Accent24">
    <w:name w:val="List Table 7 Colorful - Accent 24"/>
    <w:basedOn w:val="TableNormal"/>
    <w:next w:val="ListTable7Colorful-Accent2"/>
    <w:uiPriority w:val="52"/>
    <w:rPr>
      <w:color w:val="C45911"/>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ED7D31"/>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ED7D31"/>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ED7D31"/>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34">
    <w:name w:val="List Table 1 Light - Accent 34"/>
    <w:basedOn w:val="TableNormal"/>
    <w:next w:val="ListTable1Light-Accent3"/>
    <w:uiPriority w:val="46"/>
    <w:rPr>
      <w:sz w:val="22"/>
      <w:szCs w:val="22"/>
    </w:rPr>
    <w:tblPr>
      <w:tblStyleRowBandSize w:val="1"/>
      <w:tblStyleColBandSize w:val="1"/>
      <w:tblInd w:w="0" w:type="nil"/>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34">
    <w:name w:val="List Table 2 - Accent 34"/>
    <w:basedOn w:val="TableNormal"/>
    <w:next w:val="ListTable2-Accent3"/>
    <w:uiPriority w:val="47"/>
    <w:rPr>
      <w:sz w:val="22"/>
      <w:szCs w:val="22"/>
    </w:rPr>
    <w:tblPr>
      <w:tblStyleRowBandSize w:val="1"/>
      <w:tblStyleColBandSize w:val="1"/>
      <w:tblInd w:w="0" w:type="nil"/>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3-Accent34">
    <w:name w:val="List Table 3 - Accent 34"/>
    <w:basedOn w:val="TableNormal"/>
    <w:next w:val="ListTable3-Accent3"/>
    <w:uiPriority w:val="48"/>
    <w:rPr>
      <w:sz w:val="22"/>
      <w:szCs w:val="22"/>
    </w:rPr>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4-Accent34">
    <w:name w:val="List Table 4 - Accent 34"/>
    <w:basedOn w:val="TableNormal"/>
    <w:next w:val="ListTable4-Accent3"/>
    <w:uiPriority w:val="49"/>
    <w:rPr>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5Dark-Accent34">
    <w:name w:val="List Table 5 Dark - Accent 34"/>
    <w:basedOn w:val="TableNormal"/>
    <w:next w:val="ListTable5Dark-Accent3"/>
    <w:uiPriority w:val="50"/>
    <w:rPr>
      <w:color w:val="FFFFFF"/>
      <w:sz w:val="22"/>
      <w:szCs w:val="22"/>
    </w:rPr>
    <w:tblPr>
      <w:tblStyleRowBandSize w:val="1"/>
      <w:tblStyleColBandSize w:val="1"/>
      <w:tblInd w:w="0" w:type="nil"/>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34">
    <w:name w:val="List Table 6 Colorful - Accent 34"/>
    <w:basedOn w:val="TableNormal"/>
    <w:next w:val="ListTable6Colorful-Accent3"/>
    <w:uiPriority w:val="51"/>
    <w:rPr>
      <w:color w:val="7B7B7B"/>
      <w:sz w:val="22"/>
      <w:szCs w:val="22"/>
    </w:rPr>
    <w:tblPr>
      <w:tblStyleRowBandSize w:val="1"/>
      <w:tblStyleColBandSize w:val="1"/>
      <w:tblInd w:w="0" w:type="nil"/>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7Colorful-Accent34">
    <w:name w:val="List Table 7 Colorful - Accent 34"/>
    <w:basedOn w:val="TableNormal"/>
    <w:next w:val="ListTable7Colorful-Accent3"/>
    <w:uiPriority w:val="52"/>
    <w:rPr>
      <w:color w:val="7B7B7B"/>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A5A5A5"/>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A5A5A5"/>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A5A5A5"/>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44">
    <w:name w:val="List Table 1 Light - Accent 44"/>
    <w:basedOn w:val="TableNormal"/>
    <w:next w:val="ListTable1Light-Accent4"/>
    <w:uiPriority w:val="46"/>
    <w:rPr>
      <w:sz w:val="22"/>
      <w:szCs w:val="22"/>
    </w:rPr>
    <w:tblPr>
      <w:tblStyleRowBandSize w:val="1"/>
      <w:tblStyleColBandSize w:val="1"/>
      <w:tblInd w:w="0" w:type="nil"/>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44">
    <w:name w:val="List Table 2 - Accent 44"/>
    <w:basedOn w:val="TableNormal"/>
    <w:next w:val="ListTable2-Accent4"/>
    <w:uiPriority w:val="47"/>
    <w:rPr>
      <w:sz w:val="22"/>
      <w:szCs w:val="22"/>
    </w:rPr>
    <w:tblPr>
      <w:tblStyleRowBandSize w:val="1"/>
      <w:tblStyleColBandSize w:val="1"/>
      <w:tblInd w:w="0" w:type="nil"/>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Accent44">
    <w:name w:val="List Table 3 - Accent 44"/>
    <w:basedOn w:val="TableNormal"/>
    <w:next w:val="ListTable3-Accent4"/>
    <w:uiPriority w:val="48"/>
    <w:rPr>
      <w:sz w:val="22"/>
      <w:szCs w:val="22"/>
    </w:rPr>
    <w:tblPr>
      <w:tblStyleRowBandSize w:val="1"/>
      <w:tblStyleColBandSize w:val="1"/>
      <w:tblInd w:w="0" w:type="nil"/>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44">
    <w:name w:val="List Table 4 - Accent 44"/>
    <w:basedOn w:val="TableNormal"/>
    <w:next w:val="ListTable4-Accent4"/>
    <w:uiPriority w:val="49"/>
    <w:rPr>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5Dark-Accent44">
    <w:name w:val="List Table 5 Dark - Accent 44"/>
    <w:basedOn w:val="TableNormal"/>
    <w:next w:val="ListTable5Dark-Accent4"/>
    <w:uiPriority w:val="50"/>
    <w:rPr>
      <w:color w:val="FFFFFF"/>
      <w:sz w:val="22"/>
      <w:szCs w:val="22"/>
    </w:rPr>
    <w:tblPr>
      <w:tblStyleRowBandSize w:val="1"/>
      <w:tblStyleColBandSize w:val="1"/>
      <w:tblInd w:w="0" w:type="nil"/>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44">
    <w:name w:val="List Table 6 Colorful - Accent 44"/>
    <w:basedOn w:val="TableNormal"/>
    <w:next w:val="ListTable6Colorful-Accent4"/>
    <w:uiPriority w:val="51"/>
    <w:rPr>
      <w:color w:val="BF8F00"/>
      <w:sz w:val="22"/>
      <w:szCs w:val="22"/>
    </w:rPr>
    <w:tblPr>
      <w:tblStyleRowBandSize w:val="1"/>
      <w:tblStyleColBandSize w:val="1"/>
      <w:tblInd w:w="0" w:type="nil"/>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7Colorful-Accent44">
    <w:name w:val="List Table 7 Colorful - Accent 44"/>
    <w:basedOn w:val="TableNormal"/>
    <w:next w:val="ListTable7Colorful-Accent4"/>
    <w:uiPriority w:val="52"/>
    <w:rPr>
      <w:color w:val="BF8F00"/>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FFC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FFC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FFC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54">
    <w:name w:val="List Table 1 Light - Accent 54"/>
    <w:basedOn w:val="TableNormal"/>
    <w:next w:val="ListTable1Light-Accent5"/>
    <w:uiPriority w:val="46"/>
    <w:rPr>
      <w:sz w:val="22"/>
      <w:szCs w:val="22"/>
    </w:rPr>
    <w:tblPr>
      <w:tblStyleRowBandSize w:val="1"/>
      <w:tblStyleColBandSize w:val="1"/>
      <w:tblInd w:w="0" w:type="nil"/>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54">
    <w:name w:val="List Table 2 - Accent 54"/>
    <w:basedOn w:val="TableNormal"/>
    <w:next w:val="ListTable2-Accent5"/>
    <w:uiPriority w:val="47"/>
    <w:rPr>
      <w:sz w:val="22"/>
      <w:szCs w:val="22"/>
    </w:rPr>
    <w:tblPr>
      <w:tblStyleRowBandSize w:val="1"/>
      <w:tblStyleColBandSize w:val="1"/>
      <w:tblInd w:w="0" w:type="nil"/>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4">
    <w:name w:val="List Table 3 - Accent 54"/>
    <w:basedOn w:val="TableNormal"/>
    <w:next w:val="ListTable3-Accent5"/>
    <w:uiPriority w:val="48"/>
    <w:rPr>
      <w:sz w:val="22"/>
      <w:szCs w:val="22"/>
    </w:rPr>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4-Accent54">
    <w:name w:val="List Table 4 - Accent 54"/>
    <w:basedOn w:val="TableNormal"/>
    <w:next w:val="ListTable4-Accent5"/>
    <w:uiPriority w:val="49"/>
    <w:rPr>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5Dark-Accent54">
    <w:name w:val="List Table 5 Dark - Accent 54"/>
    <w:basedOn w:val="TableNormal"/>
    <w:next w:val="ListTable5Dark-Accent5"/>
    <w:uiPriority w:val="50"/>
    <w:rPr>
      <w:color w:val="FFFFFF"/>
      <w:sz w:val="22"/>
      <w:szCs w:val="22"/>
    </w:rPr>
    <w:tblPr>
      <w:tblStyleRowBandSize w:val="1"/>
      <w:tblStyleColBandSize w:val="1"/>
      <w:tblInd w:w="0" w:type="nil"/>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54">
    <w:name w:val="List Table 6 Colorful - Accent 54"/>
    <w:basedOn w:val="TableNormal"/>
    <w:next w:val="ListTable6Colorful-Accent5"/>
    <w:uiPriority w:val="51"/>
    <w:rPr>
      <w:color w:val="2F5496"/>
      <w:sz w:val="22"/>
      <w:szCs w:val="22"/>
    </w:rPr>
    <w:tblPr>
      <w:tblStyleRowBandSize w:val="1"/>
      <w:tblStyleColBandSize w:val="1"/>
      <w:tblInd w:w="0" w:type="nil"/>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7Colorful-Accent54">
    <w:name w:val="List Table 7 Colorful - Accent 54"/>
    <w:basedOn w:val="TableNormal"/>
    <w:next w:val="ListTable7Colorful-Accent5"/>
    <w:uiPriority w:val="52"/>
    <w:rPr>
      <w:color w:val="2F5496"/>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4472C4"/>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4472C4"/>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4472C4"/>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64">
    <w:name w:val="List Table 1 Light - Accent 64"/>
    <w:basedOn w:val="TableNormal"/>
    <w:next w:val="ListTable1Light-Accent6"/>
    <w:uiPriority w:val="46"/>
    <w:rPr>
      <w:sz w:val="22"/>
      <w:szCs w:val="22"/>
    </w:rPr>
    <w:tblPr>
      <w:tblStyleRowBandSize w:val="1"/>
      <w:tblStyleColBandSize w:val="1"/>
      <w:tblInd w:w="0" w:type="nil"/>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Accent64">
    <w:name w:val="List Table 2 - Accent 64"/>
    <w:basedOn w:val="TableNormal"/>
    <w:next w:val="ListTable2-Accent6"/>
    <w:uiPriority w:val="47"/>
    <w:rPr>
      <w:sz w:val="22"/>
      <w:szCs w:val="22"/>
    </w:rPr>
    <w:tblPr>
      <w:tblStyleRowBandSize w:val="1"/>
      <w:tblStyleColBandSize w:val="1"/>
      <w:tblInd w:w="0" w:type="nil"/>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64">
    <w:name w:val="List Table 3 - Accent 64"/>
    <w:basedOn w:val="TableNormal"/>
    <w:next w:val="ListTable3-Accent6"/>
    <w:uiPriority w:val="48"/>
    <w:rPr>
      <w:sz w:val="22"/>
      <w:szCs w:val="22"/>
    </w:rPr>
    <w:tblPr>
      <w:tblStyleRowBandSize w:val="1"/>
      <w:tblStyleColBandSize w:val="1"/>
      <w:tblInd w:w="0" w:type="nil"/>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Accent64">
    <w:name w:val="List Table 4 - Accent 64"/>
    <w:basedOn w:val="TableNormal"/>
    <w:next w:val="ListTable4-Accent6"/>
    <w:uiPriority w:val="49"/>
    <w:rPr>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Accent64">
    <w:name w:val="List Table 5 Dark - Accent 64"/>
    <w:basedOn w:val="TableNormal"/>
    <w:next w:val="ListTable5Dark-Accent6"/>
    <w:uiPriority w:val="50"/>
    <w:rPr>
      <w:color w:val="FFFFFF"/>
      <w:sz w:val="22"/>
      <w:szCs w:val="22"/>
    </w:rPr>
    <w:tblPr>
      <w:tblStyleRowBandSize w:val="1"/>
      <w:tblStyleColBandSize w:val="1"/>
      <w:tblInd w:w="0" w:type="nil"/>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64">
    <w:name w:val="List Table 6 Colorful - Accent 64"/>
    <w:basedOn w:val="TableNormal"/>
    <w:next w:val="ListTable6Colorful-Accent6"/>
    <w:uiPriority w:val="51"/>
    <w:rPr>
      <w:color w:val="538135"/>
      <w:sz w:val="22"/>
      <w:szCs w:val="22"/>
    </w:rPr>
    <w:tblPr>
      <w:tblStyleRowBandSize w:val="1"/>
      <w:tblStyleColBandSize w:val="1"/>
      <w:tblInd w:w="0" w:type="nil"/>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Accent64">
    <w:name w:val="List Table 7 Colorful - Accent 64"/>
    <w:basedOn w:val="TableNormal"/>
    <w:next w:val="ListTable7Colorful-Accent6"/>
    <w:uiPriority w:val="52"/>
    <w:rPr>
      <w:color w:val="538135"/>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70AD47"/>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0AD47"/>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0AD47"/>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ArticleSection3">
    <w:name w:val="Article / Section3"/>
    <w:basedOn w:val="NoList"/>
    <w:next w:val="ArticleSection"/>
    <w:uiPriority w:val="99"/>
    <w:semiHidden/>
    <w:unhideWhenUsed/>
    <w:pPr>
      <w:numPr>
        <w:numId w:val="1"/>
      </w:numPr>
    </w:pPr>
  </w:style>
  <w:style w:type="numbering" w:customStyle="1" w:styleId="1ai3">
    <w:name w:val="1 / a / i3"/>
    <w:basedOn w:val="NoList"/>
    <w:next w:val="1ai"/>
    <w:uiPriority w:val="99"/>
    <w:semiHidden/>
    <w:unhideWhenUsed/>
  </w:style>
  <w:style w:type="numbering" w:customStyle="1" w:styleId="1111113">
    <w:name w:val="1 / 1.1 / 1.1.13"/>
    <w:basedOn w:val="NoList"/>
    <w:next w:val="111111"/>
    <w:uiPriority w:val="99"/>
    <w:semiHidden/>
    <w:unhideWhenUsed/>
  </w:style>
  <w:style w:type="numbering" w:customStyle="1" w:styleId="NoList4">
    <w:name w:val="No List4"/>
    <w:next w:val="NoList"/>
    <w:uiPriority w:val="99"/>
    <w:semiHidden/>
    <w:unhideWhenUsed/>
  </w:style>
  <w:style w:type="table" w:customStyle="1" w:styleId="TableSimple15">
    <w:name w:val="Table Simple 15"/>
    <w:basedOn w:val="TableNormal"/>
    <w:next w:val="TableSimple1"/>
    <w:uiPriority w:val="99"/>
    <w:semiHidden/>
    <w:unhideWhenUsed/>
    <w:rPr>
      <w:rFonts w:cs="Arial"/>
      <w:sz w:val="22"/>
      <w:szCs w:val="22"/>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uiPriority w:val="99"/>
    <w:semiHidden/>
    <w:unhideWhenUsed/>
    <w:rPr>
      <w:rFonts w:cs="Arial"/>
      <w:sz w:val="22"/>
      <w:szCs w:val="22"/>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uiPriority w:val="99"/>
    <w:semiHidden/>
    <w:unhideWhenUsed/>
    <w:rPr>
      <w:rFonts w:cs="Arial"/>
      <w:sz w:val="22"/>
      <w:szCs w:val="22"/>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5">
    <w:name w:val="Table Classic 15"/>
    <w:basedOn w:val="TableNormal"/>
    <w:next w:val="TableClassic1"/>
    <w:uiPriority w:val="99"/>
    <w:semiHidden/>
    <w:unhideWhenUsed/>
    <w:rPr>
      <w:rFonts w:cs="Arial"/>
      <w:sz w:val="22"/>
      <w:szCs w:val="22"/>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uiPriority w:val="99"/>
    <w:semiHidden/>
    <w:unhideWhenUsed/>
    <w:rPr>
      <w:rFonts w:cs="Arial"/>
      <w:sz w:val="22"/>
      <w:szCs w:val="22"/>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uiPriority w:val="99"/>
    <w:semiHidden/>
    <w:unhideWhenUsed/>
    <w:rPr>
      <w:rFonts w:cs="Arial"/>
      <w:color w:val="000080"/>
      <w:sz w:val="22"/>
      <w:szCs w:val="22"/>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uiPriority w:val="99"/>
    <w:semiHidden/>
    <w:unhideWhenUsed/>
    <w:rPr>
      <w:rFonts w:cs="Arial"/>
      <w:sz w:val="22"/>
      <w:szCs w:val="22"/>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uiPriority w:val="99"/>
    <w:semiHidden/>
    <w:unhideWhenUsed/>
    <w:rPr>
      <w:rFonts w:cs="Arial"/>
      <w:color w:val="FFFFFF"/>
      <w:sz w:val="22"/>
      <w:szCs w:val="22"/>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uiPriority w:val="99"/>
    <w:semiHidden/>
    <w:unhideWhenUsed/>
    <w:rPr>
      <w:rFonts w:cs="Arial"/>
      <w:sz w:val="22"/>
      <w:szCs w:val="22"/>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uiPriority w:val="99"/>
    <w:semiHidden/>
    <w:unhideWhenUsed/>
    <w:rPr>
      <w:rFonts w:cs="Arial"/>
      <w:sz w:val="22"/>
      <w:szCs w:val="22"/>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uiPriority w:val="99"/>
    <w:semiHidden/>
    <w:unhideWhenUsed/>
    <w:rPr>
      <w:rFonts w:cs="Arial"/>
      <w:b/>
      <w:bCs/>
      <w:sz w:val="22"/>
      <w:szCs w:val="22"/>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uiPriority w:val="99"/>
    <w:semiHidden/>
    <w:unhideWhenUsed/>
    <w:rPr>
      <w:rFonts w:cs="Arial"/>
      <w:b/>
      <w:bCs/>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uiPriority w:val="99"/>
    <w:semiHidden/>
    <w:unhideWhenUsed/>
    <w:rPr>
      <w:rFonts w:cs="Arial"/>
      <w:b/>
      <w:bCs/>
      <w:sz w:val="22"/>
      <w:szCs w:val="22"/>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uiPriority w:val="99"/>
    <w:semiHidden/>
    <w:unhideWhenUsed/>
    <w:rPr>
      <w:rFonts w:cs="Arial"/>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uiPriority w:val="99"/>
    <w:semiHidden/>
    <w:unhideWhenUsed/>
    <w:rPr>
      <w:rFonts w:cs="Arial"/>
      <w:sz w:val="22"/>
      <w:szCs w:val="22"/>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5">
    <w:name w:val="Table Grid 15"/>
    <w:basedOn w:val="TableNormal"/>
    <w:next w:val="TableGrid1"/>
    <w:uiPriority w:val="99"/>
    <w:semiHidden/>
    <w:unhideWhenUsed/>
    <w:rPr>
      <w:rFonts w:cs="Arial"/>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uiPriority w:val="99"/>
    <w:semiHidden/>
    <w:unhideWhenUsed/>
    <w:rPr>
      <w:rFonts w:cs="Arial"/>
      <w:sz w:val="22"/>
      <w:szCs w:val="22"/>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uiPriority w:val="99"/>
    <w:semiHidden/>
    <w:unhideWhenUsed/>
    <w:rPr>
      <w:rFonts w:cs="Arial"/>
      <w:sz w:val="22"/>
      <w:szCs w:val="22"/>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uiPriority w:val="99"/>
    <w:semiHidden/>
    <w:unhideWhenUsed/>
    <w:rPr>
      <w:rFonts w:cs="Arial"/>
      <w:sz w:val="22"/>
      <w:szCs w:val="22"/>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uiPriority w:val="99"/>
    <w:semiHidden/>
    <w:unhideWhenUsed/>
    <w:rPr>
      <w:rFonts w:cs="Arial"/>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uiPriority w:val="99"/>
    <w:semiHidden/>
    <w:unhideWhenUsed/>
    <w:rPr>
      <w:rFonts w:cs="Arial"/>
      <w:sz w:val="22"/>
      <w:szCs w:val="22"/>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uiPriority w:val="99"/>
    <w:semiHidden/>
    <w:unhideWhenUsed/>
    <w:rPr>
      <w:rFonts w:cs="Arial"/>
      <w:b/>
      <w:bCs/>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uiPriority w:val="99"/>
    <w:semiHidden/>
    <w:unhideWhenUsed/>
    <w:rPr>
      <w:rFonts w:cs="Arial"/>
      <w:sz w:val="22"/>
      <w:szCs w:val="22"/>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uiPriority w:val="99"/>
    <w:semiHidden/>
    <w:unhideWhenUsed/>
    <w:rPr>
      <w:rFonts w:cs="Arial"/>
      <w:sz w:val="22"/>
      <w:szCs w:val="22"/>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uiPriority w:val="99"/>
    <w:semiHidden/>
    <w:unhideWhenUsed/>
    <w:rPr>
      <w:rFonts w:cs="Arial"/>
      <w:sz w:val="22"/>
      <w:szCs w:val="22"/>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uiPriority w:val="99"/>
    <w:semiHidden/>
    <w:unhideWhenUsed/>
    <w:rPr>
      <w:rFonts w:cs="Arial"/>
      <w:sz w:val="22"/>
      <w:szCs w:val="22"/>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uiPriority w:val="99"/>
    <w:semiHidden/>
    <w:unhideWhenUsed/>
    <w:rPr>
      <w:rFonts w:cs="Arial"/>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uiPriority w:val="99"/>
    <w:semiHidden/>
    <w:unhideWhenUsed/>
    <w:rPr>
      <w:rFonts w:cs="Arial"/>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uiPriority w:val="99"/>
    <w:semiHidden/>
    <w:unhideWhenUsed/>
    <w:rPr>
      <w:rFonts w:cs="Arial"/>
      <w:sz w:val="22"/>
      <w:szCs w:val="22"/>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uiPriority w:val="99"/>
    <w:semiHidden/>
    <w:unhideWhenUsed/>
    <w:rPr>
      <w:rFonts w:cs="Arial"/>
      <w:sz w:val="22"/>
      <w:szCs w:val="22"/>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uiPriority w:val="99"/>
    <w:semiHidden/>
    <w:unhideWhenUsed/>
    <w:rPr>
      <w:rFonts w:cs="Arial"/>
      <w:sz w:val="22"/>
      <w:szCs w:val="22"/>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5">
    <w:name w:val="Table 3D effects 15"/>
    <w:basedOn w:val="TableNormal"/>
    <w:next w:val="Table3Deffects1"/>
    <w:uiPriority w:val="99"/>
    <w:semiHidden/>
    <w:unhideWhenUsed/>
    <w:rPr>
      <w:rFonts w:cs="Arial"/>
      <w:sz w:val="22"/>
      <w:szCs w:val="22"/>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uiPriority w:val="99"/>
    <w:semiHidden/>
    <w:unhideWhenUsed/>
    <w:rPr>
      <w:rFonts w:cs="Arial"/>
      <w:sz w:val="22"/>
      <w:szCs w:val="22"/>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uiPriority w:val="99"/>
    <w:semiHidden/>
    <w:unhideWhenUsed/>
    <w:rPr>
      <w:rFonts w:cs="Arial"/>
      <w:sz w:val="22"/>
      <w:szCs w:val="22"/>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5">
    <w:name w:val="Table Contemporary5"/>
    <w:basedOn w:val="TableNormal"/>
    <w:next w:val="TableContemporary"/>
    <w:uiPriority w:val="99"/>
    <w:semiHidden/>
    <w:unhideWhenUsed/>
    <w:rPr>
      <w:rFonts w:cs="Arial"/>
      <w:sz w:val="22"/>
      <w:szCs w:val="22"/>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uiPriority w:val="99"/>
    <w:semiHidden/>
    <w:unhideWhenUsed/>
    <w:rPr>
      <w:rFonts w:cs="Arial"/>
      <w:sz w:val="22"/>
      <w:szCs w:val="22"/>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5">
    <w:name w:val="Table Professional5"/>
    <w:basedOn w:val="TableNormal"/>
    <w:next w:val="TableProfessional"/>
    <w:uiPriority w:val="99"/>
    <w:semiHidden/>
    <w:unhideWhenUsed/>
    <w:rPr>
      <w:rFonts w:cs="Arial"/>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uiPriority w:val="99"/>
    <w:semiHidden/>
    <w:unhideWhenUsed/>
    <w:rPr>
      <w:rFonts w:cs="Arial"/>
      <w:sz w:val="22"/>
      <w:szCs w:val="22"/>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uiPriority w:val="99"/>
    <w:semiHidden/>
    <w:unhideWhenUsed/>
    <w:rPr>
      <w:rFonts w:cs="Arial"/>
      <w:sz w:val="22"/>
      <w:szCs w:val="22"/>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5">
    <w:name w:val="Table Web 15"/>
    <w:basedOn w:val="TableNormal"/>
    <w:next w:val="TableWeb1"/>
    <w:uiPriority w:val="99"/>
    <w:semiHidden/>
    <w:unhideWhenUsed/>
    <w:rPr>
      <w:rFonts w:cs="Arial"/>
      <w:sz w:val="22"/>
      <w:szCs w:val="22"/>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uiPriority w:val="99"/>
    <w:semiHidden/>
    <w:unhideWhenUsed/>
    <w:rPr>
      <w:rFonts w:cs="Arial"/>
      <w:sz w:val="22"/>
      <w:szCs w:val="22"/>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uiPriority w:val="99"/>
    <w:semiHidden/>
    <w:unhideWhenUsed/>
    <w:rPr>
      <w:rFonts w:cs="Arial"/>
      <w:sz w:val="22"/>
      <w:szCs w:val="22"/>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50">
    <w:name w:val="Table Grid5"/>
    <w:basedOn w:val="TableNormal"/>
    <w:next w:val="TableGrid"/>
    <w:uiPriority w:val="39"/>
    <w:rPr>
      <w:rFont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uiPriority w:val="99"/>
    <w:semiHidden/>
    <w:unhideWhenUsed/>
    <w:rPr>
      <w:rFonts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5">
    <w:name w:val="Light Shading5"/>
    <w:basedOn w:val="TableNormal"/>
    <w:next w:val="LightShading"/>
    <w:uiPriority w:val="60"/>
    <w:semiHidden/>
    <w:unhideWhenUsed/>
    <w:rPr>
      <w:rFonts w:cs="Arial"/>
      <w:color w:val="000000" w:themeColor="text1" w:themeShade="BF"/>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5">
    <w:name w:val="Light List5"/>
    <w:basedOn w:val="TableNormal"/>
    <w:next w:val="LightList"/>
    <w:uiPriority w:val="61"/>
    <w:semiHidden/>
    <w:unhideWhenUsed/>
    <w:rPr>
      <w:rFonts w:cs="Arial"/>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5">
    <w:name w:val="Light Grid5"/>
    <w:basedOn w:val="TableNormal"/>
    <w:next w:val="LightGrid"/>
    <w:uiPriority w:val="62"/>
    <w:semiHidden/>
    <w:unhideWhenUsed/>
    <w:rPr>
      <w:rFonts w:cs="Arial"/>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imes New Roman" w:eastAsia="MS Gothic" w:hAnsi="Times New Roman"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imes New Roman" w:eastAsia="MS Gothic" w:hAnsi="Times New Roman"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imes New Roman" w:eastAsia="MS Gothic" w:hAnsi="Times New Roman" w:cs="Times New Roman" w:hint="default"/>
        <w:b/>
        <w:bCs/>
      </w:rPr>
    </w:tblStylePr>
    <w:tblStylePr w:type="lastCol">
      <w:rPr>
        <w:rFonts w:ascii="Times New Roman" w:eastAsia="MS Gothic" w:hAnsi="Times New Roman"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5">
    <w:name w:val="Medium Shading 15"/>
    <w:basedOn w:val="TableNormal"/>
    <w:next w:val="MediumShading1"/>
    <w:uiPriority w:val="63"/>
    <w:semiHidden/>
    <w:unhideWhenUsed/>
    <w:rPr>
      <w:rFonts w:cs="Arial"/>
      <w:sz w:val="22"/>
      <w:szCs w:val="22"/>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5">
    <w:name w:val="Medium Shading 25"/>
    <w:basedOn w:val="TableNormal"/>
    <w:next w:val="MediumShading2"/>
    <w:uiPriority w:val="64"/>
    <w:semiHidden/>
    <w:unhideWhenUsed/>
    <w:rPr>
      <w:rFonts w:cs="Arial"/>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5">
    <w:name w:val="Medium List 15"/>
    <w:basedOn w:val="TableNormal"/>
    <w:next w:val="MediumList1"/>
    <w:uiPriority w:val="65"/>
    <w:semiHidden/>
    <w:unhideWhenUsed/>
    <w:rPr>
      <w:rFonts w:cs="Arial"/>
      <w:color w:val="000000" w:themeColor="text1"/>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imes New Roman" w:eastAsia="MS Gothic" w:hAnsi="Times New Roman" w:cs="Times New Roman"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5">
    <w:name w:val="Medium List 25"/>
    <w:basedOn w:val="TableNormal"/>
    <w:next w:val="MediumList2"/>
    <w:uiPriority w:val="66"/>
    <w:semiHidden/>
    <w:unhideWhenUsed/>
    <w:rPr>
      <w:rFonts w:eastAsia="MS Gothic" w:cs="Arial"/>
      <w:color w:val="000000" w:themeColor="text1"/>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5">
    <w:name w:val="Medium Grid 15"/>
    <w:basedOn w:val="TableNormal"/>
    <w:next w:val="MediumGrid1"/>
    <w:uiPriority w:val="67"/>
    <w:semiHidden/>
    <w:unhideWhenUsed/>
    <w:rPr>
      <w:rFonts w:cs="Arial"/>
      <w:sz w:val="22"/>
      <w:szCs w:val="22"/>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5">
    <w:name w:val="Medium Grid 25"/>
    <w:basedOn w:val="TableNormal"/>
    <w:next w:val="MediumGrid2"/>
    <w:uiPriority w:val="68"/>
    <w:semiHidden/>
    <w:unhideWhenUsed/>
    <w:rPr>
      <w:rFonts w:eastAsia="MS Gothic" w:cs="Arial"/>
      <w:color w:val="000000" w:themeColor="text1"/>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5">
    <w:name w:val="Medium Grid 35"/>
    <w:basedOn w:val="TableNormal"/>
    <w:next w:val="MediumGrid3"/>
    <w:uiPriority w:val="69"/>
    <w:semiHidden/>
    <w:unhideWhenUsed/>
    <w:rPr>
      <w:rFonts w:cs="Arial"/>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DarkList5">
    <w:name w:val="Dark List5"/>
    <w:basedOn w:val="TableNormal"/>
    <w:next w:val="DarkList"/>
    <w:uiPriority w:val="70"/>
    <w:semiHidden/>
    <w:unhideWhenUsed/>
    <w:rPr>
      <w:rFonts w:cs="Arial"/>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ColorfulShading5">
    <w:name w:val="Colorful Shading5"/>
    <w:basedOn w:val="TableNormal"/>
    <w:next w:val="ColorfulShading"/>
    <w:uiPriority w:val="71"/>
    <w:semiHidden/>
    <w:unhideWhenUsed/>
    <w:rPr>
      <w:rFonts w:cs="Arial"/>
      <w:color w:val="000000" w:themeColor="text1"/>
      <w:sz w:val="22"/>
      <w:szCs w:val="22"/>
    </w:rPr>
    <w:tblPr>
      <w:tblStyleRowBandSize w:val="1"/>
      <w:tblStyleColBandSize w:val="1"/>
      <w:tblInd w:w="0" w:type="nil"/>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List5">
    <w:name w:val="Colorful List5"/>
    <w:basedOn w:val="TableNormal"/>
    <w:next w:val="ColorfulList"/>
    <w:uiPriority w:val="72"/>
    <w:semiHidden/>
    <w:unhideWhenUsed/>
    <w:rPr>
      <w:rFonts w:cs="Arial"/>
      <w:color w:val="000000" w:themeColor="text1"/>
      <w:sz w:val="22"/>
      <w:szCs w:val="22"/>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Grid5">
    <w:name w:val="Colorful Grid5"/>
    <w:basedOn w:val="TableNormal"/>
    <w:next w:val="ColorfulGrid"/>
    <w:uiPriority w:val="73"/>
    <w:semiHidden/>
    <w:unhideWhenUsed/>
    <w:rPr>
      <w:rFonts w:cs="Arial"/>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Shading-Accent15">
    <w:name w:val="Light Shading - Accent 15"/>
    <w:basedOn w:val="TableNormal"/>
    <w:next w:val="LightShading-Accent1"/>
    <w:uiPriority w:val="60"/>
    <w:semiHidden/>
    <w:unhideWhenUsed/>
    <w:rPr>
      <w:rFonts w:cs="Arial"/>
      <w:color w:val="365F91" w:themeColor="accent1" w:themeShade="BF"/>
      <w:sz w:val="22"/>
      <w:szCs w:val="22"/>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5">
    <w:name w:val="Light List - Accent 15"/>
    <w:basedOn w:val="TableNormal"/>
    <w:next w:val="LightList-Accent1"/>
    <w:uiPriority w:val="61"/>
    <w:semiHidden/>
    <w:unhideWhenUsed/>
    <w:rPr>
      <w:rFonts w:cs="Arial"/>
      <w:sz w:val="22"/>
      <w:szCs w:val="22"/>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5">
    <w:name w:val="Light Grid - Accent 15"/>
    <w:basedOn w:val="TableNormal"/>
    <w:next w:val="LightGrid-Accent1"/>
    <w:uiPriority w:val="62"/>
    <w:semiHidden/>
    <w:unhideWhenUsed/>
    <w:rPr>
      <w:rFonts w:cs="Arial"/>
      <w:sz w:val="22"/>
      <w:szCs w:val="22"/>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imes New Roman" w:eastAsia="MS Gothic" w:hAnsi="Times New Roman"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imes New Roman" w:eastAsia="MS Gothic" w:hAnsi="Times New Roman"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imes New Roman" w:eastAsia="MS Gothic" w:hAnsi="Times New Roman" w:cs="Times New Roman" w:hint="default"/>
        <w:b/>
        <w:bCs/>
      </w:rPr>
    </w:tblStylePr>
    <w:tblStylePr w:type="lastCol">
      <w:rPr>
        <w:rFonts w:ascii="Times New Roman" w:eastAsia="MS Gothic" w:hAnsi="Times New Roman"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5">
    <w:name w:val="Medium Shading 1 - Accent 15"/>
    <w:basedOn w:val="TableNormal"/>
    <w:next w:val="MediumShading1-Accent1"/>
    <w:uiPriority w:val="63"/>
    <w:semiHidden/>
    <w:unhideWhenUsed/>
    <w:rPr>
      <w:rFonts w:cs="Arial"/>
      <w:sz w:val="22"/>
      <w:szCs w:val="22"/>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Accent15">
    <w:name w:val="Medium Shading 2 - Accent 15"/>
    <w:basedOn w:val="TableNormal"/>
    <w:next w:val="MediumShading2-Accent1"/>
    <w:uiPriority w:val="64"/>
    <w:semiHidden/>
    <w:unhideWhenUsed/>
    <w:rPr>
      <w:rFonts w:cs="Arial"/>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15">
    <w:name w:val="Medium List 1 - Accent 15"/>
    <w:basedOn w:val="TableNormal"/>
    <w:next w:val="MediumList1-Accent1"/>
    <w:uiPriority w:val="65"/>
    <w:semiHidden/>
    <w:unhideWhenUsed/>
    <w:rPr>
      <w:rFonts w:cs="Arial"/>
      <w:color w:val="000000" w:themeColor="text1"/>
      <w:sz w:val="22"/>
      <w:szCs w:val="22"/>
    </w:rPr>
    <w:tblPr>
      <w:tblStyleRowBandSize w:val="1"/>
      <w:tblStyleColBandSize w:val="1"/>
      <w:tblInd w:w="0" w:type="nil"/>
      <w:tblBorders>
        <w:top w:val="single" w:sz="8" w:space="0" w:color="4F81BD" w:themeColor="accent1"/>
        <w:bottom w:val="single" w:sz="8" w:space="0" w:color="4F81BD" w:themeColor="accent1"/>
      </w:tblBorders>
    </w:tblPr>
    <w:tblStylePr w:type="firstRow">
      <w:rPr>
        <w:rFonts w:ascii="Times New Roman" w:eastAsia="MS Gothic" w:hAnsi="Times New Roman" w:cs="Times New Roman"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Accent15">
    <w:name w:val="Medium List 2 - Accent 15"/>
    <w:basedOn w:val="TableNormal"/>
    <w:next w:val="MediumList2-Accent1"/>
    <w:uiPriority w:val="66"/>
    <w:semiHidden/>
    <w:unhideWhenUsed/>
    <w:rPr>
      <w:rFonts w:eastAsia="MS Gothic" w:cs="Arial"/>
      <w:color w:val="000000" w:themeColor="text1"/>
      <w:sz w:val="22"/>
      <w:szCs w:val="22"/>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15">
    <w:name w:val="Medium Grid 1 - Accent 15"/>
    <w:basedOn w:val="TableNormal"/>
    <w:next w:val="MediumGrid1-Accent1"/>
    <w:uiPriority w:val="67"/>
    <w:semiHidden/>
    <w:unhideWhenUsed/>
    <w:rPr>
      <w:rFonts w:cs="Arial"/>
      <w:sz w:val="22"/>
      <w:szCs w:val="22"/>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2-Accent15">
    <w:name w:val="Medium Grid 2 - Accent 15"/>
    <w:basedOn w:val="TableNormal"/>
    <w:next w:val="MediumGrid2-Accent1"/>
    <w:uiPriority w:val="68"/>
    <w:semiHidden/>
    <w:unhideWhenUsed/>
    <w:rPr>
      <w:rFonts w:eastAsia="MS Gothic" w:cs="Arial"/>
      <w:color w:val="000000" w:themeColor="text1"/>
      <w:sz w:val="22"/>
      <w:szCs w:val="22"/>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3-Accent15">
    <w:name w:val="Medium Grid 3 - Accent 15"/>
    <w:basedOn w:val="TableNormal"/>
    <w:next w:val="MediumGrid3-Accent1"/>
    <w:uiPriority w:val="69"/>
    <w:semiHidden/>
    <w:unhideWhenUsed/>
    <w:rPr>
      <w:rFonts w:cs="Arial"/>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DarkList-Accent15">
    <w:name w:val="Dark List - Accent 15"/>
    <w:basedOn w:val="TableNormal"/>
    <w:next w:val="DarkList-Accent1"/>
    <w:uiPriority w:val="70"/>
    <w:semiHidden/>
    <w:unhideWhenUsed/>
    <w:rPr>
      <w:rFonts w:cs="Arial"/>
      <w:color w:val="FFFFFF" w:themeColor="background1"/>
      <w:sz w:val="22"/>
      <w:szCs w:val="22"/>
    </w:rPr>
    <w:tblPr>
      <w:tblStyleRowBandSize w:val="1"/>
      <w:tblStyleColBandSize w:val="1"/>
      <w:tblInd w:w="0" w:type="nil"/>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Shading-Accent15">
    <w:name w:val="Colorful Shading - Accent 15"/>
    <w:basedOn w:val="TableNormal"/>
    <w:next w:val="ColorfulShading-Accent1"/>
    <w:uiPriority w:val="71"/>
    <w:semiHidden/>
    <w:unhideWhenUsed/>
    <w:rPr>
      <w:rFonts w:cs="Arial"/>
      <w:color w:val="000000" w:themeColor="text1"/>
      <w:sz w:val="22"/>
      <w:szCs w:val="22"/>
    </w:rPr>
    <w:tblPr>
      <w:tblStyleRowBandSize w:val="1"/>
      <w:tblStyleColBandSize w:val="1"/>
      <w:tblInd w:w="0" w:type="nil"/>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List-Accent15">
    <w:name w:val="Colorful List - Accent 15"/>
    <w:basedOn w:val="TableNormal"/>
    <w:next w:val="ColorfulList-Accent1"/>
    <w:uiPriority w:val="72"/>
    <w:semiHidden/>
    <w:unhideWhenUsed/>
    <w:rPr>
      <w:rFonts w:cs="Arial"/>
      <w:color w:val="000000" w:themeColor="text1"/>
      <w:sz w:val="22"/>
      <w:szCs w:val="22"/>
    </w:rPr>
    <w:tblPr>
      <w:tblStyleRowBandSize w:val="1"/>
      <w:tblStyleColBandSize w:val="1"/>
      <w:tblInd w:w="0" w:type="nil"/>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Grid-Accent15">
    <w:name w:val="Colorful Grid - Accent 15"/>
    <w:basedOn w:val="TableNormal"/>
    <w:next w:val="ColorfulGrid-Accent1"/>
    <w:uiPriority w:val="73"/>
    <w:semiHidden/>
    <w:unhideWhenUsed/>
    <w:rPr>
      <w:rFonts w:cs="Arial"/>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Shading-Accent25">
    <w:name w:val="Light Shading - Accent 25"/>
    <w:basedOn w:val="TableNormal"/>
    <w:next w:val="LightShading-Accent2"/>
    <w:uiPriority w:val="60"/>
    <w:semiHidden/>
    <w:unhideWhenUsed/>
    <w:rPr>
      <w:rFonts w:cs="Arial"/>
      <w:color w:val="943634" w:themeColor="accent2" w:themeShade="BF"/>
      <w:sz w:val="22"/>
      <w:szCs w:val="22"/>
    </w:rPr>
    <w:tblPr>
      <w:tblStyleRowBandSize w:val="1"/>
      <w:tblStyleColBandSize w:val="1"/>
      <w:tblInd w:w="0" w:type="nil"/>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25">
    <w:name w:val="Light List - Accent 25"/>
    <w:basedOn w:val="TableNormal"/>
    <w:next w:val="LightList-Accent2"/>
    <w:uiPriority w:val="61"/>
    <w:semiHidden/>
    <w:unhideWhenUsed/>
    <w:rPr>
      <w:rFonts w:cs="Arial"/>
      <w:sz w:val="22"/>
      <w:szCs w:val="22"/>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Grid-Accent25">
    <w:name w:val="Light Grid - Accent 25"/>
    <w:basedOn w:val="TableNormal"/>
    <w:next w:val="LightGrid-Accent2"/>
    <w:uiPriority w:val="62"/>
    <w:semiHidden/>
    <w:unhideWhenUsed/>
    <w:rPr>
      <w:rFonts w:cs="Arial"/>
      <w:sz w:val="22"/>
      <w:szCs w:val="22"/>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imes New Roman" w:eastAsia="MS Gothic" w:hAnsi="Times New Roman" w:cs="Times New Roman"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imes New Roman" w:eastAsia="MS Gothic" w:hAnsi="Times New Roman" w:cs="Times New Roman"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imes New Roman" w:eastAsia="MS Gothic" w:hAnsi="Times New Roman" w:cs="Times New Roman" w:hint="default"/>
        <w:b/>
        <w:bCs/>
      </w:rPr>
    </w:tblStylePr>
    <w:tblStylePr w:type="lastCol">
      <w:rPr>
        <w:rFonts w:ascii="Times New Roman" w:eastAsia="MS Gothic" w:hAnsi="Times New Roman" w:cs="Times New Roman"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MediumShading1-Accent25">
    <w:name w:val="Medium Shading 1 - Accent 25"/>
    <w:basedOn w:val="TableNormal"/>
    <w:next w:val="MediumShading1-Accent2"/>
    <w:uiPriority w:val="63"/>
    <w:semiHidden/>
    <w:unhideWhenUsed/>
    <w:rPr>
      <w:rFonts w:cs="Arial"/>
      <w:sz w:val="22"/>
      <w:szCs w:val="22"/>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2-Accent25">
    <w:name w:val="Medium Shading 2 - Accent 25"/>
    <w:basedOn w:val="TableNormal"/>
    <w:next w:val="MediumShading2-Accent2"/>
    <w:uiPriority w:val="64"/>
    <w:semiHidden/>
    <w:unhideWhenUsed/>
    <w:rPr>
      <w:rFonts w:cs="Arial"/>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25">
    <w:name w:val="Medium List 1 - Accent 25"/>
    <w:basedOn w:val="TableNormal"/>
    <w:next w:val="MediumList1-Accent2"/>
    <w:uiPriority w:val="65"/>
    <w:semiHidden/>
    <w:unhideWhenUsed/>
    <w:rPr>
      <w:rFonts w:cs="Arial"/>
      <w:color w:val="000000" w:themeColor="text1"/>
      <w:sz w:val="22"/>
      <w:szCs w:val="22"/>
    </w:rPr>
    <w:tblPr>
      <w:tblStyleRowBandSize w:val="1"/>
      <w:tblStyleColBandSize w:val="1"/>
      <w:tblInd w:w="0" w:type="nil"/>
      <w:tblBorders>
        <w:top w:val="single" w:sz="8" w:space="0" w:color="C0504D" w:themeColor="accent2"/>
        <w:bottom w:val="single" w:sz="8" w:space="0" w:color="C0504D" w:themeColor="accent2"/>
      </w:tblBorders>
    </w:tblPr>
    <w:tblStylePr w:type="firstRow">
      <w:rPr>
        <w:rFonts w:ascii="Times New Roman" w:eastAsia="MS Gothic" w:hAnsi="Times New Roman" w:cs="Times New Roman"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2-Accent25">
    <w:name w:val="Medium List 2 - Accent 25"/>
    <w:basedOn w:val="TableNormal"/>
    <w:next w:val="MediumList2-Accent2"/>
    <w:uiPriority w:val="66"/>
    <w:semiHidden/>
    <w:unhideWhenUsed/>
    <w:rPr>
      <w:rFonts w:eastAsia="MS Gothic" w:cs="Arial"/>
      <w:color w:val="000000" w:themeColor="text1"/>
      <w:sz w:val="22"/>
      <w:szCs w:val="22"/>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25">
    <w:name w:val="Medium Grid 1 - Accent 25"/>
    <w:basedOn w:val="TableNormal"/>
    <w:next w:val="MediumGrid1-Accent2"/>
    <w:uiPriority w:val="67"/>
    <w:semiHidden/>
    <w:unhideWhenUsed/>
    <w:rPr>
      <w:rFonts w:cs="Arial"/>
      <w:sz w:val="22"/>
      <w:szCs w:val="22"/>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2-Accent25">
    <w:name w:val="Medium Grid 2 - Accent 25"/>
    <w:basedOn w:val="TableNormal"/>
    <w:next w:val="MediumGrid2-Accent2"/>
    <w:uiPriority w:val="68"/>
    <w:semiHidden/>
    <w:unhideWhenUsed/>
    <w:rPr>
      <w:rFonts w:eastAsia="MS Gothic" w:cs="Arial"/>
      <w:color w:val="000000" w:themeColor="text1"/>
      <w:sz w:val="22"/>
      <w:szCs w:val="22"/>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3-Accent25">
    <w:name w:val="Medium Grid 3 - Accent 25"/>
    <w:basedOn w:val="TableNormal"/>
    <w:next w:val="MediumGrid3-Accent2"/>
    <w:uiPriority w:val="69"/>
    <w:semiHidden/>
    <w:unhideWhenUsed/>
    <w:rPr>
      <w:rFonts w:cs="Arial"/>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DarkList-Accent25">
    <w:name w:val="Dark List - Accent 25"/>
    <w:basedOn w:val="TableNormal"/>
    <w:next w:val="DarkList-Accent2"/>
    <w:uiPriority w:val="70"/>
    <w:semiHidden/>
    <w:unhideWhenUsed/>
    <w:rPr>
      <w:rFonts w:cs="Arial"/>
      <w:color w:val="FFFFFF" w:themeColor="background1"/>
      <w:sz w:val="22"/>
      <w:szCs w:val="22"/>
    </w:rPr>
    <w:tblPr>
      <w:tblStyleRowBandSize w:val="1"/>
      <w:tblStyleColBandSize w:val="1"/>
      <w:tblInd w:w="0" w:type="nil"/>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ColorfulShading-Accent25">
    <w:name w:val="Colorful Shading - Accent 25"/>
    <w:basedOn w:val="TableNormal"/>
    <w:next w:val="ColorfulShading-Accent2"/>
    <w:uiPriority w:val="71"/>
    <w:semiHidden/>
    <w:unhideWhenUsed/>
    <w:rPr>
      <w:rFonts w:cs="Arial"/>
      <w:color w:val="000000" w:themeColor="text1"/>
      <w:sz w:val="22"/>
      <w:szCs w:val="22"/>
    </w:rPr>
    <w:tblPr>
      <w:tblStyleRowBandSize w:val="1"/>
      <w:tblStyleColBandSize w:val="1"/>
      <w:tblInd w:w="0" w:type="nil"/>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List-Accent25">
    <w:name w:val="Colorful List - Accent 25"/>
    <w:basedOn w:val="TableNormal"/>
    <w:next w:val="ColorfulList-Accent2"/>
    <w:uiPriority w:val="72"/>
    <w:semiHidden/>
    <w:unhideWhenUsed/>
    <w:rPr>
      <w:rFonts w:cs="Arial"/>
      <w:color w:val="000000" w:themeColor="text1"/>
      <w:sz w:val="22"/>
      <w:szCs w:val="22"/>
    </w:rPr>
    <w:tblPr>
      <w:tblStyleRowBandSize w:val="1"/>
      <w:tblStyleColBandSize w:val="1"/>
      <w:tblInd w:w="0" w:type="nil"/>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Grid-Accent25">
    <w:name w:val="Colorful Grid - Accent 25"/>
    <w:basedOn w:val="TableNormal"/>
    <w:next w:val="ColorfulGrid-Accent2"/>
    <w:uiPriority w:val="73"/>
    <w:semiHidden/>
    <w:unhideWhenUsed/>
    <w:rPr>
      <w:rFonts w:cs="Arial"/>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LightShading-Accent35">
    <w:name w:val="Light Shading - Accent 35"/>
    <w:basedOn w:val="TableNormal"/>
    <w:next w:val="LightShading-Accent3"/>
    <w:uiPriority w:val="60"/>
    <w:semiHidden/>
    <w:unhideWhenUsed/>
    <w:rPr>
      <w:rFonts w:cs="Arial"/>
      <w:color w:val="76923C" w:themeColor="accent3" w:themeShade="BF"/>
      <w:sz w:val="22"/>
      <w:szCs w:val="22"/>
    </w:rPr>
    <w:tblPr>
      <w:tblStyleRowBandSize w:val="1"/>
      <w:tblStyleColBandSize w:val="1"/>
      <w:tblInd w:w="0" w:type="nil"/>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List-Accent35">
    <w:name w:val="Light List - Accent 35"/>
    <w:basedOn w:val="TableNormal"/>
    <w:next w:val="LightList-Accent3"/>
    <w:uiPriority w:val="61"/>
    <w:semiHidden/>
    <w:unhideWhenUsed/>
    <w:rPr>
      <w:rFonts w:cs="Arial"/>
      <w:sz w:val="22"/>
      <w:szCs w:val="22"/>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Grid-Accent35">
    <w:name w:val="Light Grid - Accent 35"/>
    <w:basedOn w:val="TableNormal"/>
    <w:next w:val="LightGrid-Accent3"/>
    <w:uiPriority w:val="62"/>
    <w:semiHidden/>
    <w:unhideWhenUsed/>
    <w:rPr>
      <w:rFonts w:cs="Arial"/>
      <w:sz w:val="22"/>
      <w:szCs w:val="22"/>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imes New Roman" w:eastAsia="MS Gothic" w:hAnsi="Times New Roman" w:cs="Times New Roman"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imes New Roman" w:eastAsia="MS Gothic" w:hAnsi="Times New Roman" w:cs="Times New Roman"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imes New Roman" w:eastAsia="MS Gothic" w:hAnsi="Times New Roman" w:cs="Times New Roman" w:hint="default"/>
        <w:b/>
        <w:bCs/>
      </w:rPr>
    </w:tblStylePr>
    <w:tblStylePr w:type="lastCol">
      <w:rPr>
        <w:rFonts w:ascii="Times New Roman" w:eastAsia="MS Gothic" w:hAnsi="Times New Roman" w:cs="Times New Roman"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MediumShading1-Accent35">
    <w:name w:val="Medium Shading 1 - Accent 35"/>
    <w:basedOn w:val="TableNormal"/>
    <w:next w:val="MediumShading1-Accent3"/>
    <w:uiPriority w:val="63"/>
    <w:semiHidden/>
    <w:unhideWhenUsed/>
    <w:rPr>
      <w:rFonts w:cs="Arial"/>
      <w:sz w:val="22"/>
      <w:szCs w:val="22"/>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2-Accent35">
    <w:name w:val="Medium Shading 2 - Accent 35"/>
    <w:basedOn w:val="TableNormal"/>
    <w:next w:val="MediumShading2-Accent3"/>
    <w:uiPriority w:val="64"/>
    <w:semiHidden/>
    <w:unhideWhenUsed/>
    <w:rPr>
      <w:rFonts w:cs="Arial"/>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35">
    <w:name w:val="Medium List 1 - Accent 35"/>
    <w:basedOn w:val="TableNormal"/>
    <w:next w:val="MediumList1-Accent3"/>
    <w:uiPriority w:val="65"/>
    <w:semiHidden/>
    <w:unhideWhenUsed/>
    <w:rPr>
      <w:rFonts w:cs="Arial"/>
      <w:color w:val="000000" w:themeColor="text1"/>
      <w:sz w:val="22"/>
      <w:szCs w:val="22"/>
    </w:rPr>
    <w:tblPr>
      <w:tblStyleRowBandSize w:val="1"/>
      <w:tblStyleColBandSize w:val="1"/>
      <w:tblInd w:w="0" w:type="nil"/>
      <w:tblBorders>
        <w:top w:val="single" w:sz="8" w:space="0" w:color="9BBB59" w:themeColor="accent3"/>
        <w:bottom w:val="single" w:sz="8" w:space="0" w:color="9BBB59" w:themeColor="accent3"/>
      </w:tblBorders>
    </w:tblPr>
    <w:tblStylePr w:type="firstRow">
      <w:rPr>
        <w:rFonts w:ascii="Times New Roman" w:eastAsia="MS Gothic" w:hAnsi="Times New Roman" w:cs="Times New Roman"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2-Accent35">
    <w:name w:val="Medium List 2 - Accent 35"/>
    <w:basedOn w:val="TableNormal"/>
    <w:next w:val="MediumList2-Accent3"/>
    <w:uiPriority w:val="66"/>
    <w:semiHidden/>
    <w:unhideWhenUsed/>
    <w:rPr>
      <w:rFonts w:eastAsia="MS Gothic" w:cs="Arial"/>
      <w:color w:val="000000" w:themeColor="text1"/>
      <w:sz w:val="22"/>
      <w:szCs w:val="22"/>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35">
    <w:name w:val="Medium Grid 1 - Accent 35"/>
    <w:basedOn w:val="TableNormal"/>
    <w:next w:val="MediumGrid1-Accent3"/>
    <w:uiPriority w:val="67"/>
    <w:semiHidden/>
    <w:unhideWhenUsed/>
    <w:rPr>
      <w:rFonts w:cs="Arial"/>
      <w:sz w:val="22"/>
      <w:szCs w:val="22"/>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2-Accent35">
    <w:name w:val="Medium Grid 2 - Accent 35"/>
    <w:basedOn w:val="TableNormal"/>
    <w:next w:val="MediumGrid2-Accent3"/>
    <w:uiPriority w:val="68"/>
    <w:semiHidden/>
    <w:unhideWhenUsed/>
    <w:rPr>
      <w:rFonts w:eastAsia="MS Gothic" w:cs="Arial"/>
      <w:color w:val="000000" w:themeColor="text1"/>
      <w:sz w:val="22"/>
      <w:szCs w:val="22"/>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3-Accent35">
    <w:name w:val="Medium Grid 3 - Accent 35"/>
    <w:basedOn w:val="TableNormal"/>
    <w:next w:val="MediumGrid3-Accent3"/>
    <w:uiPriority w:val="69"/>
    <w:semiHidden/>
    <w:unhideWhenUsed/>
    <w:rPr>
      <w:rFonts w:cs="Arial"/>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DarkList-Accent35">
    <w:name w:val="Dark List - Accent 35"/>
    <w:basedOn w:val="TableNormal"/>
    <w:next w:val="DarkList-Accent3"/>
    <w:uiPriority w:val="70"/>
    <w:semiHidden/>
    <w:unhideWhenUsed/>
    <w:rPr>
      <w:rFonts w:cs="Arial"/>
      <w:color w:val="FFFFFF" w:themeColor="background1"/>
      <w:sz w:val="22"/>
      <w:szCs w:val="22"/>
    </w:rPr>
    <w:tblPr>
      <w:tblStyleRowBandSize w:val="1"/>
      <w:tblStyleColBandSize w:val="1"/>
      <w:tblInd w:w="0" w:type="nil"/>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ColorfulShading-Accent35">
    <w:name w:val="Colorful Shading - Accent 35"/>
    <w:basedOn w:val="TableNormal"/>
    <w:next w:val="ColorfulShading-Accent3"/>
    <w:uiPriority w:val="71"/>
    <w:semiHidden/>
    <w:unhideWhenUsed/>
    <w:rPr>
      <w:rFonts w:cs="Arial"/>
      <w:color w:val="000000" w:themeColor="text1"/>
      <w:sz w:val="22"/>
      <w:szCs w:val="22"/>
    </w:rPr>
    <w:tblPr>
      <w:tblStyleRowBandSize w:val="1"/>
      <w:tblStyleColBandSize w:val="1"/>
      <w:tblInd w:w="0" w:type="nil"/>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List-Accent35">
    <w:name w:val="Colorful List - Accent 35"/>
    <w:basedOn w:val="TableNormal"/>
    <w:next w:val="ColorfulList-Accent3"/>
    <w:uiPriority w:val="72"/>
    <w:semiHidden/>
    <w:unhideWhenUsed/>
    <w:rPr>
      <w:rFonts w:cs="Arial"/>
      <w:color w:val="000000" w:themeColor="text1"/>
      <w:sz w:val="22"/>
      <w:szCs w:val="22"/>
    </w:rPr>
    <w:tblPr>
      <w:tblStyleRowBandSize w:val="1"/>
      <w:tblStyleColBandSize w:val="1"/>
      <w:tblInd w:w="0" w:type="nil"/>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Grid-Accent35">
    <w:name w:val="Colorful Grid - Accent 35"/>
    <w:basedOn w:val="TableNormal"/>
    <w:next w:val="ColorfulGrid-Accent3"/>
    <w:uiPriority w:val="73"/>
    <w:semiHidden/>
    <w:unhideWhenUsed/>
    <w:rPr>
      <w:rFonts w:cs="Arial"/>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LightShading-Accent45">
    <w:name w:val="Light Shading - Accent 45"/>
    <w:basedOn w:val="TableNormal"/>
    <w:next w:val="LightShading-Accent4"/>
    <w:uiPriority w:val="60"/>
    <w:semiHidden/>
    <w:unhideWhenUsed/>
    <w:rPr>
      <w:rFonts w:cs="Arial"/>
      <w:color w:val="5F497A" w:themeColor="accent4" w:themeShade="BF"/>
      <w:sz w:val="22"/>
      <w:szCs w:val="22"/>
    </w:rPr>
    <w:tblPr>
      <w:tblStyleRowBandSize w:val="1"/>
      <w:tblStyleColBandSize w:val="1"/>
      <w:tblInd w:w="0" w:type="nil"/>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List-Accent45">
    <w:name w:val="Light List - Accent 45"/>
    <w:basedOn w:val="TableNormal"/>
    <w:next w:val="LightList-Accent4"/>
    <w:uiPriority w:val="61"/>
    <w:semiHidden/>
    <w:unhideWhenUsed/>
    <w:rPr>
      <w:rFonts w:cs="Arial"/>
      <w:sz w:val="22"/>
      <w:szCs w:val="22"/>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Grid-Accent45">
    <w:name w:val="Light Grid - Accent 45"/>
    <w:basedOn w:val="TableNormal"/>
    <w:next w:val="LightGrid-Accent4"/>
    <w:uiPriority w:val="62"/>
    <w:semiHidden/>
    <w:unhideWhenUsed/>
    <w:rPr>
      <w:rFonts w:cs="Arial"/>
      <w:sz w:val="22"/>
      <w:szCs w:val="22"/>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imes New Roman" w:eastAsia="MS Gothic" w:hAnsi="Times New Roman" w:cs="Times New Roman"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imes New Roman" w:eastAsia="MS Gothic" w:hAnsi="Times New Roman" w:cs="Times New Roman"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imes New Roman" w:eastAsia="MS Gothic" w:hAnsi="Times New Roman" w:cs="Times New Roman" w:hint="default"/>
        <w:b/>
        <w:bCs/>
      </w:rPr>
    </w:tblStylePr>
    <w:tblStylePr w:type="lastCol">
      <w:rPr>
        <w:rFonts w:ascii="Times New Roman" w:eastAsia="MS Gothic" w:hAnsi="Times New Roman" w:cs="Times New Roman"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MediumShading1-Accent45">
    <w:name w:val="Medium Shading 1 - Accent 45"/>
    <w:basedOn w:val="TableNormal"/>
    <w:next w:val="MediumShading1-Accent4"/>
    <w:uiPriority w:val="63"/>
    <w:semiHidden/>
    <w:unhideWhenUsed/>
    <w:rPr>
      <w:rFonts w:cs="Arial"/>
      <w:sz w:val="22"/>
      <w:szCs w:val="22"/>
    </w:r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2-Accent45">
    <w:name w:val="Medium Shading 2 - Accent 45"/>
    <w:basedOn w:val="TableNormal"/>
    <w:next w:val="MediumShading2-Accent4"/>
    <w:uiPriority w:val="64"/>
    <w:semiHidden/>
    <w:unhideWhenUsed/>
    <w:rPr>
      <w:rFonts w:cs="Arial"/>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45">
    <w:name w:val="Medium List 1 - Accent 45"/>
    <w:basedOn w:val="TableNormal"/>
    <w:next w:val="MediumList1-Accent4"/>
    <w:uiPriority w:val="65"/>
    <w:semiHidden/>
    <w:unhideWhenUsed/>
    <w:rPr>
      <w:rFonts w:cs="Arial"/>
      <w:color w:val="000000" w:themeColor="text1"/>
      <w:sz w:val="22"/>
      <w:szCs w:val="22"/>
    </w:rPr>
    <w:tblPr>
      <w:tblStyleRowBandSize w:val="1"/>
      <w:tblStyleColBandSize w:val="1"/>
      <w:tblInd w:w="0" w:type="nil"/>
      <w:tblBorders>
        <w:top w:val="single" w:sz="8" w:space="0" w:color="8064A2" w:themeColor="accent4"/>
        <w:bottom w:val="single" w:sz="8" w:space="0" w:color="8064A2" w:themeColor="accent4"/>
      </w:tblBorders>
    </w:tblPr>
    <w:tblStylePr w:type="firstRow">
      <w:rPr>
        <w:rFonts w:ascii="Times New Roman" w:eastAsia="MS Gothic" w:hAnsi="Times New Roman" w:cs="Times New Roman"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2-Accent45">
    <w:name w:val="Medium List 2 - Accent 45"/>
    <w:basedOn w:val="TableNormal"/>
    <w:next w:val="MediumList2-Accent4"/>
    <w:uiPriority w:val="66"/>
    <w:semiHidden/>
    <w:unhideWhenUsed/>
    <w:rPr>
      <w:rFonts w:eastAsia="MS Gothic" w:cs="Arial"/>
      <w:color w:val="000000" w:themeColor="text1"/>
      <w:sz w:val="22"/>
      <w:szCs w:val="22"/>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45">
    <w:name w:val="Medium Grid 1 - Accent 45"/>
    <w:basedOn w:val="TableNormal"/>
    <w:next w:val="MediumGrid1-Accent4"/>
    <w:uiPriority w:val="67"/>
    <w:semiHidden/>
    <w:unhideWhenUsed/>
    <w:rPr>
      <w:rFonts w:cs="Arial"/>
      <w:sz w:val="22"/>
      <w:szCs w:val="22"/>
    </w:r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2-Accent45">
    <w:name w:val="Medium Grid 2 - Accent 45"/>
    <w:basedOn w:val="TableNormal"/>
    <w:next w:val="MediumGrid2-Accent4"/>
    <w:uiPriority w:val="68"/>
    <w:semiHidden/>
    <w:unhideWhenUsed/>
    <w:rPr>
      <w:rFonts w:eastAsia="MS Gothic" w:cs="Arial"/>
      <w:color w:val="000000" w:themeColor="text1"/>
      <w:sz w:val="22"/>
      <w:szCs w:val="22"/>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3-Accent45">
    <w:name w:val="Medium Grid 3 - Accent 45"/>
    <w:basedOn w:val="TableNormal"/>
    <w:next w:val="MediumGrid3-Accent4"/>
    <w:uiPriority w:val="69"/>
    <w:semiHidden/>
    <w:unhideWhenUsed/>
    <w:rPr>
      <w:rFonts w:cs="Arial"/>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DarkList-Accent45">
    <w:name w:val="Dark List - Accent 45"/>
    <w:basedOn w:val="TableNormal"/>
    <w:next w:val="DarkList-Accent4"/>
    <w:uiPriority w:val="70"/>
    <w:semiHidden/>
    <w:unhideWhenUsed/>
    <w:rPr>
      <w:rFonts w:cs="Arial"/>
      <w:color w:val="FFFFFF" w:themeColor="background1"/>
      <w:sz w:val="22"/>
      <w:szCs w:val="22"/>
    </w:rPr>
    <w:tblPr>
      <w:tblStyleRowBandSize w:val="1"/>
      <w:tblStyleColBandSize w:val="1"/>
      <w:tblInd w:w="0" w:type="nil"/>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ColorfulShading-Accent45">
    <w:name w:val="Colorful Shading - Accent 45"/>
    <w:basedOn w:val="TableNormal"/>
    <w:next w:val="ColorfulShading-Accent4"/>
    <w:uiPriority w:val="71"/>
    <w:semiHidden/>
    <w:unhideWhenUsed/>
    <w:rPr>
      <w:rFonts w:cs="Arial"/>
      <w:color w:val="000000" w:themeColor="text1"/>
      <w:sz w:val="22"/>
      <w:szCs w:val="22"/>
    </w:rPr>
    <w:tblPr>
      <w:tblStyleRowBandSize w:val="1"/>
      <w:tblStyleColBandSize w:val="1"/>
      <w:tblInd w:w="0" w:type="nil"/>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List-Accent45">
    <w:name w:val="Colorful List - Accent 45"/>
    <w:basedOn w:val="TableNormal"/>
    <w:next w:val="ColorfulList-Accent4"/>
    <w:uiPriority w:val="72"/>
    <w:semiHidden/>
    <w:unhideWhenUsed/>
    <w:rPr>
      <w:rFonts w:cs="Arial"/>
      <w:color w:val="000000" w:themeColor="text1"/>
      <w:sz w:val="22"/>
      <w:szCs w:val="22"/>
    </w:rPr>
    <w:tblPr>
      <w:tblStyleRowBandSize w:val="1"/>
      <w:tblStyleColBandSize w:val="1"/>
      <w:tblInd w:w="0" w:type="nil"/>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Grid-Accent45">
    <w:name w:val="Colorful Grid - Accent 45"/>
    <w:basedOn w:val="TableNormal"/>
    <w:next w:val="ColorfulGrid-Accent4"/>
    <w:uiPriority w:val="73"/>
    <w:semiHidden/>
    <w:unhideWhenUsed/>
    <w:rPr>
      <w:rFonts w:cs="Arial"/>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LightShading-Accent55">
    <w:name w:val="Light Shading - Accent 55"/>
    <w:basedOn w:val="TableNormal"/>
    <w:next w:val="LightShading-Accent5"/>
    <w:uiPriority w:val="60"/>
    <w:semiHidden/>
    <w:unhideWhenUsed/>
    <w:rPr>
      <w:rFonts w:cs="Arial"/>
      <w:color w:val="31849B" w:themeColor="accent5" w:themeShade="BF"/>
      <w:sz w:val="22"/>
      <w:szCs w:val="22"/>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55">
    <w:name w:val="Light List - Accent 55"/>
    <w:basedOn w:val="TableNormal"/>
    <w:next w:val="LightList-Accent5"/>
    <w:uiPriority w:val="61"/>
    <w:semiHidden/>
    <w:unhideWhenUsed/>
    <w:rPr>
      <w:rFonts w:cs="Arial"/>
      <w:sz w:val="22"/>
      <w:szCs w:val="22"/>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Grid-Accent55">
    <w:name w:val="Light Grid - Accent 55"/>
    <w:basedOn w:val="TableNormal"/>
    <w:next w:val="LightGrid-Accent5"/>
    <w:uiPriority w:val="62"/>
    <w:semiHidden/>
    <w:unhideWhenUsed/>
    <w:rPr>
      <w:rFonts w:cs="Arial"/>
      <w:sz w:val="22"/>
      <w:szCs w:val="22"/>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imes New Roman" w:eastAsia="MS Gothic" w:hAnsi="Times New Roman" w:cs="Times New Roman"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imes New Roman" w:eastAsia="MS Gothic" w:hAnsi="Times New Roman" w:cs="Times New Roman"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imes New Roman" w:eastAsia="MS Gothic" w:hAnsi="Times New Roman" w:cs="Times New Roman" w:hint="default"/>
        <w:b/>
        <w:bCs/>
      </w:rPr>
    </w:tblStylePr>
    <w:tblStylePr w:type="lastCol">
      <w:rPr>
        <w:rFonts w:ascii="Times New Roman" w:eastAsia="MS Gothic" w:hAnsi="Times New Roman" w:cs="Times New Roman"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MediumShading1-Accent55">
    <w:name w:val="Medium Shading 1 - Accent 55"/>
    <w:basedOn w:val="TableNormal"/>
    <w:next w:val="MediumShading1-Accent5"/>
    <w:uiPriority w:val="63"/>
    <w:semiHidden/>
    <w:unhideWhenUsed/>
    <w:rPr>
      <w:rFonts w:cs="Arial"/>
      <w:sz w:val="22"/>
      <w:szCs w:val="22"/>
    </w:r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2-Accent55">
    <w:name w:val="Medium Shading 2 - Accent 55"/>
    <w:basedOn w:val="TableNormal"/>
    <w:next w:val="MediumShading2-Accent5"/>
    <w:uiPriority w:val="64"/>
    <w:semiHidden/>
    <w:unhideWhenUsed/>
    <w:rPr>
      <w:rFonts w:cs="Arial"/>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55">
    <w:name w:val="Medium List 1 - Accent 55"/>
    <w:basedOn w:val="TableNormal"/>
    <w:next w:val="MediumList1-Accent5"/>
    <w:uiPriority w:val="65"/>
    <w:semiHidden/>
    <w:unhideWhenUsed/>
    <w:rPr>
      <w:rFonts w:cs="Arial"/>
      <w:color w:val="000000" w:themeColor="text1"/>
      <w:sz w:val="22"/>
      <w:szCs w:val="22"/>
    </w:rPr>
    <w:tblPr>
      <w:tblStyleRowBandSize w:val="1"/>
      <w:tblStyleColBandSize w:val="1"/>
      <w:tblInd w:w="0" w:type="nil"/>
      <w:tblBorders>
        <w:top w:val="single" w:sz="8" w:space="0" w:color="4BACC6" w:themeColor="accent5"/>
        <w:bottom w:val="single" w:sz="8" w:space="0" w:color="4BACC6" w:themeColor="accent5"/>
      </w:tblBorders>
    </w:tblPr>
    <w:tblStylePr w:type="firstRow">
      <w:rPr>
        <w:rFonts w:ascii="Times New Roman" w:eastAsia="MS Gothic" w:hAnsi="Times New Roman" w:cs="Times New Roman"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5">
    <w:name w:val="Medium List 2 - Accent 55"/>
    <w:basedOn w:val="TableNormal"/>
    <w:next w:val="MediumList2-Accent5"/>
    <w:uiPriority w:val="66"/>
    <w:semiHidden/>
    <w:unhideWhenUsed/>
    <w:rPr>
      <w:rFonts w:eastAsia="MS Gothic" w:cs="Arial"/>
      <w:color w:val="000000" w:themeColor="text1"/>
      <w:sz w:val="22"/>
      <w:szCs w:val="22"/>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55">
    <w:name w:val="Medium Grid 1 - Accent 55"/>
    <w:basedOn w:val="TableNormal"/>
    <w:next w:val="MediumGrid1-Accent5"/>
    <w:uiPriority w:val="67"/>
    <w:semiHidden/>
    <w:unhideWhenUsed/>
    <w:rPr>
      <w:rFonts w:cs="Arial"/>
      <w:sz w:val="22"/>
      <w:szCs w:val="22"/>
    </w:r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2-Accent55">
    <w:name w:val="Medium Grid 2 - Accent 55"/>
    <w:basedOn w:val="TableNormal"/>
    <w:next w:val="MediumGrid2-Accent5"/>
    <w:uiPriority w:val="68"/>
    <w:semiHidden/>
    <w:unhideWhenUsed/>
    <w:rPr>
      <w:rFonts w:eastAsia="MS Gothic" w:cs="Arial"/>
      <w:color w:val="000000" w:themeColor="text1"/>
      <w:sz w:val="22"/>
      <w:szCs w:val="22"/>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3-Accent55">
    <w:name w:val="Medium Grid 3 - Accent 55"/>
    <w:basedOn w:val="TableNormal"/>
    <w:next w:val="MediumGrid3-Accent5"/>
    <w:uiPriority w:val="69"/>
    <w:semiHidden/>
    <w:unhideWhenUsed/>
    <w:rPr>
      <w:rFonts w:cs="Arial"/>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DarkList-Accent55">
    <w:name w:val="Dark List - Accent 55"/>
    <w:basedOn w:val="TableNormal"/>
    <w:next w:val="DarkList-Accent5"/>
    <w:uiPriority w:val="70"/>
    <w:semiHidden/>
    <w:unhideWhenUsed/>
    <w:rPr>
      <w:rFonts w:cs="Arial"/>
      <w:color w:val="FFFFFF" w:themeColor="background1"/>
      <w:sz w:val="22"/>
      <w:szCs w:val="22"/>
    </w:rPr>
    <w:tblPr>
      <w:tblStyleRowBandSize w:val="1"/>
      <w:tblStyleColBandSize w:val="1"/>
      <w:tblInd w:w="0" w:type="nil"/>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ColorfulShading-Accent55">
    <w:name w:val="Colorful Shading - Accent 55"/>
    <w:basedOn w:val="TableNormal"/>
    <w:next w:val="ColorfulShading-Accent5"/>
    <w:uiPriority w:val="71"/>
    <w:semiHidden/>
    <w:unhideWhenUsed/>
    <w:rPr>
      <w:rFonts w:cs="Arial"/>
      <w:color w:val="000000" w:themeColor="text1"/>
      <w:sz w:val="22"/>
      <w:szCs w:val="22"/>
    </w:rPr>
    <w:tblPr>
      <w:tblStyleRowBandSize w:val="1"/>
      <w:tblStyleColBandSize w:val="1"/>
      <w:tblInd w:w="0" w:type="nil"/>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List-Accent55">
    <w:name w:val="Colorful List - Accent 55"/>
    <w:basedOn w:val="TableNormal"/>
    <w:next w:val="ColorfulList-Accent5"/>
    <w:uiPriority w:val="72"/>
    <w:semiHidden/>
    <w:unhideWhenUsed/>
    <w:rPr>
      <w:rFonts w:cs="Arial"/>
      <w:color w:val="000000" w:themeColor="text1"/>
      <w:sz w:val="22"/>
      <w:szCs w:val="22"/>
    </w:rPr>
    <w:tblPr>
      <w:tblStyleRowBandSize w:val="1"/>
      <w:tblStyleColBandSize w:val="1"/>
      <w:tblInd w:w="0" w:type="nil"/>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Grid-Accent55">
    <w:name w:val="Colorful Grid - Accent 55"/>
    <w:basedOn w:val="TableNormal"/>
    <w:next w:val="ColorfulGrid-Accent5"/>
    <w:uiPriority w:val="73"/>
    <w:semiHidden/>
    <w:unhideWhenUsed/>
    <w:rPr>
      <w:rFonts w:cs="Arial"/>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Shading-Accent65">
    <w:name w:val="Light Shading - Accent 65"/>
    <w:basedOn w:val="TableNormal"/>
    <w:next w:val="LightShading-Accent6"/>
    <w:uiPriority w:val="60"/>
    <w:semiHidden/>
    <w:unhideWhenUsed/>
    <w:rPr>
      <w:rFonts w:cs="Arial"/>
      <w:color w:val="E36C0A" w:themeColor="accent6" w:themeShade="BF"/>
      <w:sz w:val="22"/>
      <w:szCs w:val="22"/>
    </w:rPr>
    <w:tblPr>
      <w:tblStyleRowBandSize w:val="1"/>
      <w:tblStyleColBandSize w:val="1"/>
      <w:tblInd w:w="0" w:type="nil"/>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Accent65">
    <w:name w:val="Light List - Accent 65"/>
    <w:basedOn w:val="TableNormal"/>
    <w:next w:val="LightList-Accent6"/>
    <w:uiPriority w:val="61"/>
    <w:semiHidden/>
    <w:unhideWhenUsed/>
    <w:rPr>
      <w:rFonts w:cs="Arial"/>
      <w:sz w:val="22"/>
      <w:szCs w:val="22"/>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Accent65">
    <w:name w:val="Light Grid - Accent 65"/>
    <w:basedOn w:val="TableNormal"/>
    <w:next w:val="LightGrid-Accent6"/>
    <w:uiPriority w:val="62"/>
    <w:semiHidden/>
    <w:unhideWhenUsed/>
    <w:rPr>
      <w:rFonts w:cs="Arial"/>
      <w:sz w:val="22"/>
      <w:szCs w:val="22"/>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Times New Roman" w:eastAsia="MS Gothic" w:hAnsi="Times New Roman" w:cs="Times New Roman"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imes New Roman" w:eastAsia="MS Gothic" w:hAnsi="Times New Roman" w:cs="Times New Roman"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imes New Roman" w:eastAsia="MS Gothic" w:hAnsi="Times New Roman" w:cs="Times New Roman" w:hint="default"/>
        <w:b/>
        <w:bCs/>
      </w:rPr>
    </w:tblStylePr>
    <w:tblStylePr w:type="lastCol">
      <w:rPr>
        <w:rFonts w:ascii="Times New Roman" w:eastAsia="MS Gothic" w:hAnsi="Times New Roman" w:cs="Times New Roman"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Accent65">
    <w:name w:val="Medium Shading 1 - Accent 65"/>
    <w:basedOn w:val="TableNormal"/>
    <w:next w:val="MediumShading1-Accent6"/>
    <w:uiPriority w:val="63"/>
    <w:semiHidden/>
    <w:unhideWhenUsed/>
    <w:rPr>
      <w:rFonts w:cs="Arial"/>
      <w:sz w:val="22"/>
      <w:szCs w:val="22"/>
    </w:r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Accent65">
    <w:name w:val="Medium Shading 2 - Accent 65"/>
    <w:basedOn w:val="TableNormal"/>
    <w:next w:val="MediumShading2-Accent6"/>
    <w:uiPriority w:val="64"/>
    <w:semiHidden/>
    <w:unhideWhenUsed/>
    <w:rPr>
      <w:rFonts w:cs="Arial"/>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65">
    <w:name w:val="Medium List 1 - Accent 65"/>
    <w:basedOn w:val="TableNormal"/>
    <w:next w:val="MediumList1-Accent6"/>
    <w:uiPriority w:val="65"/>
    <w:semiHidden/>
    <w:unhideWhenUsed/>
    <w:rPr>
      <w:rFonts w:cs="Arial"/>
      <w:color w:val="000000" w:themeColor="text1"/>
      <w:sz w:val="22"/>
      <w:szCs w:val="22"/>
    </w:rPr>
    <w:tblPr>
      <w:tblStyleRowBandSize w:val="1"/>
      <w:tblStyleColBandSize w:val="1"/>
      <w:tblInd w:w="0" w:type="nil"/>
      <w:tblBorders>
        <w:top w:val="single" w:sz="8" w:space="0" w:color="F79646" w:themeColor="accent6"/>
        <w:bottom w:val="single" w:sz="8" w:space="0" w:color="F79646" w:themeColor="accent6"/>
      </w:tblBorders>
    </w:tblPr>
    <w:tblStylePr w:type="firstRow">
      <w:rPr>
        <w:rFonts w:ascii="Times New Roman" w:eastAsia="MS Gothic" w:hAnsi="Times New Roman" w:cs="Times New Roman"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Accent65">
    <w:name w:val="Medium List 2 - Accent 65"/>
    <w:basedOn w:val="TableNormal"/>
    <w:next w:val="MediumList2-Accent6"/>
    <w:uiPriority w:val="66"/>
    <w:semiHidden/>
    <w:unhideWhenUsed/>
    <w:rPr>
      <w:rFonts w:eastAsia="MS Gothic" w:cs="Arial"/>
      <w:color w:val="000000" w:themeColor="text1"/>
      <w:sz w:val="22"/>
      <w:szCs w:val="22"/>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Accent65">
    <w:name w:val="Medium Grid 1 - Accent 65"/>
    <w:basedOn w:val="TableNormal"/>
    <w:next w:val="MediumGrid1-Accent6"/>
    <w:uiPriority w:val="67"/>
    <w:semiHidden/>
    <w:unhideWhenUsed/>
    <w:rPr>
      <w:rFonts w:cs="Arial"/>
      <w:sz w:val="22"/>
      <w:szCs w:val="22"/>
    </w:r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Accent65">
    <w:name w:val="Medium Grid 2 - Accent 65"/>
    <w:basedOn w:val="TableNormal"/>
    <w:next w:val="MediumGrid2-Accent6"/>
    <w:uiPriority w:val="68"/>
    <w:semiHidden/>
    <w:unhideWhenUsed/>
    <w:rPr>
      <w:rFonts w:eastAsia="MS Gothic" w:cs="Arial"/>
      <w:color w:val="000000" w:themeColor="text1"/>
      <w:sz w:val="22"/>
      <w:szCs w:val="22"/>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Accent65">
    <w:name w:val="Medium Grid 3 - Accent 65"/>
    <w:basedOn w:val="TableNormal"/>
    <w:next w:val="MediumGrid3-Accent6"/>
    <w:uiPriority w:val="69"/>
    <w:semiHidden/>
    <w:unhideWhenUsed/>
    <w:rPr>
      <w:rFonts w:cs="Arial"/>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Accent65">
    <w:name w:val="Dark List - Accent 65"/>
    <w:basedOn w:val="TableNormal"/>
    <w:next w:val="DarkList-Accent6"/>
    <w:uiPriority w:val="70"/>
    <w:semiHidden/>
    <w:unhideWhenUsed/>
    <w:rPr>
      <w:rFonts w:cs="Arial"/>
      <w:color w:val="FFFFFF" w:themeColor="background1"/>
      <w:sz w:val="22"/>
      <w:szCs w:val="22"/>
    </w:rPr>
    <w:tblPr>
      <w:tblStyleRowBandSize w:val="1"/>
      <w:tblStyleColBandSize w:val="1"/>
      <w:tblInd w:w="0" w:type="nil"/>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Accent65">
    <w:name w:val="Colorful Shading - Accent 65"/>
    <w:basedOn w:val="TableNormal"/>
    <w:next w:val="ColorfulShading-Accent6"/>
    <w:uiPriority w:val="71"/>
    <w:semiHidden/>
    <w:unhideWhenUsed/>
    <w:rPr>
      <w:rFonts w:cs="Arial"/>
      <w:color w:val="000000" w:themeColor="text1"/>
      <w:sz w:val="22"/>
      <w:szCs w:val="22"/>
    </w:rPr>
    <w:tblPr>
      <w:tblStyleRowBandSize w:val="1"/>
      <w:tblStyleColBandSize w:val="1"/>
      <w:tblInd w:w="0" w:type="nil"/>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Accent65">
    <w:name w:val="Colorful List - Accent 65"/>
    <w:basedOn w:val="TableNormal"/>
    <w:next w:val="ColorfulList-Accent6"/>
    <w:uiPriority w:val="72"/>
    <w:semiHidden/>
    <w:unhideWhenUsed/>
    <w:rPr>
      <w:rFonts w:cs="Arial"/>
      <w:color w:val="000000" w:themeColor="text1"/>
      <w:sz w:val="22"/>
      <w:szCs w:val="22"/>
    </w:rPr>
    <w:tblPr>
      <w:tblStyleRowBandSize w:val="1"/>
      <w:tblStyleColBandSize w:val="1"/>
      <w:tblInd w:w="0" w:type="nil"/>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Accent65">
    <w:name w:val="Colorful Grid - Accent 65"/>
    <w:basedOn w:val="TableNormal"/>
    <w:next w:val="ColorfulGrid-Accent6"/>
    <w:uiPriority w:val="73"/>
    <w:semiHidden/>
    <w:unhideWhenUsed/>
    <w:rPr>
      <w:rFonts w:cs="Arial"/>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PlainTable15">
    <w:name w:val="Plain Table 15"/>
    <w:basedOn w:val="TableNormal"/>
    <w:next w:val="PlainTable1"/>
    <w:uiPriority w:val="41"/>
    <w:rPr>
      <w:rFonts w:cs="Arial"/>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5">
    <w:name w:val="Plain Table 25"/>
    <w:basedOn w:val="TableNormal"/>
    <w:next w:val="PlainTable2"/>
    <w:uiPriority w:val="42"/>
    <w:rPr>
      <w:rFonts w:cs="Arial"/>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5">
    <w:name w:val="Plain Table 35"/>
    <w:basedOn w:val="TableNormal"/>
    <w:next w:val="PlainTable3"/>
    <w:uiPriority w:val="43"/>
    <w:rPr>
      <w:rFonts w:cs="Arial"/>
      <w:sz w:val="22"/>
      <w:szCs w:val="22"/>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Normal"/>
    <w:next w:val="PlainTable4"/>
    <w:uiPriority w:val="44"/>
    <w:rPr>
      <w:rFonts w:cs="Arial"/>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5">
    <w:name w:val="Plain Table 55"/>
    <w:basedOn w:val="TableNormal"/>
    <w:next w:val="PlainTable5"/>
    <w:uiPriority w:val="45"/>
    <w:rPr>
      <w:rFonts w:cs="Arial"/>
      <w:sz w:val="22"/>
      <w:szCs w:val="22"/>
    </w:rPr>
    <w:tblPr>
      <w:tblStyleRowBandSize w:val="1"/>
      <w:tblStyleColBandSize w:val="1"/>
      <w:tblInd w:w="0" w:type="nil"/>
    </w:tblPr>
    <w:tblStylePr w:type="firstRow">
      <w:rPr>
        <w:rFonts w:ascii="Times New Roman" w:eastAsia="MS Gothic" w:hAnsi="Times New Roman" w:cs="Times New Roman"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imes New Roman" w:eastAsia="MS Gothic" w:hAnsi="Times New Roman" w:cs="Times New Roman"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imes New Roman" w:eastAsia="MS Gothic" w:hAnsi="Times New Roman" w:cs="Times New Roman"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imes New Roman" w:eastAsia="MS Gothic" w:hAnsi="Times New Roman" w:cs="Times New Roman"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5">
    <w:name w:val="Table Grid Light5"/>
    <w:basedOn w:val="TableNormal"/>
    <w:next w:val="TableGridLight"/>
    <w:uiPriority w:val="40"/>
    <w:rPr>
      <w:rFonts w:cs="Arial"/>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5">
    <w:name w:val="Grid Table 1 Light5"/>
    <w:basedOn w:val="TableNormal"/>
    <w:next w:val="GridTable1Light"/>
    <w:uiPriority w:val="46"/>
    <w:rPr>
      <w:rFonts w:cs="Arial"/>
      <w:sz w:val="22"/>
      <w:szCs w:val="22"/>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5">
    <w:name w:val="Grid Table 25"/>
    <w:basedOn w:val="TableNormal"/>
    <w:next w:val="GridTable2"/>
    <w:uiPriority w:val="47"/>
    <w:rPr>
      <w:rFonts w:cs="Arial"/>
      <w:sz w:val="22"/>
      <w:szCs w:val="22"/>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5">
    <w:name w:val="Grid Table 35"/>
    <w:basedOn w:val="TableNormal"/>
    <w:next w:val="GridTable3"/>
    <w:uiPriority w:val="48"/>
    <w:rPr>
      <w:rFonts w:cs="Arial"/>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5">
    <w:name w:val="Grid Table 45"/>
    <w:basedOn w:val="TableNormal"/>
    <w:next w:val="GridTable4"/>
    <w:uiPriority w:val="49"/>
    <w:rPr>
      <w:rFonts w:cs="Arial"/>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5">
    <w:name w:val="Grid Table 5 Dark5"/>
    <w:basedOn w:val="TableNormal"/>
    <w:next w:val="GridTable5Dark"/>
    <w:uiPriority w:val="50"/>
    <w:rPr>
      <w:rFonts w:cs="Arial"/>
      <w:sz w:val="22"/>
      <w:szCs w:val="22"/>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5">
    <w:name w:val="Grid Table 6 Colorful5"/>
    <w:basedOn w:val="TableNormal"/>
    <w:next w:val="GridTable6Colorful"/>
    <w:uiPriority w:val="51"/>
    <w:rPr>
      <w:rFonts w:cs="Arial"/>
      <w:color w:val="000000" w:themeColor="text1"/>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5">
    <w:name w:val="Grid Table 7 Colorful5"/>
    <w:basedOn w:val="TableNormal"/>
    <w:next w:val="GridTable7Colorful"/>
    <w:uiPriority w:val="52"/>
    <w:rPr>
      <w:rFonts w:cs="Arial"/>
      <w:color w:val="000000" w:themeColor="text1"/>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Accent15">
    <w:name w:val="Grid Table 1 Light - Accent 15"/>
    <w:basedOn w:val="TableNormal"/>
    <w:next w:val="GridTable1Light-Accent1"/>
    <w:uiPriority w:val="46"/>
    <w:rPr>
      <w:rFonts w:cs="Arial"/>
      <w:sz w:val="22"/>
      <w:szCs w:val="22"/>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15">
    <w:name w:val="Grid Table 2 - Accent 15"/>
    <w:basedOn w:val="TableNormal"/>
    <w:next w:val="GridTable2-Accent1"/>
    <w:uiPriority w:val="47"/>
    <w:rPr>
      <w:rFonts w:cs="Arial"/>
      <w:sz w:val="22"/>
      <w:szCs w:val="22"/>
    </w:rPr>
    <w:tblPr>
      <w:tblStyleRowBandSize w:val="1"/>
      <w:tblStyleColBandSize w:val="1"/>
      <w:tblInd w:w="0" w:type="nil"/>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5">
    <w:name w:val="Grid Table 3 - Accent 15"/>
    <w:basedOn w:val="TableNormal"/>
    <w:next w:val="GridTable3-Accent1"/>
    <w:uiPriority w:val="48"/>
    <w:rPr>
      <w:rFonts w:cs="Arial"/>
      <w:sz w:val="22"/>
      <w:szCs w:val="22"/>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5">
    <w:name w:val="Grid Table 4 - Accent 15"/>
    <w:basedOn w:val="TableNormal"/>
    <w:next w:val="GridTable4-Accent1"/>
    <w:uiPriority w:val="49"/>
    <w:rPr>
      <w:rFonts w:cs="Arial"/>
      <w:sz w:val="22"/>
      <w:szCs w:val="22"/>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5">
    <w:name w:val="Grid Table 5 Dark - Accent 15"/>
    <w:basedOn w:val="TableNormal"/>
    <w:next w:val="GridTable5Dark-Accent1"/>
    <w:uiPriority w:val="50"/>
    <w:rPr>
      <w:rFonts w:cs="Arial"/>
      <w:sz w:val="22"/>
      <w:szCs w:val="22"/>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6Colorful-Accent15">
    <w:name w:val="Grid Table 6 Colorful - Accent 15"/>
    <w:basedOn w:val="TableNormal"/>
    <w:next w:val="GridTable6Colorful-Accent1"/>
    <w:uiPriority w:val="51"/>
    <w:rPr>
      <w:rFonts w:cs="Arial"/>
      <w:color w:val="365F91" w:themeColor="accent1" w:themeShade="BF"/>
      <w:sz w:val="22"/>
      <w:szCs w:val="22"/>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7Colorful-Accent15">
    <w:name w:val="Grid Table 7 Colorful - Accent 15"/>
    <w:basedOn w:val="TableNormal"/>
    <w:next w:val="GridTable7Colorful-Accent1"/>
    <w:uiPriority w:val="52"/>
    <w:rPr>
      <w:rFonts w:cs="Arial"/>
      <w:color w:val="365F91" w:themeColor="accent1" w:themeShade="BF"/>
      <w:sz w:val="22"/>
      <w:szCs w:val="22"/>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1Light-Accent25">
    <w:name w:val="Grid Table 1 Light - Accent 25"/>
    <w:basedOn w:val="TableNormal"/>
    <w:next w:val="GridTable1Light-Accent2"/>
    <w:uiPriority w:val="46"/>
    <w:rPr>
      <w:rFonts w:cs="Arial"/>
      <w:sz w:val="22"/>
      <w:szCs w:val="22"/>
    </w:rPr>
    <w:tblPr>
      <w:tblStyleRowBandSize w:val="1"/>
      <w:tblStyleColBandSize w:val="1"/>
      <w:tblInd w:w="0" w:type="nil"/>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2-Accent25">
    <w:name w:val="Grid Table 2 - Accent 25"/>
    <w:basedOn w:val="TableNormal"/>
    <w:next w:val="GridTable2-Accent2"/>
    <w:uiPriority w:val="47"/>
    <w:rPr>
      <w:rFonts w:cs="Arial"/>
      <w:sz w:val="22"/>
      <w:szCs w:val="22"/>
    </w:rPr>
    <w:tblPr>
      <w:tblStyleRowBandSize w:val="1"/>
      <w:tblStyleColBandSize w:val="1"/>
      <w:tblInd w:w="0" w:type="nil"/>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3-Accent25">
    <w:name w:val="Grid Table 3 - Accent 25"/>
    <w:basedOn w:val="TableNormal"/>
    <w:next w:val="GridTable3-Accent2"/>
    <w:uiPriority w:val="48"/>
    <w:rPr>
      <w:rFonts w:cs="Arial"/>
      <w:sz w:val="22"/>
      <w:szCs w:val="22"/>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25">
    <w:name w:val="Grid Table 4 - Accent 25"/>
    <w:basedOn w:val="TableNormal"/>
    <w:next w:val="GridTable4-Accent2"/>
    <w:uiPriority w:val="49"/>
    <w:rPr>
      <w:rFonts w:cs="Arial"/>
      <w:sz w:val="22"/>
      <w:szCs w:val="22"/>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25">
    <w:name w:val="Grid Table 5 Dark - Accent 25"/>
    <w:basedOn w:val="TableNormal"/>
    <w:next w:val="GridTable5Dark-Accent2"/>
    <w:uiPriority w:val="50"/>
    <w:rPr>
      <w:rFonts w:cs="Arial"/>
      <w:sz w:val="22"/>
      <w:szCs w:val="22"/>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6Colorful-Accent25">
    <w:name w:val="Grid Table 6 Colorful - Accent 25"/>
    <w:basedOn w:val="TableNormal"/>
    <w:next w:val="GridTable6Colorful-Accent2"/>
    <w:uiPriority w:val="51"/>
    <w:rPr>
      <w:rFonts w:cs="Arial"/>
      <w:color w:val="943634" w:themeColor="accent2" w:themeShade="BF"/>
      <w:sz w:val="22"/>
      <w:szCs w:val="22"/>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7Colorful-Accent25">
    <w:name w:val="Grid Table 7 Colorful - Accent 25"/>
    <w:basedOn w:val="TableNormal"/>
    <w:next w:val="GridTable7Colorful-Accent2"/>
    <w:uiPriority w:val="52"/>
    <w:rPr>
      <w:rFonts w:cs="Arial"/>
      <w:color w:val="943634" w:themeColor="accent2" w:themeShade="BF"/>
      <w:sz w:val="22"/>
      <w:szCs w:val="22"/>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1Light-Accent35">
    <w:name w:val="Grid Table 1 Light - Accent 35"/>
    <w:basedOn w:val="TableNormal"/>
    <w:next w:val="GridTable1Light-Accent3"/>
    <w:uiPriority w:val="46"/>
    <w:rPr>
      <w:rFonts w:cs="Arial"/>
      <w:sz w:val="22"/>
      <w:szCs w:val="22"/>
    </w:rPr>
    <w:tblPr>
      <w:tblStyleRowBandSize w:val="1"/>
      <w:tblStyleColBandSize w:val="1"/>
      <w:tblInd w:w="0" w:type="nil"/>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2-Accent35">
    <w:name w:val="Grid Table 2 - Accent 35"/>
    <w:basedOn w:val="TableNormal"/>
    <w:next w:val="GridTable2-Accent3"/>
    <w:uiPriority w:val="47"/>
    <w:rPr>
      <w:rFonts w:cs="Arial"/>
      <w:sz w:val="22"/>
      <w:szCs w:val="22"/>
    </w:rPr>
    <w:tblPr>
      <w:tblStyleRowBandSize w:val="1"/>
      <w:tblStyleColBandSize w:val="1"/>
      <w:tblInd w:w="0" w:type="nil"/>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3-Accent35">
    <w:name w:val="Grid Table 3 - Accent 35"/>
    <w:basedOn w:val="TableNormal"/>
    <w:next w:val="GridTable3-Accent3"/>
    <w:uiPriority w:val="48"/>
    <w:rPr>
      <w:rFonts w:cs="Arial"/>
      <w:sz w:val="22"/>
      <w:szCs w:val="22"/>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4-Accent35">
    <w:name w:val="Grid Table 4 - Accent 35"/>
    <w:basedOn w:val="TableNormal"/>
    <w:next w:val="GridTable4-Accent3"/>
    <w:uiPriority w:val="49"/>
    <w:rPr>
      <w:rFonts w:cs="Arial"/>
      <w:sz w:val="22"/>
      <w:szCs w:val="22"/>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5">
    <w:name w:val="Grid Table 5 Dark - Accent 35"/>
    <w:basedOn w:val="TableNormal"/>
    <w:next w:val="GridTable5Dark-Accent3"/>
    <w:uiPriority w:val="50"/>
    <w:rPr>
      <w:rFonts w:cs="Arial"/>
      <w:sz w:val="22"/>
      <w:szCs w:val="22"/>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6Colorful-Accent35">
    <w:name w:val="Grid Table 6 Colorful - Accent 35"/>
    <w:basedOn w:val="TableNormal"/>
    <w:next w:val="GridTable6Colorful-Accent3"/>
    <w:uiPriority w:val="51"/>
    <w:rPr>
      <w:rFonts w:cs="Arial"/>
      <w:color w:val="76923C" w:themeColor="accent3" w:themeShade="BF"/>
      <w:sz w:val="22"/>
      <w:szCs w:val="22"/>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7Colorful-Accent35">
    <w:name w:val="Grid Table 7 Colorful - Accent 35"/>
    <w:basedOn w:val="TableNormal"/>
    <w:next w:val="GridTable7Colorful-Accent3"/>
    <w:uiPriority w:val="52"/>
    <w:rPr>
      <w:rFonts w:cs="Arial"/>
      <w:color w:val="76923C" w:themeColor="accent3" w:themeShade="BF"/>
      <w:sz w:val="22"/>
      <w:szCs w:val="22"/>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1Light-Accent45">
    <w:name w:val="Grid Table 1 Light - Accent 45"/>
    <w:basedOn w:val="TableNormal"/>
    <w:next w:val="GridTable1Light-Accent4"/>
    <w:uiPriority w:val="46"/>
    <w:rPr>
      <w:rFonts w:cs="Arial"/>
      <w:sz w:val="22"/>
      <w:szCs w:val="22"/>
    </w:rPr>
    <w:tblPr>
      <w:tblStyleRowBandSize w:val="1"/>
      <w:tblStyleColBandSize w:val="1"/>
      <w:tblInd w:w="0" w:type="nil"/>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2-Accent45">
    <w:name w:val="Grid Table 2 - Accent 45"/>
    <w:basedOn w:val="TableNormal"/>
    <w:next w:val="GridTable2-Accent4"/>
    <w:uiPriority w:val="47"/>
    <w:rPr>
      <w:rFonts w:cs="Arial"/>
      <w:sz w:val="22"/>
      <w:szCs w:val="22"/>
    </w:rPr>
    <w:tblPr>
      <w:tblStyleRowBandSize w:val="1"/>
      <w:tblStyleColBandSize w:val="1"/>
      <w:tblInd w:w="0" w:type="nil"/>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3-Accent45">
    <w:name w:val="Grid Table 3 - Accent 45"/>
    <w:basedOn w:val="TableNormal"/>
    <w:next w:val="GridTable3-Accent4"/>
    <w:uiPriority w:val="48"/>
    <w:rPr>
      <w:rFonts w:cs="Arial"/>
      <w:sz w:val="22"/>
      <w:szCs w:val="22"/>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4-Accent45">
    <w:name w:val="Grid Table 4 - Accent 45"/>
    <w:basedOn w:val="TableNormal"/>
    <w:next w:val="GridTable4-Accent4"/>
    <w:uiPriority w:val="49"/>
    <w:rPr>
      <w:rFonts w:cs="Arial"/>
      <w:sz w:val="22"/>
      <w:szCs w:val="22"/>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5Dark-Accent45">
    <w:name w:val="Grid Table 5 Dark - Accent 45"/>
    <w:basedOn w:val="TableNormal"/>
    <w:next w:val="GridTable5Dark-Accent4"/>
    <w:uiPriority w:val="50"/>
    <w:rPr>
      <w:rFonts w:cs="Arial"/>
      <w:sz w:val="22"/>
      <w:szCs w:val="22"/>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6Colorful-Accent45">
    <w:name w:val="Grid Table 6 Colorful - Accent 45"/>
    <w:basedOn w:val="TableNormal"/>
    <w:next w:val="GridTable6Colorful-Accent4"/>
    <w:uiPriority w:val="51"/>
    <w:rPr>
      <w:rFonts w:cs="Arial"/>
      <w:color w:val="5F497A" w:themeColor="accent4" w:themeShade="BF"/>
      <w:sz w:val="22"/>
      <w:szCs w:val="22"/>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7Colorful-Accent45">
    <w:name w:val="Grid Table 7 Colorful - Accent 45"/>
    <w:basedOn w:val="TableNormal"/>
    <w:next w:val="GridTable7Colorful-Accent4"/>
    <w:uiPriority w:val="52"/>
    <w:rPr>
      <w:rFonts w:cs="Arial"/>
      <w:color w:val="5F497A" w:themeColor="accent4" w:themeShade="BF"/>
      <w:sz w:val="22"/>
      <w:szCs w:val="22"/>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1Light-Accent55">
    <w:name w:val="Grid Table 1 Light - Accent 55"/>
    <w:basedOn w:val="TableNormal"/>
    <w:next w:val="GridTable1Light-Accent5"/>
    <w:uiPriority w:val="46"/>
    <w:rPr>
      <w:rFonts w:cs="Arial"/>
      <w:sz w:val="22"/>
      <w:szCs w:val="22"/>
    </w:rPr>
    <w:tblPr>
      <w:tblStyleRowBandSize w:val="1"/>
      <w:tblStyleColBandSize w:val="1"/>
      <w:tblInd w:w="0" w:type="nil"/>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55">
    <w:name w:val="Grid Table 2 - Accent 55"/>
    <w:basedOn w:val="TableNormal"/>
    <w:next w:val="GridTable2-Accent5"/>
    <w:uiPriority w:val="47"/>
    <w:rPr>
      <w:rFonts w:cs="Arial"/>
      <w:sz w:val="22"/>
      <w:szCs w:val="22"/>
    </w:rPr>
    <w:tblPr>
      <w:tblStyleRowBandSize w:val="1"/>
      <w:tblStyleColBandSize w:val="1"/>
      <w:tblInd w:w="0" w:type="nil"/>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3-Accent55">
    <w:name w:val="Grid Table 3 - Accent 55"/>
    <w:basedOn w:val="TableNormal"/>
    <w:next w:val="GridTable3-Accent5"/>
    <w:uiPriority w:val="48"/>
    <w:rPr>
      <w:rFonts w:cs="Arial"/>
      <w:sz w:val="22"/>
      <w:szCs w:val="22"/>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4-Accent55">
    <w:name w:val="Grid Table 4 - Accent 55"/>
    <w:basedOn w:val="TableNormal"/>
    <w:next w:val="GridTable4-Accent5"/>
    <w:uiPriority w:val="49"/>
    <w:rPr>
      <w:rFonts w:cs="Arial"/>
      <w:sz w:val="22"/>
      <w:szCs w:val="22"/>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5">
    <w:name w:val="Grid Table 5 Dark - Accent 55"/>
    <w:basedOn w:val="TableNormal"/>
    <w:next w:val="GridTable5Dark-Accent5"/>
    <w:uiPriority w:val="50"/>
    <w:rPr>
      <w:rFonts w:cs="Arial"/>
      <w:sz w:val="22"/>
      <w:szCs w:val="22"/>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6Colorful-Accent55">
    <w:name w:val="Grid Table 6 Colorful - Accent 55"/>
    <w:basedOn w:val="TableNormal"/>
    <w:next w:val="GridTable6Colorful-Accent5"/>
    <w:uiPriority w:val="51"/>
    <w:rPr>
      <w:rFonts w:cs="Arial"/>
      <w:color w:val="31849B" w:themeColor="accent5" w:themeShade="BF"/>
      <w:sz w:val="22"/>
      <w:szCs w:val="22"/>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7Colorful-Accent55">
    <w:name w:val="Grid Table 7 Colorful - Accent 55"/>
    <w:basedOn w:val="TableNormal"/>
    <w:next w:val="GridTable7Colorful-Accent5"/>
    <w:uiPriority w:val="52"/>
    <w:rPr>
      <w:rFonts w:cs="Arial"/>
      <w:color w:val="31849B" w:themeColor="accent5" w:themeShade="BF"/>
      <w:sz w:val="22"/>
      <w:szCs w:val="22"/>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1Light-Accent65">
    <w:name w:val="Grid Table 1 Light - Accent 65"/>
    <w:basedOn w:val="TableNormal"/>
    <w:next w:val="GridTable1Light-Accent6"/>
    <w:uiPriority w:val="46"/>
    <w:rPr>
      <w:rFonts w:cs="Arial"/>
      <w:sz w:val="22"/>
      <w:szCs w:val="22"/>
    </w:rPr>
    <w:tblPr>
      <w:tblStyleRowBandSize w:val="1"/>
      <w:tblStyleColBandSize w:val="1"/>
      <w:tblInd w:w="0" w:type="nil"/>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Accent65">
    <w:name w:val="Grid Table 2 - Accent 65"/>
    <w:basedOn w:val="TableNormal"/>
    <w:next w:val="GridTable2-Accent6"/>
    <w:uiPriority w:val="47"/>
    <w:rPr>
      <w:rFonts w:cs="Arial"/>
      <w:sz w:val="22"/>
      <w:szCs w:val="22"/>
    </w:rPr>
    <w:tblPr>
      <w:tblStyleRowBandSize w:val="1"/>
      <w:tblStyleColBandSize w:val="1"/>
      <w:tblInd w:w="0" w:type="nil"/>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Accent65">
    <w:name w:val="Grid Table 3 - Accent 65"/>
    <w:basedOn w:val="TableNormal"/>
    <w:next w:val="GridTable3-Accent6"/>
    <w:uiPriority w:val="48"/>
    <w:rPr>
      <w:rFonts w:cs="Arial"/>
      <w:sz w:val="22"/>
      <w:szCs w:val="22"/>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Accent65">
    <w:name w:val="Grid Table 4 - Accent 65"/>
    <w:basedOn w:val="TableNormal"/>
    <w:next w:val="GridTable4-Accent6"/>
    <w:uiPriority w:val="49"/>
    <w:rPr>
      <w:rFonts w:cs="Arial"/>
      <w:sz w:val="22"/>
      <w:szCs w:val="22"/>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5">
    <w:name w:val="Grid Table 5 Dark - Accent 65"/>
    <w:basedOn w:val="TableNormal"/>
    <w:next w:val="GridTable5Dark-Accent6"/>
    <w:uiPriority w:val="50"/>
    <w:rPr>
      <w:rFonts w:cs="Arial"/>
      <w:sz w:val="22"/>
      <w:szCs w:val="22"/>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65">
    <w:name w:val="Grid Table 6 Colorful - Accent 65"/>
    <w:basedOn w:val="TableNormal"/>
    <w:next w:val="GridTable6Colorful-Accent6"/>
    <w:uiPriority w:val="51"/>
    <w:rPr>
      <w:rFonts w:cs="Arial"/>
      <w:color w:val="E36C0A" w:themeColor="accent6" w:themeShade="BF"/>
      <w:sz w:val="22"/>
      <w:szCs w:val="22"/>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Accent65">
    <w:name w:val="Grid Table 7 Colorful - Accent 65"/>
    <w:basedOn w:val="TableNormal"/>
    <w:next w:val="GridTable7Colorful-Accent6"/>
    <w:uiPriority w:val="52"/>
    <w:rPr>
      <w:rFonts w:cs="Arial"/>
      <w:color w:val="E36C0A" w:themeColor="accent6" w:themeShade="BF"/>
      <w:sz w:val="22"/>
      <w:szCs w:val="22"/>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5">
    <w:name w:val="List Table 1 Light5"/>
    <w:basedOn w:val="TableNormal"/>
    <w:next w:val="ListTable1Light"/>
    <w:uiPriority w:val="46"/>
    <w:rPr>
      <w:rFonts w:cs="Arial"/>
      <w:sz w:val="22"/>
      <w:szCs w:val="22"/>
    </w:r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5">
    <w:name w:val="List Table 25"/>
    <w:basedOn w:val="TableNormal"/>
    <w:next w:val="ListTable2"/>
    <w:uiPriority w:val="47"/>
    <w:rPr>
      <w:rFonts w:cs="Arial"/>
      <w:sz w:val="22"/>
      <w:szCs w:val="22"/>
    </w:rPr>
    <w:tblPr>
      <w:tblStyleRowBandSize w:val="1"/>
      <w:tblStyleColBandSize w:val="1"/>
      <w:tblInd w:w="0" w:type="nil"/>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5">
    <w:name w:val="List Table 35"/>
    <w:basedOn w:val="TableNormal"/>
    <w:next w:val="ListTable3"/>
    <w:uiPriority w:val="48"/>
    <w:rPr>
      <w:rFonts w:cs="Arial"/>
      <w:sz w:val="22"/>
      <w:szCs w:val="22"/>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5">
    <w:name w:val="List Table 45"/>
    <w:basedOn w:val="TableNormal"/>
    <w:next w:val="ListTable4"/>
    <w:uiPriority w:val="49"/>
    <w:rPr>
      <w:rFonts w:cs="Arial"/>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5">
    <w:name w:val="List Table 5 Dark5"/>
    <w:basedOn w:val="TableNormal"/>
    <w:next w:val="ListTable5Dark"/>
    <w:uiPriority w:val="50"/>
    <w:rPr>
      <w:rFonts w:cs="Arial"/>
      <w:color w:val="FFFFFF" w:themeColor="background1"/>
      <w:sz w:val="22"/>
      <w:szCs w:val="22"/>
    </w:rPr>
    <w:tblPr>
      <w:tblStyleRowBandSize w:val="1"/>
      <w:tblStyleColBandSize w:val="1"/>
      <w:tblInd w:w="0" w:type="nil"/>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5">
    <w:name w:val="List Table 6 Colorful5"/>
    <w:basedOn w:val="TableNormal"/>
    <w:next w:val="ListTable6Colorful"/>
    <w:uiPriority w:val="51"/>
    <w:rPr>
      <w:rFonts w:cs="Arial"/>
      <w:color w:val="000000" w:themeColor="text1"/>
      <w:sz w:val="22"/>
      <w:szCs w:val="22"/>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5">
    <w:name w:val="List Table 7 Colorful5"/>
    <w:basedOn w:val="TableNormal"/>
    <w:next w:val="ListTable7Colorful"/>
    <w:uiPriority w:val="52"/>
    <w:rPr>
      <w:rFonts w:cs="Arial"/>
      <w:color w:val="000000" w:themeColor="text1"/>
      <w:sz w:val="22"/>
      <w:szCs w:val="22"/>
    </w:rPr>
    <w:tblPr>
      <w:tblStyleRowBandSize w:val="1"/>
      <w:tblStyleColBandSize w:val="1"/>
      <w:tblInd w:w="0" w:type="nil"/>
    </w:tblPr>
    <w:tblStylePr w:type="firstRow">
      <w:rPr>
        <w:rFonts w:ascii="Times New Roman" w:eastAsia="MS Gothic" w:hAnsi="Times New Roman" w:cs="Times New Roman" w:hint="default"/>
        <w:i/>
        <w:iCs/>
        <w:sz w:val="26"/>
        <w:szCs w:val="26"/>
      </w:rPr>
      <w:tblPr/>
      <w:tcPr>
        <w:tcBorders>
          <w:bottom w:val="single" w:sz="4" w:space="0" w:color="000000" w:themeColor="text1"/>
        </w:tcBorders>
        <w:shd w:val="clear" w:color="auto" w:fill="FFFFFF" w:themeFill="background1"/>
      </w:tcPr>
    </w:tblStylePr>
    <w:tblStylePr w:type="lastRow">
      <w:rPr>
        <w:rFonts w:ascii="Times New Roman" w:eastAsia="MS Gothic" w:hAnsi="Times New Roman" w:cs="Times New Roman"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imes New Roman" w:eastAsia="MS Gothic" w:hAnsi="Times New Roman" w:cs="Times New Roman" w:hint="default"/>
        <w:i/>
        <w:iCs/>
        <w:sz w:val="26"/>
        <w:szCs w:val="26"/>
      </w:rPr>
      <w:tblPr/>
      <w:tcPr>
        <w:tcBorders>
          <w:right w:val="single" w:sz="4" w:space="0" w:color="000000" w:themeColor="text1"/>
        </w:tcBorders>
        <w:shd w:val="clear" w:color="auto" w:fill="FFFFFF" w:themeFill="background1"/>
      </w:tcPr>
    </w:tblStylePr>
    <w:tblStylePr w:type="lastCol">
      <w:rPr>
        <w:rFonts w:ascii="Times New Roman" w:eastAsia="MS Gothic" w:hAnsi="Times New Roman" w:cs="Times New Roman"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15">
    <w:name w:val="List Table 1 Light - Accent 15"/>
    <w:basedOn w:val="TableNormal"/>
    <w:next w:val="ListTable1Light-Accent1"/>
    <w:uiPriority w:val="46"/>
    <w:rPr>
      <w:rFonts w:cs="Arial"/>
      <w:sz w:val="22"/>
      <w:szCs w:val="22"/>
    </w:rPr>
    <w:tblPr>
      <w:tblStyleRowBandSize w:val="1"/>
      <w:tblStyleColBandSize w:val="1"/>
      <w:tblInd w:w="0" w:type="nil"/>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15">
    <w:name w:val="List Table 2 - Accent 15"/>
    <w:basedOn w:val="TableNormal"/>
    <w:next w:val="ListTable2-Accent1"/>
    <w:uiPriority w:val="47"/>
    <w:rPr>
      <w:rFonts w:cs="Arial"/>
      <w:sz w:val="22"/>
      <w:szCs w:val="22"/>
    </w:rPr>
    <w:tblPr>
      <w:tblStyleRowBandSize w:val="1"/>
      <w:tblStyleColBandSize w:val="1"/>
      <w:tblInd w:w="0" w:type="nil"/>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5">
    <w:name w:val="List Table 3 - Accent 15"/>
    <w:basedOn w:val="TableNormal"/>
    <w:next w:val="ListTable3-Accent1"/>
    <w:uiPriority w:val="48"/>
    <w:rPr>
      <w:rFonts w:cs="Arial"/>
      <w:sz w:val="22"/>
      <w:szCs w:val="22"/>
    </w:rPr>
    <w:tblPr>
      <w:tblStyleRowBandSize w:val="1"/>
      <w:tblStyleColBandSize w:val="1"/>
      <w:tblInd w:w="0" w:type="nil"/>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15">
    <w:name w:val="List Table 4 - Accent 15"/>
    <w:basedOn w:val="TableNormal"/>
    <w:next w:val="ListTable4-Accent1"/>
    <w:uiPriority w:val="49"/>
    <w:rPr>
      <w:rFonts w:cs="Arial"/>
      <w:sz w:val="22"/>
      <w:szCs w:val="22"/>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5Dark-Accent15">
    <w:name w:val="List Table 5 Dark - Accent 15"/>
    <w:basedOn w:val="TableNormal"/>
    <w:next w:val="ListTable5Dark-Accent1"/>
    <w:uiPriority w:val="50"/>
    <w:rPr>
      <w:rFonts w:cs="Arial"/>
      <w:color w:val="FFFFFF" w:themeColor="background1"/>
      <w:sz w:val="22"/>
      <w:szCs w:val="22"/>
    </w:rPr>
    <w:tblPr>
      <w:tblStyleRowBandSize w:val="1"/>
      <w:tblStyleColBandSize w:val="1"/>
      <w:tblInd w:w="0" w:type="nil"/>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5">
    <w:name w:val="List Table 6 Colorful - Accent 15"/>
    <w:basedOn w:val="TableNormal"/>
    <w:next w:val="ListTable6Colorful-Accent1"/>
    <w:uiPriority w:val="51"/>
    <w:rPr>
      <w:rFonts w:cs="Arial"/>
      <w:color w:val="365F91" w:themeColor="accent1" w:themeShade="BF"/>
      <w:sz w:val="22"/>
      <w:szCs w:val="22"/>
    </w:rPr>
    <w:tblPr>
      <w:tblStyleRowBandSize w:val="1"/>
      <w:tblStyleColBandSize w:val="1"/>
      <w:tblInd w:w="0" w:type="nil"/>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7Colorful-Accent15">
    <w:name w:val="List Table 7 Colorful - Accent 15"/>
    <w:basedOn w:val="TableNormal"/>
    <w:next w:val="ListTable7Colorful-Accent1"/>
    <w:uiPriority w:val="52"/>
    <w:rPr>
      <w:rFonts w:cs="Arial"/>
      <w:color w:val="365F91" w:themeColor="accent1" w:themeShade="BF"/>
      <w:sz w:val="22"/>
      <w:szCs w:val="22"/>
    </w:rPr>
    <w:tblPr>
      <w:tblStyleRowBandSize w:val="1"/>
      <w:tblStyleColBandSize w:val="1"/>
      <w:tblInd w:w="0" w:type="nil"/>
    </w:tblPr>
    <w:tblStylePr w:type="firstRow">
      <w:rPr>
        <w:rFonts w:ascii="Times New Roman" w:eastAsia="MS Gothic" w:hAnsi="Times New Roman" w:cs="Times New Roman" w:hint="default"/>
        <w:i/>
        <w:iCs/>
        <w:sz w:val="26"/>
        <w:szCs w:val="26"/>
      </w:rPr>
      <w:tblPr/>
      <w:tcPr>
        <w:tcBorders>
          <w:bottom w:val="single" w:sz="4" w:space="0" w:color="4F81BD" w:themeColor="accent1"/>
        </w:tcBorders>
        <w:shd w:val="clear" w:color="auto" w:fill="FFFFFF" w:themeFill="background1"/>
      </w:tcPr>
    </w:tblStylePr>
    <w:tblStylePr w:type="lastRow">
      <w:rPr>
        <w:rFonts w:ascii="Times New Roman" w:eastAsia="MS Gothic" w:hAnsi="Times New Roman" w:cs="Times New Roman" w:hint="default"/>
        <w:i/>
        <w:iCs/>
        <w:sz w:val="26"/>
        <w:szCs w:val="26"/>
      </w:rPr>
      <w:tblPr/>
      <w:tcPr>
        <w:tcBorders>
          <w:top w:val="single" w:sz="4" w:space="0" w:color="4F81BD" w:themeColor="accent1"/>
        </w:tcBorders>
        <w:shd w:val="clear" w:color="auto" w:fill="FFFFFF" w:themeFill="background1"/>
      </w:tcPr>
    </w:tblStylePr>
    <w:tblStylePr w:type="firstCol">
      <w:pPr>
        <w:jc w:val="right"/>
      </w:pPr>
      <w:rPr>
        <w:rFonts w:ascii="Times New Roman" w:eastAsia="MS Gothic" w:hAnsi="Times New Roman" w:cs="Times New Roman" w:hint="default"/>
        <w:i/>
        <w:iCs/>
        <w:sz w:val="26"/>
        <w:szCs w:val="26"/>
      </w:rPr>
      <w:tblPr/>
      <w:tcPr>
        <w:tcBorders>
          <w:right w:val="single" w:sz="4" w:space="0" w:color="4F81BD" w:themeColor="accent1"/>
        </w:tcBorders>
        <w:shd w:val="clear" w:color="auto" w:fill="FFFFFF" w:themeFill="background1"/>
      </w:tcPr>
    </w:tblStylePr>
    <w:tblStylePr w:type="lastCol">
      <w:rPr>
        <w:rFonts w:ascii="Times New Roman" w:eastAsia="MS Gothic" w:hAnsi="Times New Roman" w:cs="Times New Roman" w:hint="default"/>
        <w:i/>
        <w:iCs/>
        <w:sz w:val="26"/>
        <w:szCs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25">
    <w:name w:val="List Table 1 Light - Accent 25"/>
    <w:basedOn w:val="TableNormal"/>
    <w:next w:val="ListTable1Light-Accent2"/>
    <w:uiPriority w:val="46"/>
    <w:rPr>
      <w:rFonts w:cs="Arial"/>
      <w:sz w:val="22"/>
      <w:szCs w:val="22"/>
    </w:rPr>
    <w:tblPr>
      <w:tblStyleRowBandSize w:val="1"/>
      <w:tblStyleColBandSize w:val="1"/>
      <w:tblInd w:w="0" w:type="nil"/>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25">
    <w:name w:val="List Table 2 - Accent 25"/>
    <w:basedOn w:val="TableNormal"/>
    <w:next w:val="ListTable2-Accent2"/>
    <w:uiPriority w:val="47"/>
    <w:rPr>
      <w:rFonts w:cs="Arial"/>
      <w:sz w:val="22"/>
      <w:szCs w:val="22"/>
    </w:rPr>
    <w:tblPr>
      <w:tblStyleRowBandSize w:val="1"/>
      <w:tblStyleColBandSize w:val="1"/>
      <w:tblInd w:w="0" w:type="nil"/>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5">
    <w:name w:val="List Table 3 - Accent 25"/>
    <w:basedOn w:val="TableNormal"/>
    <w:next w:val="ListTable3-Accent2"/>
    <w:uiPriority w:val="48"/>
    <w:rPr>
      <w:rFonts w:cs="Arial"/>
      <w:sz w:val="22"/>
      <w:szCs w:val="22"/>
    </w:rPr>
    <w:tblPr>
      <w:tblStyleRowBandSize w:val="1"/>
      <w:tblStyleColBandSize w:val="1"/>
      <w:tblInd w:w="0" w:type="nil"/>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4-Accent25">
    <w:name w:val="List Table 4 - Accent 25"/>
    <w:basedOn w:val="TableNormal"/>
    <w:next w:val="ListTable4-Accent2"/>
    <w:uiPriority w:val="49"/>
    <w:rPr>
      <w:rFonts w:cs="Arial"/>
      <w:sz w:val="22"/>
      <w:szCs w:val="22"/>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5Dark-Accent25">
    <w:name w:val="List Table 5 Dark - Accent 25"/>
    <w:basedOn w:val="TableNormal"/>
    <w:next w:val="ListTable5Dark-Accent2"/>
    <w:uiPriority w:val="50"/>
    <w:rPr>
      <w:rFonts w:cs="Arial"/>
      <w:color w:val="FFFFFF" w:themeColor="background1"/>
      <w:sz w:val="22"/>
      <w:szCs w:val="22"/>
    </w:rPr>
    <w:tblPr>
      <w:tblStyleRowBandSize w:val="1"/>
      <w:tblStyleColBandSize w:val="1"/>
      <w:tblInd w:w="0" w:type="nil"/>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25">
    <w:name w:val="List Table 6 Colorful - Accent 25"/>
    <w:basedOn w:val="TableNormal"/>
    <w:next w:val="ListTable6Colorful-Accent2"/>
    <w:uiPriority w:val="51"/>
    <w:rPr>
      <w:rFonts w:cs="Arial"/>
      <w:color w:val="943634" w:themeColor="accent2" w:themeShade="BF"/>
      <w:sz w:val="22"/>
      <w:szCs w:val="22"/>
    </w:rPr>
    <w:tblPr>
      <w:tblStyleRowBandSize w:val="1"/>
      <w:tblStyleColBandSize w:val="1"/>
      <w:tblInd w:w="0" w:type="nil"/>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7Colorful-Accent25">
    <w:name w:val="List Table 7 Colorful - Accent 25"/>
    <w:basedOn w:val="TableNormal"/>
    <w:next w:val="ListTable7Colorful-Accent2"/>
    <w:uiPriority w:val="52"/>
    <w:rPr>
      <w:rFonts w:cs="Arial"/>
      <w:color w:val="943634" w:themeColor="accent2" w:themeShade="BF"/>
      <w:sz w:val="22"/>
      <w:szCs w:val="22"/>
    </w:rPr>
    <w:tblPr>
      <w:tblStyleRowBandSize w:val="1"/>
      <w:tblStyleColBandSize w:val="1"/>
      <w:tblInd w:w="0" w:type="nil"/>
    </w:tblPr>
    <w:tblStylePr w:type="firstRow">
      <w:rPr>
        <w:rFonts w:ascii="Times New Roman" w:eastAsia="MS Gothic" w:hAnsi="Times New Roman" w:cs="Times New Roman" w:hint="default"/>
        <w:i/>
        <w:iCs/>
        <w:sz w:val="26"/>
        <w:szCs w:val="26"/>
      </w:rPr>
      <w:tblPr/>
      <w:tcPr>
        <w:tcBorders>
          <w:bottom w:val="single" w:sz="4" w:space="0" w:color="C0504D" w:themeColor="accent2"/>
        </w:tcBorders>
        <w:shd w:val="clear" w:color="auto" w:fill="FFFFFF" w:themeFill="background1"/>
      </w:tcPr>
    </w:tblStylePr>
    <w:tblStylePr w:type="lastRow">
      <w:rPr>
        <w:rFonts w:ascii="Times New Roman" w:eastAsia="MS Gothic" w:hAnsi="Times New Roman" w:cs="Times New Roman" w:hint="default"/>
        <w:i/>
        <w:iCs/>
        <w:sz w:val="26"/>
        <w:szCs w:val="26"/>
      </w:rPr>
      <w:tblPr/>
      <w:tcPr>
        <w:tcBorders>
          <w:top w:val="single" w:sz="4" w:space="0" w:color="C0504D" w:themeColor="accent2"/>
        </w:tcBorders>
        <w:shd w:val="clear" w:color="auto" w:fill="FFFFFF" w:themeFill="background1"/>
      </w:tcPr>
    </w:tblStylePr>
    <w:tblStylePr w:type="firstCol">
      <w:pPr>
        <w:jc w:val="right"/>
      </w:pPr>
      <w:rPr>
        <w:rFonts w:ascii="Times New Roman" w:eastAsia="MS Gothic" w:hAnsi="Times New Roman" w:cs="Times New Roman" w:hint="default"/>
        <w:i/>
        <w:iCs/>
        <w:sz w:val="26"/>
        <w:szCs w:val="26"/>
      </w:rPr>
      <w:tblPr/>
      <w:tcPr>
        <w:tcBorders>
          <w:right w:val="single" w:sz="4" w:space="0" w:color="C0504D" w:themeColor="accent2"/>
        </w:tcBorders>
        <w:shd w:val="clear" w:color="auto" w:fill="FFFFFF" w:themeFill="background1"/>
      </w:tcPr>
    </w:tblStylePr>
    <w:tblStylePr w:type="lastCol">
      <w:rPr>
        <w:rFonts w:ascii="Times New Roman" w:eastAsia="MS Gothic" w:hAnsi="Times New Roman" w:cs="Times New Roman" w:hint="default"/>
        <w:i/>
        <w:iCs/>
        <w:sz w:val="26"/>
        <w:szCs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35">
    <w:name w:val="List Table 1 Light - Accent 35"/>
    <w:basedOn w:val="TableNormal"/>
    <w:next w:val="ListTable1Light-Accent3"/>
    <w:uiPriority w:val="46"/>
    <w:rPr>
      <w:rFonts w:cs="Arial"/>
      <w:sz w:val="22"/>
      <w:szCs w:val="22"/>
    </w:rPr>
    <w:tblPr>
      <w:tblStyleRowBandSize w:val="1"/>
      <w:tblStyleColBandSize w:val="1"/>
      <w:tblInd w:w="0" w:type="nil"/>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35">
    <w:name w:val="List Table 2 - Accent 35"/>
    <w:basedOn w:val="TableNormal"/>
    <w:next w:val="ListTable2-Accent3"/>
    <w:uiPriority w:val="47"/>
    <w:rPr>
      <w:rFonts w:cs="Arial"/>
      <w:sz w:val="22"/>
      <w:szCs w:val="22"/>
    </w:rPr>
    <w:tblPr>
      <w:tblStyleRowBandSize w:val="1"/>
      <w:tblStyleColBandSize w:val="1"/>
      <w:tblInd w:w="0" w:type="nil"/>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35">
    <w:name w:val="List Table 3 - Accent 35"/>
    <w:basedOn w:val="TableNormal"/>
    <w:next w:val="ListTable3-Accent3"/>
    <w:uiPriority w:val="48"/>
    <w:rPr>
      <w:rFonts w:cs="Arial"/>
      <w:sz w:val="22"/>
      <w:szCs w:val="22"/>
    </w:rPr>
    <w:tblPr>
      <w:tblStyleRowBandSize w:val="1"/>
      <w:tblStyleColBandSize w:val="1"/>
      <w:tblInd w:w="0" w:type="nil"/>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35">
    <w:name w:val="List Table 4 - Accent 35"/>
    <w:basedOn w:val="TableNormal"/>
    <w:next w:val="ListTable4-Accent3"/>
    <w:uiPriority w:val="49"/>
    <w:rPr>
      <w:rFonts w:cs="Arial"/>
      <w:sz w:val="22"/>
      <w:szCs w:val="22"/>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5Dark-Accent35">
    <w:name w:val="List Table 5 Dark - Accent 35"/>
    <w:basedOn w:val="TableNormal"/>
    <w:next w:val="ListTable5Dark-Accent3"/>
    <w:uiPriority w:val="50"/>
    <w:rPr>
      <w:rFonts w:cs="Arial"/>
      <w:color w:val="FFFFFF" w:themeColor="background1"/>
      <w:sz w:val="22"/>
      <w:szCs w:val="22"/>
    </w:rPr>
    <w:tblPr>
      <w:tblStyleRowBandSize w:val="1"/>
      <w:tblStyleColBandSize w:val="1"/>
      <w:tblInd w:w="0" w:type="nil"/>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35">
    <w:name w:val="List Table 6 Colorful - Accent 35"/>
    <w:basedOn w:val="TableNormal"/>
    <w:next w:val="ListTable6Colorful-Accent3"/>
    <w:uiPriority w:val="51"/>
    <w:rPr>
      <w:rFonts w:cs="Arial"/>
      <w:color w:val="76923C" w:themeColor="accent3" w:themeShade="BF"/>
      <w:sz w:val="22"/>
      <w:szCs w:val="22"/>
    </w:rPr>
    <w:tblPr>
      <w:tblStyleRowBandSize w:val="1"/>
      <w:tblStyleColBandSize w:val="1"/>
      <w:tblInd w:w="0" w:type="nil"/>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7Colorful-Accent35">
    <w:name w:val="List Table 7 Colorful - Accent 35"/>
    <w:basedOn w:val="TableNormal"/>
    <w:next w:val="ListTable7Colorful-Accent3"/>
    <w:uiPriority w:val="52"/>
    <w:rPr>
      <w:rFonts w:cs="Arial"/>
      <w:color w:val="76923C" w:themeColor="accent3" w:themeShade="BF"/>
      <w:sz w:val="22"/>
      <w:szCs w:val="22"/>
    </w:rPr>
    <w:tblPr>
      <w:tblStyleRowBandSize w:val="1"/>
      <w:tblStyleColBandSize w:val="1"/>
      <w:tblInd w:w="0" w:type="nil"/>
    </w:tblPr>
    <w:tblStylePr w:type="firstRow">
      <w:rPr>
        <w:rFonts w:ascii="Times New Roman" w:eastAsia="MS Gothic" w:hAnsi="Times New Roman" w:cs="Times New Roman" w:hint="default"/>
        <w:i/>
        <w:iCs/>
        <w:sz w:val="26"/>
        <w:szCs w:val="26"/>
      </w:rPr>
      <w:tblPr/>
      <w:tcPr>
        <w:tcBorders>
          <w:bottom w:val="single" w:sz="4" w:space="0" w:color="9BBB59" w:themeColor="accent3"/>
        </w:tcBorders>
        <w:shd w:val="clear" w:color="auto" w:fill="FFFFFF" w:themeFill="background1"/>
      </w:tcPr>
    </w:tblStylePr>
    <w:tblStylePr w:type="lastRow">
      <w:rPr>
        <w:rFonts w:ascii="Times New Roman" w:eastAsia="MS Gothic" w:hAnsi="Times New Roman" w:cs="Times New Roman" w:hint="default"/>
        <w:i/>
        <w:iCs/>
        <w:sz w:val="26"/>
        <w:szCs w:val="26"/>
      </w:rPr>
      <w:tblPr/>
      <w:tcPr>
        <w:tcBorders>
          <w:top w:val="single" w:sz="4" w:space="0" w:color="9BBB59" w:themeColor="accent3"/>
        </w:tcBorders>
        <w:shd w:val="clear" w:color="auto" w:fill="FFFFFF" w:themeFill="background1"/>
      </w:tcPr>
    </w:tblStylePr>
    <w:tblStylePr w:type="firstCol">
      <w:pPr>
        <w:jc w:val="right"/>
      </w:pPr>
      <w:rPr>
        <w:rFonts w:ascii="Times New Roman" w:eastAsia="MS Gothic" w:hAnsi="Times New Roman" w:cs="Times New Roman" w:hint="default"/>
        <w:i/>
        <w:iCs/>
        <w:sz w:val="26"/>
        <w:szCs w:val="26"/>
      </w:rPr>
      <w:tblPr/>
      <w:tcPr>
        <w:tcBorders>
          <w:right w:val="single" w:sz="4" w:space="0" w:color="9BBB59" w:themeColor="accent3"/>
        </w:tcBorders>
        <w:shd w:val="clear" w:color="auto" w:fill="FFFFFF" w:themeFill="background1"/>
      </w:tcPr>
    </w:tblStylePr>
    <w:tblStylePr w:type="lastCol">
      <w:rPr>
        <w:rFonts w:ascii="Times New Roman" w:eastAsia="MS Gothic" w:hAnsi="Times New Roman" w:cs="Times New Roman" w:hint="default"/>
        <w:i/>
        <w:iCs/>
        <w:sz w:val="26"/>
        <w:szCs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45">
    <w:name w:val="List Table 1 Light - Accent 45"/>
    <w:basedOn w:val="TableNormal"/>
    <w:next w:val="ListTable1Light-Accent4"/>
    <w:uiPriority w:val="46"/>
    <w:rPr>
      <w:rFonts w:cs="Arial"/>
      <w:sz w:val="22"/>
      <w:szCs w:val="22"/>
    </w:rPr>
    <w:tblPr>
      <w:tblStyleRowBandSize w:val="1"/>
      <w:tblStyleColBandSize w:val="1"/>
      <w:tblInd w:w="0" w:type="nil"/>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45">
    <w:name w:val="List Table 2 - Accent 45"/>
    <w:basedOn w:val="TableNormal"/>
    <w:next w:val="ListTable2-Accent4"/>
    <w:uiPriority w:val="47"/>
    <w:rPr>
      <w:rFonts w:cs="Arial"/>
      <w:sz w:val="22"/>
      <w:szCs w:val="22"/>
    </w:rPr>
    <w:tblPr>
      <w:tblStyleRowBandSize w:val="1"/>
      <w:tblStyleColBandSize w:val="1"/>
      <w:tblInd w:w="0" w:type="nil"/>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3-Accent45">
    <w:name w:val="List Table 3 - Accent 45"/>
    <w:basedOn w:val="TableNormal"/>
    <w:next w:val="ListTable3-Accent4"/>
    <w:uiPriority w:val="48"/>
    <w:rPr>
      <w:rFonts w:cs="Arial"/>
      <w:sz w:val="22"/>
      <w:szCs w:val="22"/>
    </w:rPr>
    <w:tblPr>
      <w:tblStyleRowBandSize w:val="1"/>
      <w:tblStyleColBandSize w:val="1"/>
      <w:tblInd w:w="0" w:type="nil"/>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4-Accent45">
    <w:name w:val="List Table 4 - Accent 45"/>
    <w:basedOn w:val="TableNormal"/>
    <w:next w:val="ListTable4-Accent4"/>
    <w:uiPriority w:val="49"/>
    <w:rPr>
      <w:rFonts w:cs="Arial"/>
      <w:sz w:val="22"/>
      <w:szCs w:val="22"/>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5Dark-Accent45">
    <w:name w:val="List Table 5 Dark - Accent 45"/>
    <w:basedOn w:val="TableNormal"/>
    <w:next w:val="ListTable5Dark-Accent4"/>
    <w:uiPriority w:val="50"/>
    <w:rPr>
      <w:rFonts w:cs="Arial"/>
      <w:color w:val="FFFFFF" w:themeColor="background1"/>
      <w:sz w:val="22"/>
      <w:szCs w:val="22"/>
    </w:rPr>
    <w:tblPr>
      <w:tblStyleRowBandSize w:val="1"/>
      <w:tblStyleColBandSize w:val="1"/>
      <w:tblInd w:w="0" w:type="nil"/>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45">
    <w:name w:val="List Table 6 Colorful - Accent 45"/>
    <w:basedOn w:val="TableNormal"/>
    <w:next w:val="ListTable6Colorful-Accent4"/>
    <w:uiPriority w:val="51"/>
    <w:rPr>
      <w:rFonts w:cs="Arial"/>
      <w:color w:val="5F497A" w:themeColor="accent4" w:themeShade="BF"/>
      <w:sz w:val="22"/>
      <w:szCs w:val="22"/>
    </w:rPr>
    <w:tblPr>
      <w:tblStyleRowBandSize w:val="1"/>
      <w:tblStyleColBandSize w:val="1"/>
      <w:tblInd w:w="0" w:type="nil"/>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7Colorful-Accent45">
    <w:name w:val="List Table 7 Colorful - Accent 45"/>
    <w:basedOn w:val="TableNormal"/>
    <w:next w:val="ListTable7Colorful-Accent4"/>
    <w:uiPriority w:val="52"/>
    <w:rPr>
      <w:rFonts w:cs="Arial"/>
      <w:color w:val="5F497A" w:themeColor="accent4" w:themeShade="BF"/>
      <w:sz w:val="22"/>
      <w:szCs w:val="22"/>
    </w:rPr>
    <w:tblPr>
      <w:tblStyleRowBandSize w:val="1"/>
      <w:tblStyleColBandSize w:val="1"/>
      <w:tblInd w:w="0" w:type="nil"/>
    </w:tblPr>
    <w:tblStylePr w:type="firstRow">
      <w:rPr>
        <w:rFonts w:ascii="Times New Roman" w:eastAsia="MS Gothic" w:hAnsi="Times New Roman" w:cs="Times New Roman" w:hint="default"/>
        <w:i/>
        <w:iCs/>
        <w:sz w:val="26"/>
        <w:szCs w:val="26"/>
      </w:rPr>
      <w:tblPr/>
      <w:tcPr>
        <w:tcBorders>
          <w:bottom w:val="single" w:sz="4" w:space="0" w:color="8064A2" w:themeColor="accent4"/>
        </w:tcBorders>
        <w:shd w:val="clear" w:color="auto" w:fill="FFFFFF" w:themeFill="background1"/>
      </w:tcPr>
    </w:tblStylePr>
    <w:tblStylePr w:type="lastRow">
      <w:rPr>
        <w:rFonts w:ascii="Times New Roman" w:eastAsia="MS Gothic" w:hAnsi="Times New Roman" w:cs="Times New Roman"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imes New Roman" w:eastAsia="MS Gothic" w:hAnsi="Times New Roman" w:cs="Times New Roman" w:hint="default"/>
        <w:i/>
        <w:iCs/>
        <w:sz w:val="26"/>
        <w:szCs w:val="26"/>
      </w:rPr>
      <w:tblPr/>
      <w:tcPr>
        <w:tcBorders>
          <w:right w:val="single" w:sz="4" w:space="0" w:color="8064A2" w:themeColor="accent4"/>
        </w:tcBorders>
        <w:shd w:val="clear" w:color="auto" w:fill="FFFFFF" w:themeFill="background1"/>
      </w:tcPr>
    </w:tblStylePr>
    <w:tblStylePr w:type="lastCol">
      <w:rPr>
        <w:rFonts w:ascii="Times New Roman" w:eastAsia="MS Gothic" w:hAnsi="Times New Roman" w:cs="Times New Roman"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55">
    <w:name w:val="List Table 1 Light - Accent 55"/>
    <w:basedOn w:val="TableNormal"/>
    <w:next w:val="ListTable1Light-Accent5"/>
    <w:uiPriority w:val="46"/>
    <w:rPr>
      <w:rFonts w:cs="Arial"/>
      <w:sz w:val="22"/>
      <w:szCs w:val="22"/>
    </w:rPr>
    <w:tblPr>
      <w:tblStyleRowBandSize w:val="1"/>
      <w:tblStyleColBandSize w:val="1"/>
      <w:tblInd w:w="0" w:type="nil"/>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55">
    <w:name w:val="List Table 2 - Accent 55"/>
    <w:basedOn w:val="TableNormal"/>
    <w:next w:val="ListTable2-Accent5"/>
    <w:uiPriority w:val="47"/>
    <w:rPr>
      <w:rFonts w:cs="Arial"/>
      <w:sz w:val="22"/>
      <w:szCs w:val="22"/>
    </w:rPr>
    <w:tblPr>
      <w:tblStyleRowBandSize w:val="1"/>
      <w:tblStyleColBandSize w:val="1"/>
      <w:tblInd w:w="0" w:type="nil"/>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55">
    <w:name w:val="List Table 3 - Accent 55"/>
    <w:basedOn w:val="TableNormal"/>
    <w:next w:val="ListTable3-Accent5"/>
    <w:uiPriority w:val="48"/>
    <w:rPr>
      <w:rFonts w:cs="Arial"/>
      <w:sz w:val="22"/>
      <w:szCs w:val="22"/>
    </w:rPr>
    <w:tblPr>
      <w:tblStyleRowBandSize w:val="1"/>
      <w:tblStyleColBandSize w:val="1"/>
      <w:tblInd w:w="0" w:type="nil"/>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4-Accent55">
    <w:name w:val="List Table 4 - Accent 55"/>
    <w:basedOn w:val="TableNormal"/>
    <w:next w:val="ListTable4-Accent5"/>
    <w:uiPriority w:val="49"/>
    <w:rPr>
      <w:rFonts w:cs="Arial"/>
      <w:sz w:val="22"/>
      <w:szCs w:val="22"/>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5Dark-Accent55">
    <w:name w:val="List Table 5 Dark - Accent 55"/>
    <w:basedOn w:val="TableNormal"/>
    <w:next w:val="ListTable5Dark-Accent5"/>
    <w:uiPriority w:val="50"/>
    <w:rPr>
      <w:rFonts w:cs="Arial"/>
      <w:color w:val="FFFFFF" w:themeColor="background1"/>
      <w:sz w:val="22"/>
      <w:szCs w:val="22"/>
    </w:rPr>
    <w:tblPr>
      <w:tblStyleRowBandSize w:val="1"/>
      <w:tblStyleColBandSize w:val="1"/>
      <w:tblInd w:w="0" w:type="nil"/>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55">
    <w:name w:val="List Table 6 Colorful - Accent 55"/>
    <w:basedOn w:val="TableNormal"/>
    <w:next w:val="ListTable6Colorful-Accent5"/>
    <w:uiPriority w:val="51"/>
    <w:rPr>
      <w:rFonts w:cs="Arial"/>
      <w:color w:val="31849B" w:themeColor="accent5" w:themeShade="BF"/>
      <w:sz w:val="22"/>
      <w:szCs w:val="22"/>
    </w:rPr>
    <w:tblPr>
      <w:tblStyleRowBandSize w:val="1"/>
      <w:tblStyleColBandSize w:val="1"/>
      <w:tblInd w:w="0" w:type="nil"/>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7Colorful-Accent55">
    <w:name w:val="List Table 7 Colorful - Accent 55"/>
    <w:basedOn w:val="TableNormal"/>
    <w:next w:val="ListTable7Colorful-Accent5"/>
    <w:uiPriority w:val="52"/>
    <w:rPr>
      <w:rFonts w:cs="Arial"/>
      <w:color w:val="31849B" w:themeColor="accent5" w:themeShade="BF"/>
      <w:sz w:val="22"/>
      <w:szCs w:val="22"/>
    </w:rPr>
    <w:tblPr>
      <w:tblStyleRowBandSize w:val="1"/>
      <w:tblStyleColBandSize w:val="1"/>
      <w:tblInd w:w="0" w:type="nil"/>
    </w:tblPr>
    <w:tblStylePr w:type="firstRow">
      <w:rPr>
        <w:rFonts w:ascii="Times New Roman" w:eastAsia="MS Gothic" w:hAnsi="Times New Roman" w:cs="Times New Roman" w:hint="default"/>
        <w:i/>
        <w:iCs/>
        <w:sz w:val="26"/>
        <w:szCs w:val="26"/>
      </w:rPr>
      <w:tblPr/>
      <w:tcPr>
        <w:tcBorders>
          <w:bottom w:val="single" w:sz="4" w:space="0" w:color="4BACC6" w:themeColor="accent5"/>
        </w:tcBorders>
        <w:shd w:val="clear" w:color="auto" w:fill="FFFFFF" w:themeFill="background1"/>
      </w:tcPr>
    </w:tblStylePr>
    <w:tblStylePr w:type="lastRow">
      <w:rPr>
        <w:rFonts w:ascii="Times New Roman" w:eastAsia="MS Gothic" w:hAnsi="Times New Roman" w:cs="Times New Roman" w:hint="default"/>
        <w:i/>
        <w:iCs/>
        <w:sz w:val="26"/>
        <w:szCs w:val="26"/>
      </w:rPr>
      <w:tblPr/>
      <w:tcPr>
        <w:tcBorders>
          <w:top w:val="single" w:sz="4" w:space="0" w:color="4BACC6" w:themeColor="accent5"/>
        </w:tcBorders>
        <w:shd w:val="clear" w:color="auto" w:fill="FFFFFF" w:themeFill="background1"/>
      </w:tcPr>
    </w:tblStylePr>
    <w:tblStylePr w:type="firstCol">
      <w:pPr>
        <w:jc w:val="right"/>
      </w:pPr>
      <w:rPr>
        <w:rFonts w:ascii="Times New Roman" w:eastAsia="MS Gothic" w:hAnsi="Times New Roman" w:cs="Times New Roman" w:hint="default"/>
        <w:i/>
        <w:iCs/>
        <w:sz w:val="26"/>
        <w:szCs w:val="26"/>
      </w:rPr>
      <w:tblPr/>
      <w:tcPr>
        <w:tcBorders>
          <w:right w:val="single" w:sz="4" w:space="0" w:color="4BACC6" w:themeColor="accent5"/>
        </w:tcBorders>
        <w:shd w:val="clear" w:color="auto" w:fill="FFFFFF" w:themeFill="background1"/>
      </w:tcPr>
    </w:tblStylePr>
    <w:tblStylePr w:type="lastCol">
      <w:rPr>
        <w:rFonts w:ascii="Times New Roman" w:eastAsia="MS Gothic" w:hAnsi="Times New Roman" w:cs="Times New Roman" w:hint="default"/>
        <w:i/>
        <w:iCs/>
        <w:sz w:val="26"/>
        <w:szCs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65">
    <w:name w:val="List Table 1 Light - Accent 65"/>
    <w:basedOn w:val="TableNormal"/>
    <w:next w:val="ListTable1Light-Accent6"/>
    <w:uiPriority w:val="46"/>
    <w:rPr>
      <w:rFonts w:cs="Arial"/>
      <w:sz w:val="22"/>
      <w:szCs w:val="22"/>
    </w:rPr>
    <w:tblPr>
      <w:tblStyleRowBandSize w:val="1"/>
      <w:tblStyleColBandSize w:val="1"/>
      <w:tblInd w:w="0" w:type="nil"/>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Accent65">
    <w:name w:val="List Table 2 - Accent 65"/>
    <w:basedOn w:val="TableNormal"/>
    <w:next w:val="ListTable2-Accent6"/>
    <w:uiPriority w:val="47"/>
    <w:rPr>
      <w:rFonts w:cs="Arial"/>
      <w:sz w:val="22"/>
      <w:szCs w:val="22"/>
    </w:rPr>
    <w:tblPr>
      <w:tblStyleRowBandSize w:val="1"/>
      <w:tblStyleColBandSize w:val="1"/>
      <w:tblInd w:w="0" w:type="nil"/>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Accent65">
    <w:name w:val="List Table 3 - Accent 65"/>
    <w:basedOn w:val="TableNormal"/>
    <w:next w:val="ListTable3-Accent6"/>
    <w:uiPriority w:val="48"/>
    <w:rPr>
      <w:rFonts w:cs="Arial"/>
      <w:sz w:val="22"/>
      <w:szCs w:val="22"/>
    </w:rPr>
    <w:tblPr>
      <w:tblStyleRowBandSize w:val="1"/>
      <w:tblStyleColBandSize w:val="1"/>
      <w:tblInd w:w="0" w:type="nil"/>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Accent65">
    <w:name w:val="List Table 4 - Accent 65"/>
    <w:basedOn w:val="TableNormal"/>
    <w:next w:val="ListTable4-Accent6"/>
    <w:uiPriority w:val="49"/>
    <w:rPr>
      <w:rFonts w:cs="Arial"/>
      <w:sz w:val="22"/>
      <w:szCs w:val="22"/>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Accent65">
    <w:name w:val="List Table 5 Dark - Accent 65"/>
    <w:basedOn w:val="TableNormal"/>
    <w:next w:val="ListTable5Dark-Accent6"/>
    <w:uiPriority w:val="50"/>
    <w:rPr>
      <w:rFonts w:cs="Arial"/>
      <w:color w:val="FFFFFF" w:themeColor="background1"/>
      <w:sz w:val="22"/>
      <w:szCs w:val="22"/>
    </w:rPr>
    <w:tblPr>
      <w:tblStyleRowBandSize w:val="1"/>
      <w:tblStyleColBandSize w:val="1"/>
      <w:tblInd w:w="0" w:type="nil"/>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65">
    <w:name w:val="List Table 6 Colorful - Accent 65"/>
    <w:basedOn w:val="TableNormal"/>
    <w:next w:val="ListTable6Colorful-Accent6"/>
    <w:uiPriority w:val="51"/>
    <w:rPr>
      <w:rFonts w:cs="Arial"/>
      <w:color w:val="E36C0A" w:themeColor="accent6" w:themeShade="BF"/>
      <w:sz w:val="22"/>
      <w:szCs w:val="22"/>
    </w:rPr>
    <w:tblPr>
      <w:tblStyleRowBandSize w:val="1"/>
      <w:tblStyleColBandSize w:val="1"/>
      <w:tblInd w:w="0" w:type="nil"/>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Accent65">
    <w:name w:val="List Table 7 Colorful - Accent 65"/>
    <w:basedOn w:val="TableNormal"/>
    <w:next w:val="ListTable7Colorful-Accent6"/>
    <w:uiPriority w:val="52"/>
    <w:rPr>
      <w:rFonts w:cs="Arial"/>
      <w:color w:val="E36C0A" w:themeColor="accent6" w:themeShade="BF"/>
      <w:sz w:val="22"/>
      <w:szCs w:val="22"/>
    </w:rPr>
    <w:tblPr>
      <w:tblStyleRowBandSize w:val="1"/>
      <w:tblStyleColBandSize w:val="1"/>
      <w:tblInd w:w="0" w:type="nil"/>
    </w:tblPr>
    <w:tblStylePr w:type="firstRow">
      <w:rPr>
        <w:rFonts w:ascii="Times New Roman" w:eastAsia="MS Gothic" w:hAnsi="Times New Roman" w:cs="Times New Roman" w:hint="default"/>
        <w:i/>
        <w:iCs/>
        <w:sz w:val="26"/>
        <w:szCs w:val="26"/>
      </w:rPr>
      <w:tblPr/>
      <w:tcPr>
        <w:tcBorders>
          <w:bottom w:val="single" w:sz="4" w:space="0" w:color="F79646" w:themeColor="accent6"/>
        </w:tcBorders>
        <w:shd w:val="clear" w:color="auto" w:fill="FFFFFF" w:themeFill="background1"/>
      </w:tcPr>
    </w:tblStylePr>
    <w:tblStylePr w:type="lastRow">
      <w:rPr>
        <w:rFonts w:ascii="Times New Roman" w:eastAsia="MS Gothic" w:hAnsi="Times New Roman" w:cs="Times New Roman" w:hint="default"/>
        <w:i/>
        <w:iCs/>
        <w:sz w:val="26"/>
        <w:szCs w:val="26"/>
      </w:rPr>
      <w:tblPr/>
      <w:tcPr>
        <w:tcBorders>
          <w:top w:val="single" w:sz="4" w:space="0" w:color="F79646" w:themeColor="accent6"/>
        </w:tcBorders>
        <w:shd w:val="clear" w:color="auto" w:fill="FFFFFF" w:themeFill="background1"/>
      </w:tcPr>
    </w:tblStylePr>
    <w:tblStylePr w:type="firstCol">
      <w:pPr>
        <w:jc w:val="right"/>
      </w:pPr>
      <w:rPr>
        <w:rFonts w:ascii="Times New Roman" w:eastAsia="MS Gothic" w:hAnsi="Times New Roman" w:cs="Times New Roman" w:hint="default"/>
        <w:i/>
        <w:iCs/>
        <w:sz w:val="26"/>
        <w:szCs w:val="26"/>
      </w:rPr>
      <w:tblPr/>
      <w:tcPr>
        <w:tcBorders>
          <w:right w:val="single" w:sz="4" w:space="0" w:color="F79646" w:themeColor="accent6"/>
        </w:tcBorders>
        <w:shd w:val="clear" w:color="auto" w:fill="FFFFFF" w:themeFill="background1"/>
      </w:tcPr>
    </w:tblStylePr>
    <w:tblStylePr w:type="lastCol">
      <w:rPr>
        <w:rFonts w:ascii="Times New Roman" w:eastAsia="MS Gothic" w:hAnsi="Times New Roman" w:cs="Times New Roman" w:hint="default"/>
        <w:i/>
        <w:iCs/>
        <w:sz w:val="26"/>
        <w:szCs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imple112">
    <w:name w:val="Table Simple 112"/>
    <w:basedOn w:val="TableNormal"/>
    <w:uiPriority w:val="99"/>
    <w:semiHidden/>
    <w:pPr>
      <w:spacing w:after="160" w:line="254" w:lineRule="auto"/>
    </w:pPr>
    <w:rPr>
      <w:rFonts w:ascii="Calibri" w:eastAsia="Calibri" w:hAnsi="Calibri"/>
      <w:sz w:val="22"/>
      <w:szCs w:val="22"/>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uiPriority w:val="99"/>
    <w:semiHidden/>
    <w:pPr>
      <w:spacing w:after="160" w:line="254" w:lineRule="auto"/>
    </w:pPr>
    <w:rPr>
      <w:rFonts w:ascii="Calibri" w:eastAsia="Calibri" w:hAnsi="Calibri"/>
      <w:sz w:val="22"/>
      <w:szCs w:val="22"/>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uiPriority w:val="99"/>
    <w:semiHidden/>
    <w:pPr>
      <w:spacing w:after="160" w:line="254" w:lineRule="auto"/>
    </w:pPr>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2">
    <w:name w:val="Table Classic 112"/>
    <w:basedOn w:val="TableNormal"/>
    <w:uiPriority w:val="99"/>
    <w:semiHidden/>
    <w:pPr>
      <w:spacing w:after="160" w:line="254" w:lineRule="auto"/>
    </w:pPr>
    <w:rPr>
      <w:rFonts w:ascii="Calibri" w:eastAsia="Calibri" w:hAnsi="Calibri"/>
      <w:sz w:val="22"/>
      <w:szCs w:val="22"/>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uiPriority w:val="99"/>
    <w:semiHidden/>
    <w:pPr>
      <w:spacing w:after="160" w:line="254" w:lineRule="auto"/>
    </w:pPr>
    <w:rPr>
      <w:rFonts w:ascii="Calibri" w:eastAsia="Calibri" w:hAnsi="Calibri"/>
      <w:sz w:val="22"/>
      <w:szCs w:val="22"/>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uiPriority w:val="99"/>
    <w:semiHidden/>
    <w:pPr>
      <w:spacing w:after="160" w:line="254" w:lineRule="auto"/>
    </w:pPr>
    <w:rPr>
      <w:rFonts w:ascii="Calibri" w:eastAsia="Calibri" w:hAnsi="Calibri"/>
      <w:color w:val="000080"/>
      <w:sz w:val="22"/>
      <w:szCs w:val="22"/>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uiPriority w:val="99"/>
    <w:semiHidden/>
    <w:pPr>
      <w:spacing w:after="160" w:line="254" w:lineRule="auto"/>
    </w:pPr>
    <w:rPr>
      <w:rFonts w:ascii="Calibri" w:eastAsia="Calibri" w:hAnsi="Calibri"/>
      <w:sz w:val="22"/>
      <w:szCs w:val="22"/>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uiPriority w:val="99"/>
    <w:semiHidden/>
    <w:pPr>
      <w:spacing w:after="160" w:line="254" w:lineRule="auto"/>
    </w:pPr>
    <w:rPr>
      <w:rFonts w:ascii="Calibri" w:eastAsia="Calibri" w:hAnsi="Calibri"/>
      <w:color w:val="FFFFFF"/>
      <w:sz w:val="22"/>
      <w:szCs w:val="22"/>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uiPriority w:val="99"/>
    <w:semiHidden/>
    <w:pPr>
      <w:spacing w:after="160" w:line="254" w:lineRule="auto"/>
    </w:pPr>
    <w:rPr>
      <w:rFonts w:ascii="Calibri" w:eastAsia="Calibri" w:hAnsi="Calibri"/>
      <w:sz w:val="22"/>
      <w:szCs w:val="22"/>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uiPriority w:val="99"/>
    <w:semiHidden/>
    <w:pPr>
      <w:spacing w:after="160" w:line="254" w:lineRule="auto"/>
    </w:pPr>
    <w:rPr>
      <w:rFonts w:ascii="Calibri" w:eastAsia="Calibri" w:hAnsi="Calibri"/>
      <w:sz w:val="22"/>
      <w:szCs w:val="22"/>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uiPriority w:val="99"/>
    <w:semiHidden/>
    <w:pPr>
      <w:spacing w:after="160" w:line="254" w:lineRule="auto"/>
    </w:pPr>
    <w:rPr>
      <w:rFonts w:ascii="Calibri" w:eastAsia="Calibri" w:hAnsi="Calibri"/>
      <w:b/>
      <w:bCs/>
      <w:sz w:val="22"/>
      <w:szCs w:val="22"/>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uiPriority w:val="99"/>
    <w:semiHidden/>
    <w:pPr>
      <w:spacing w:after="160" w:line="254" w:lineRule="auto"/>
    </w:pPr>
    <w:rPr>
      <w:rFonts w:ascii="Calibri" w:eastAsia="Calibri" w:hAnsi="Calibri"/>
      <w:b/>
      <w:bCs/>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uiPriority w:val="99"/>
    <w:semiHidden/>
    <w:pPr>
      <w:spacing w:after="160" w:line="254" w:lineRule="auto"/>
    </w:pPr>
    <w:rPr>
      <w:rFonts w:ascii="Calibri" w:eastAsia="Calibri" w:hAnsi="Calibri"/>
      <w:b/>
      <w:bCs/>
      <w:sz w:val="22"/>
      <w:szCs w:val="22"/>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uiPriority w:val="99"/>
    <w:semiHidden/>
    <w:pPr>
      <w:spacing w:after="160" w:line="254" w:lineRule="auto"/>
    </w:pPr>
    <w:rPr>
      <w:rFonts w:ascii="Calibri" w:eastAsia="Calibri" w:hAnsi="Calibri"/>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uiPriority w:val="99"/>
    <w:semiHidden/>
    <w:pPr>
      <w:spacing w:after="160" w:line="254" w:lineRule="auto"/>
    </w:pPr>
    <w:rPr>
      <w:rFonts w:ascii="Calibri" w:eastAsia="Calibri" w:hAnsi="Calibri"/>
      <w:sz w:val="22"/>
      <w:szCs w:val="22"/>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2">
    <w:name w:val="Table Grid 112"/>
    <w:basedOn w:val="TableNormal"/>
    <w:uiPriority w:val="99"/>
    <w:semiHidden/>
    <w:pPr>
      <w:spacing w:after="160" w:line="254" w:lineRule="auto"/>
    </w:pPr>
    <w:rPr>
      <w:rFonts w:ascii="Calibri" w:eastAsia="Calibri" w:hAnsi="Calibri"/>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
    <w:name w:val="Table Grid 212"/>
    <w:basedOn w:val="TableNormal"/>
    <w:uiPriority w:val="99"/>
    <w:semiHidden/>
    <w:pPr>
      <w:spacing w:after="160" w:line="254" w:lineRule="auto"/>
    </w:pPr>
    <w:rPr>
      <w:rFonts w:ascii="Calibri" w:eastAsia="Calibri" w:hAnsi="Calibri"/>
      <w:sz w:val="22"/>
      <w:szCs w:val="22"/>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uiPriority w:val="99"/>
    <w:semiHidden/>
    <w:pPr>
      <w:spacing w:after="160" w:line="254" w:lineRule="auto"/>
    </w:pPr>
    <w:rPr>
      <w:rFonts w:ascii="Calibri" w:eastAsia="Calibri" w:hAnsi="Calibri"/>
      <w:sz w:val="22"/>
      <w:szCs w:val="22"/>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uiPriority w:val="99"/>
    <w:semiHidden/>
    <w:pPr>
      <w:spacing w:after="160" w:line="254" w:lineRule="auto"/>
    </w:pPr>
    <w:rPr>
      <w:rFonts w:ascii="Calibri" w:eastAsia="Calibri" w:hAnsi="Calibri"/>
      <w:sz w:val="22"/>
      <w:szCs w:val="22"/>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uiPriority w:val="99"/>
    <w:semiHidden/>
    <w:pPr>
      <w:spacing w:after="160" w:line="254" w:lineRule="auto"/>
    </w:pPr>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uiPriority w:val="99"/>
    <w:semiHidden/>
    <w:pPr>
      <w:spacing w:after="160" w:line="254" w:lineRule="auto"/>
    </w:pPr>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uiPriority w:val="99"/>
    <w:semiHidden/>
    <w:pPr>
      <w:spacing w:after="160" w:line="254" w:lineRule="auto"/>
    </w:pPr>
    <w:rPr>
      <w:rFonts w:ascii="Calibri" w:eastAsia="Calibri" w:hAnsi="Calibri"/>
      <w:b/>
      <w:bCs/>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uiPriority w:val="99"/>
    <w:semiHidden/>
    <w:pPr>
      <w:spacing w:after="160" w:line="254" w:lineRule="auto"/>
    </w:pPr>
    <w:rPr>
      <w:rFonts w:ascii="Calibri" w:eastAsia="Calibri" w:hAnsi="Calibri"/>
      <w:sz w:val="22"/>
      <w:szCs w:val="22"/>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uiPriority w:val="99"/>
    <w:semiHidden/>
    <w:pPr>
      <w:spacing w:after="160" w:line="254" w:lineRule="auto"/>
    </w:pPr>
    <w:rPr>
      <w:rFonts w:ascii="Calibri" w:eastAsia="Calibri" w:hAnsi="Calibri"/>
      <w:sz w:val="22"/>
      <w:szCs w:val="22"/>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uiPriority w:val="99"/>
    <w:semiHidden/>
    <w:pPr>
      <w:spacing w:after="160" w:line="254" w:lineRule="auto"/>
    </w:pPr>
    <w:rPr>
      <w:rFonts w:ascii="Calibri" w:eastAsia="Calibri" w:hAnsi="Calibri"/>
      <w:sz w:val="22"/>
      <w:szCs w:val="22"/>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uiPriority w:val="99"/>
    <w:semiHidden/>
    <w:pPr>
      <w:spacing w:after="160" w:line="254" w:lineRule="auto"/>
    </w:pPr>
    <w:rPr>
      <w:rFonts w:ascii="Calibri" w:eastAsia="Calibri" w:hAnsi="Calibri"/>
      <w:sz w:val="22"/>
      <w:szCs w:val="22"/>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uiPriority w:val="99"/>
    <w:semiHidden/>
    <w:pPr>
      <w:spacing w:after="160" w:line="254" w:lineRule="auto"/>
    </w:pPr>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uiPriority w:val="99"/>
    <w:semiHidden/>
    <w:pPr>
      <w:spacing w:after="160" w:line="254" w:lineRule="auto"/>
    </w:pPr>
    <w:rPr>
      <w:rFonts w:ascii="Calibri" w:eastAsia="Calibri" w:hAnsi="Calibri"/>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uiPriority w:val="99"/>
    <w:semiHidden/>
    <w:pPr>
      <w:spacing w:after="160" w:line="254" w:lineRule="auto"/>
    </w:pPr>
    <w:rPr>
      <w:rFonts w:ascii="Calibri" w:eastAsia="Calibri" w:hAnsi="Calibri"/>
      <w:sz w:val="22"/>
      <w:szCs w:val="22"/>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uiPriority w:val="99"/>
    <w:semiHidden/>
    <w:pPr>
      <w:spacing w:after="160" w:line="254" w:lineRule="auto"/>
    </w:pPr>
    <w:rPr>
      <w:rFonts w:ascii="Calibri" w:eastAsia="Calibri" w:hAnsi="Calibri"/>
      <w:sz w:val="22"/>
      <w:szCs w:val="22"/>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uiPriority w:val="99"/>
    <w:semiHidden/>
    <w:pPr>
      <w:spacing w:after="160" w:line="254" w:lineRule="auto"/>
    </w:pPr>
    <w:rPr>
      <w:rFonts w:ascii="Calibri" w:eastAsia="Calibri" w:hAnsi="Calibri"/>
      <w:sz w:val="22"/>
      <w:szCs w:val="22"/>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2">
    <w:name w:val="Table 3D effects 112"/>
    <w:basedOn w:val="TableNormal"/>
    <w:uiPriority w:val="99"/>
    <w:semiHidden/>
    <w:pPr>
      <w:spacing w:after="160" w:line="254" w:lineRule="auto"/>
    </w:pPr>
    <w:rPr>
      <w:rFonts w:ascii="Calibri" w:eastAsia="Calibri" w:hAnsi="Calibri"/>
      <w:sz w:val="22"/>
      <w:szCs w:val="22"/>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uiPriority w:val="99"/>
    <w:semiHidden/>
    <w:pPr>
      <w:spacing w:after="160" w:line="254" w:lineRule="auto"/>
    </w:pPr>
    <w:rPr>
      <w:rFonts w:ascii="Calibri" w:eastAsia="Calibri" w:hAnsi="Calibri"/>
      <w:sz w:val="22"/>
      <w:szCs w:val="22"/>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uiPriority w:val="99"/>
    <w:semiHidden/>
    <w:pPr>
      <w:spacing w:after="160" w:line="254" w:lineRule="auto"/>
    </w:pPr>
    <w:rPr>
      <w:rFonts w:ascii="Calibri" w:eastAsia="Calibri" w:hAnsi="Calibri"/>
      <w:sz w:val="22"/>
      <w:szCs w:val="22"/>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2">
    <w:name w:val="Table Contemporary12"/>
    <w:basedOn w:val="TableNormal"/>
    <w:uiPriority w:val="99"/>
    <w:semiHidden/>
    <w:pPr>
      <w:spacing w:after="160" w:line="254" w:lineRule="auto"/>
    </w:pPr>
    <w:rPr>
      <w:rFonts w:ascii="Calibri" w:eastAsia="Calibri" w:hAnsi="Calibri"/>
      <w:sz w:val="22"/>
      <w:szCs w:val="22"/>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uiPriority w:val="99"/>
    <w:semiHidden/>
    <w:pPr>
      <w:spacing w:after="160" w:line="254" w:lineRule="auto"/>
    </w:pPr>
    <w:rPr>
      <w:rFonts w:ascii="Calibri" w:eastAsia="Calibri" w:hAnsi="Calibri"/>
      <w:sz w:val="22"/>
      <w:szCs w:val="22"/>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2">
    <w:name w:val="Table Professional12"/>
    <w:basedOn w:val="TableNormal"/>
    <w:uiPriority w:val="99"/>
    <w:semiHidden/>
    <w:pPr>
      <w:spacing w:after="160" w:line="254" w:lineRule="auto"/>
    </w:pPr>
    <w:rPr>
      <w:rFonts w:ascii="Calibri" w:eastAsia="Calibri" w:hAnsi="Calibri"/>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uiPriority w:val="99"/>
    <w:semiHidden/>
    <w:pPr>
      <w:spacing w:after="160" w:line="254" w:lineRule="auto"/>
    </w:pPr>
    <w:rPr>
      <w:rFonts w:ascii="Calibri" w:eastAsia="Calibri" w:hAnsi="Calibri"/>
      <w:sz w:val="22"/>
      <w:szCs w:val="22"/>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uiPriority w:val="99"/>
    <w:semiHidden/>
    <w:pPr>
      <w:spacing w:after="160" w:line="254" w:lineRule="auto"/>
    </w:pPr>
    <w:rPr>
      <w:rFonts w:ascii="Calibri" w:eastAsia="Calibri" w:hAnsi="Calibri"/>
      <w:sz w:val="22"/>
      <w:szCs w:val="22"/>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12">
    <w:name w:val="Table Web 112"/>
    <w:basedOn w:val="TableNormal"/>
    <w:uiPriority w:val="99"/>
    <w:semiHidden/>
    <w:pPr>
      <w:spacing w:after="160" w:line="254" w:lineRule="auto"/>
    </w:pPr>
    <w:rPr>
      <w:rFonts w:ascii="Calibri" w:eastAsia="Calibri" w:hAnsi="Calibri"/>
      <w:sz w:val="22"/>
      <w:szCs w:val="22"/>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uiPriority w:val="99"/>
    <w:semiHidden/>
    <w:pPr>
      <w:spacing w:after="160" w:line="254" w:lineRule="auto"/>
    </w:pPr>
    <w:rPr>
      <w:rFonts w:ascii="Calibri" w:eastAsia="Calibri" w:hAnsi="Calibri"/>
      <w:sz w:val="22"/>
      <w:szCs w:val="22"/>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uiPriority w:val="99"/>
    <w:semiHidden/>
    <w:pPr>
      <w:spacing w:after="160" w:line="254" w:lineRule="auto"/>
    </w:pPr>
    <w:rPr>
      <w:rFonts w:ascii="Calibri" w:eastAsia="Calibri" w:hAnsi="Calibri"/>
      <w:sz w:val="22"/>
      <w:szCs w:val="22"/>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Theme12">
    <w:name w:val="Table Theme12"/>
    <w:basedOn w:val="TableNormal"/>
    <w:uiPriority w:val="99"/>
    <w:semiHidden/>
    <w:pPr>
      <w:spacing w:after="160" w:line="254" w:lineRule="auto"/>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semiHidden/>
    <w:rPr>
      <w:rFonts w:ascii="Calibri" w:eastAsia="Calibri" w:hAnsi="Calibri"/>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
    <w:name w:val="Light List12"/>
    <w:basedOn w:val="TableNormal"/>
    <w:uiPriority w:val="61"/>
    <w:semiHidden/>
    <w:rPr>
      <w:rFonts w:ascii="Calibri" w:eastAsia="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2">
    <w:name w:val="Light Grid12"/>
    <w:basedOn w:val="TableNormal"/>
    <w:uiPriority w:val="62"/>
    <w:semiHidden/>
    <w:rPr>
      <w:rFonts w:ascii="Calibri" w:eastAsia="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2">
    <w:name w:val="Medium Shading 112"/>
    <w:basedOn w:val="TableNormal"/>
    <w:uiPriority w:val="63"/>
    <w:semiHidden/>
    <w:rPr>
      <w:rFonts w:ascii="Calibri" w:eastAsia="Calibri" w:hAnsi="Calibri"/>
      <w:sz w:val="22"/>
      <w:szCs w:val="22"/>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100" w:beforeAutospacing="1" w:afterLines="0" w:after="100" w:afterAutospacing="1"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2">
    <w:name w:val="Medium Shading 212"/>
    <w:basedOn w:val="TableNormal"/>
    <w:uiPriority w:val="64"/>
    <w:semiHidden/>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2">
    <w:name w:val="Medium List 112"/>
    <w:basedOn w:val="TableNormal"/>
    <w:uiPriority w:val="65"/>
    <w:semiHidden/>
    <w:rPr>
      <w:rFonts w:ascii="Calibri" w:eastAsia="Calibri" w:hAnsi="Calibri"/>
      <w:color w:val="000000"/>
      <w:sz w:val="22"/>
      <w:szCs w:val="22"/>
    </w:rPr>
    <w:tblPr>
      <w:tblStyleRowBandSize w:val="1"/>
      <w:tblStyleColBandSize w:val="1"/>
      <w:tblInd w:w="0" w:type="nil"/>
      <w:tblBorders>
        <w:top w:val="single" w:sz="8" w:space="0" w:color="000000"/>
        <w:bottom w:val="single" w:sz="8" w:space="0" w:color="000000"/>
      </w:tblBorders>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12">
    <w:name w:val="Medium List 212"/>
    <w:basedOn w:val="TableNormal"/>
    <w:uiPriority w:val="66"/>
    <w:semiHidden/>
    <w:rPr>
      <w:rFonts w:ascii="Calibri Light" w:hAnsi="Calibri Light"/>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212">
    <w:name w:val="Medium Grid 212"/>
    <w:basedOn w:val="TableNormal"/>
    <w:uiPriority w:val="68"/>
    <w:semiHidden/>
    <w:rPr>
      <w:rFonts w:ascii="Calibri Light" w:hAnsi="Calibri Light"/>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2">
    <w:name w:val="Medium Grid 312"/>
    <w:basedOn w:val="TableNormal"/>
    <w:uiPriority w:val="69"/>
    <w:semiHidden/>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DarkList12">
    <w:name w:val="Dark List12"/>
    <w:basedOn w:val="TableNormal"/>
    <w:uiPriority w:val="70"/>
    <w:semiHidden/>
    <w:rPr>
      <w:rFonts w:ascii="Calibri" w:eastAsia="Calibri" w:hAnsi="Calibri"/>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olorfulShading12">
    <w:name w:val="Colorful Shading12"/>
    <w:basedOn w:val="TableNormal"/>
    <w:uiPriority w:val="71"/>
    <w:semiHidden/>
    <w:rPr>
      <w:rFonts w:ascii="Calibri" w:eastAsia="Calibri" w:hAnsi="Calibri"/>
      <w:color w:val="000000"/>
      <w:sz w:val="22"/>
      <w:szCs w:val="22"/>
    </w:rPr>
    <w:tblPr>
      <w:tblStyleRowBandSize w:val="1"/>
      <w:tblStyleColBandSize w:val="1"/>
      <w:tblInd w:w="0" w:type="nil"/>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12">
    <w:name w:val="Colorful List12"/>
    <w:basedOn w:val="TableNormal"/>
    <w:uiPriority w:val="72"/>
    <w:semiHidden/>
    <w:rPr>
      <w:rFonts w:ascii="Calibri" w:eastAsia="Calibri" w:hAnsi="Calibri"/>
      <w:color w:val="000000"/>
      <w:sz w:val="22"/>
      <w:szCs w:val="22"/>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12">
    <w:name w:val="Colorful Grid12"/>
    <w:basedOn w:val="TableNormal"/>
    <w:uiPriority w:val="73"/>
    <w:semiHidden/>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Shading-Accent112">
    <w:name w:val="Light Shading - Accent 112"/>
    <w:basedOn w:val="TableNormal"/>
    <w:uiPriority w:val="60"/>
    <w:semiHidden/>
    <w:rPr>
      <w:rFonts w:ascii="Calibri" w:eastAsia="Calibri" w:hAnsi="Calibri"/>
      <w:color w:val="2F5496"/>
      <w:sz w:val="22"/>
      <w:szCs w:val="22"/>
    </w:rPr>
    <w:tblPr>
      <w:tblStyleRowBandSize w:val="1"/>
      <w:tblStyleColBandSize w:val="1"/>
      <w:tblInd w:w="0" w:type="nil"/>
      <w:tblBorders>
        <w:top w:val="single" w:sz="8" w:space="0" w:color="4472C4"/>
        <w:bottom w:val="single" w:sz="8" w:space="0" w:color="4472C4"/>
      </w:tblBorders>
    </w:tblPr>
    <w:tblStylePr w:type="firstRow">
      <w:pPr>
        <w:spacing w:beforeLines="0" w:before="100" w:beforeAutospacing="1" w:afterLines="0" w:after="100" w:afterAutospacing="1"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Accent112">
    <w:name w:val="Light List - Accent 112"/>
    <w:basedOn w:val="TableNormal"/>
    <w:uiPriority w:val="61"/>
    <w:semiHidden/>
    <w:rPr>
      <w:rFonts w:ascii="Calibri" w:eastAsia="Calibri" w:hAnsi="Calibri"/>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100" w:beforeAutospacing="1" w:afterLines="0" w:after="100" w:afterAutospacing="1" w:line="240" w:lineRule="auto"/>
      </w:pPr>
      <w:rPr>
        <w:b/>
        <w:bCs/>
        <w:color w:val="FFFFFF"/>
      </w:rPr>
      <w:tblPr/>
      <w:tcPr>
        <w:shd w:val="clear" w:color="auto" w:fill="4472C4"/>
      </w:tcPr>
    </w:tblStylePr>
    <w:tblStylePr w:type="lastRow">
      <w:pPr>
        <w:spacing w:beforeLines="0" w:before="100" w:beforeAutospacing="1" w:afterLines="0" w:after="100" w:afterAutospacing="1"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Grid-Accent112">
    <w:name w:val="Light Grid - Accent 112"/>
    <w:basedOn w:val="TableNormal"/>
    <w:uiPriority w:val="62"/>
    <w:semiHidden/>
    <w:rPr>
      <w:rFonts w:ascii="Calibri" w:eastAsia="Calibri" w:hAnsi="Calibri"/>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Accent112">
    <w:name w:val="Medium Shading 1 - Accent 112"/>
    <w:basedOn w:val="TableNormal"/>
    <w:uiPriority w:val="63"/>
    <w:semiHidden/>
    <w:rPr>
      <w:rFonts w:ascii="Calibri" w:eastAsia="Calibri" w:hAnsi="Calibri"/>
      <w:sz w:val="22"/>
      <w:szCs w:val="22"/>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2-Accent112">
    <w:name w:val="Medium Shading 2 - Accent 112"/>
    <w:basedOn w:val="TableNormal"/>
    <w:uiPriority w:val="64"/>
    <w:semiHidden/>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2">
    <w:name w:val="Medium List 1 - Accent 112"/>
    <w:basedOn w:val="TableNormal"/>
    <w:uiPriority w:val="65"/>
    <w:semiHidden/>
    <w:rPr>
      <w:rFonts w:ascii="Calibri" w:eastAsia="Calibri" w:hAnsi="Calibri"/>
      <w:color w:val="000000"/>
      <w:sz w:val="22"/>
      <w:szCs w:val="22"/>
    </w:rPr>
    <w:tblPr>
      <w:tblStyleRowBandSize w:val="1"/>
      <w:tblStyleColBandSize w:val="1"/>
      <w:tblInd w:w="0" w:type="nil"/>
      <w:tblBorders>
        <w:top w:val="single" w:sz="8" w:space="0" w:color="4472C4"/>
        <w:bottom w:val="single" w:sz="8" w:space="0" w:color="4472C4"/>
      </w:tblBorders>
    </w:tblPr>
    <w:tblStylePr w:type="firstRow">
      <w:rPr>
        <w:rFonts w:ascii="Calibri Light" w:eastAsia="Times New Roman" w:hAnsi="Calibri Light" w:cs="Times New Roman" w:hint="default"/>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2-Accent112">
    <w:name w:val="Medium List 2 - Accent 112"/>
    <w:basedOn w:val="TableNormal"/>
    <w:uiPriority w:val="66"/>
    <w:semiHidden/>
    <w:rPr>
      <w:rFonts w:ascii="Calibri Light" w:hAnsi="Calibri Light"/>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2-Accent112">
    <w:name w:val="Medium Grid 2 - Accent 112"/>
    <w:basedOn w:val="TableNormal"/>
    <w:uiPriority w:val="68"/>
    <w:semiHidden/>
    <w:rPr>
      <w:rFonts w:ascii="Calibri Light" w:hAnsi="Calibri Light"/>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3-Accent112">
    <w:name w:val="Medium Grid 3 - Accent 112"/>
    <w:basedOn w:val="TableNormal"/>
    <w:uiPriority w:val="69"/>
    <w:semiHidden/>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DarkList-Accent112">
    <w:name w:val="Dark List - Accent 112"/>
    <w:basedOn w:val="TableNormal"/>
    <w:uiPriority w:val="70"/>
    <w:semiHidden/>
    <w:rPr>
      <w:rFonts w:ascii="Calibri" w:eastAsia="Calibri" w:hAnsi="Calibri"/>
      <w:color w:val="FFFFFF"/>
      <w:sz w:val="22"/>
      <w:szCs w:val="22"/>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ColorfulShading-Accent112">
    <w:name w:val="Colorful Shading - Accent 112"/>
    <w:basedOn w:val="TableNormal"/>
    <w:uiPriority w:val="71"/>
    <w:semiHidden/>
    <w:rPr>
      <w:rFonts w:ascii="Calibri" w:eastAsia="Calibri" w:hAnsi="Calibri"/>
      <w:color w:val="000000"/>
      <w:sz w:val="22"/>
      <w:szCs w:val="22"/>
    </w:rPr>
    <w:tblPr>
      <w:tblStyleRowBandSize w:val="1"/>
      <w:tblStyleColBandSize w:val="1"/>
      <w:tblInd w:w="0" w:type="nil"/>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List-Accent112">
    <w:name w:val="Colorful List - Accent 112"/>
    <w:basedOn w:val="TableNormal"/>
    <w:uiPriority w:val="72"/>
    <w:semiHidden/>
    <w:rPr>
      <w:rFonts w:ascii="Calibri" w:eastAsia="Calibri" w:hAnsi="Calibri"/>
      <w:color w:val="000000"/>
      <w:sz w:val="22"/>
      <w:szCs w:val="22"/>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Grid-Accent112">
    <w:name w:val="Colorful Grid - Accent 112"/>
    <w:basedOn w:val="TableNormal"/>
    <w:uiPriority w:val="73"/>
    <w:semiHidden/>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LightShading-Accent212">
    <w:name w:val="Light Shading - Accent 212"/>
    <w:basedOn w:val="TableNormal"/>
    <w:uiPriority w:val="60"/>
    <w:semiHidden/>
    <w:rPr>
      <w:rFonts w:ascii="Calibri" w:eastAsia="Calibri" w:hAnsi="Calibri"/>
      <w:color w:val="C45911"/>
      <w:sz w:val="22"/>
      <w:szCs w:val="22"/>
    </w:rPr>
    <w:tblPr>
      <w:tblStyleRowBandSize w:val="1"/>
      <w:tblStyleColBandSize w:val="1"/>
      <w:tblInd w:w="0" w:type="nil"/>
      <w:tblBorders>
        <w:top w:val="single" w:sz="8" w:space="0" w:color="ED7D31"/>
        <w:bottom w:val="single" w:sz="8" w:space="0" w:color="ED7D31"/>
      </w:tblBorders>
    </w:tblPr>
    <w:tblStylePr w:type="firstRow">
      <w:pPr>
        <w:spacing w:beforeLines="0" w:before="100" w:beforeAutospacing="1" w:afterLines="0" w:after="100" w:afterAutospacing="1"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List-Accent212">
    <w:name w:val="Light List - Accent 212"/>
    <w:basedOn w:val="TableNormal"/>
    <w:uiPriority w:val="61"/>
    <w:semiHidden/>
    <w:rPr>
      <w:rFonts w:ascii="Calibri" w:eastAsia="Calibri" w:hAnsi="Calibri"/>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pPr>
        <w:spacing w:beforeLines="0" w:before="100" w:beforeAutospacing="1" w:afterLines="0" w:after="100" w:afterAutospacing="1" w:line="240" w:lineRule="auto"/>
      </w:pPr>
      <w:rPr>
        <w:b/>
        <w:bCs/>
        <w:color w:val="FFFFFF"/>
      </w:rPr>
      <w:tblPr/>
      <w:tcPr>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Grid-Accent212">
    <w:name w:val="Light Grid - Accent 212"/>
    <w:basedOn w:val="TableNormal"/>
    <w:uiPriority w:val="62"/>
    <w:semiHidden/>
    <w:rPr>
      <w:rFonts w:ascii="Calibri" w:eastAsia="Calibri" w:hAnsi="Calibri"/>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12">
    <w:name w:val="Medium Shading 1 - Accent 212"/>
    <w:basedOn w:val="TableNormal"/>
    <w:uiPriority w:val="63"/>
    <w:semiHidden/>
    <w:rPr>
      <w:rFonts w:ascii="Calibri" w:eastAsia="Calibri" w:hAnsi="Calibri"/>
      <w:sz w:val="22"/>
      <w:szCs w:val="22"/>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2-Accent212">
    <w:name w:val="Medium Shading 2 - Accent 212"/>
    <w:basedOn w:val="TableNormal"/>
    <w:uiPriority w:val="64"/>
    <w:semiHidden/>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12">
    <w:name w:val="Medium List 1 - Accent 212"/>
    <w:basedOn w:val="TableNormal"/>
    <w:uiPriority w:val="65"/>
    <w:semiHidden/>
    <w:rPr>
      <w:rFonts w:ascii="Calibri" w:eastAsia="Calibri" w:hAnsi="Calibri"/>
      <w:color w:val="000000"/>
      <w:sz w:val="22"/>
      <w:szCs w:val="22"/>
    </w:rPr>
    <w:tblPr>
      <w:tblStyleRowBandSize w:val="1"/>
      <w:tblStyleColBandSize w:val="1"/>
      <w:tblInd w:w="0" w:type="nil"/>
      <w:tblBorders>
        <w:top w:val="single" w:sz="8" w:space="0" w:color="ED7D31"/>
        <w:bottom w:val="single" w:sz="8" w:space="0" w:color="ED7D31"/>
      </w:tblBorders>
    </w:tblPr>
    <w:tblStylePr w:type="firstRow">
      <w:rPr>
        <w:rFonts w:ascii="Calibri Light" w:eastAsia="Times New Roman" w:hAnsi="Calibri Light" w:cs="Times New Roman" w:hint="default"/>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2-Accent212">
    <w:name w:val="Medium List 2 - Accent 212"/>
    <w:basedOn w:val="TableNormal"/>
    <w:uiPriority w:val="66"/>
    <w:semiHidden/>
    <w:rPr>
      <w:rFonts w:ascii="Calibri Light" w:hAnsi="Calibri Light"/>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2-Accent212">
    <w:name w:val="Medium Grid 2 - Accent 212"/>
    <w:basedOn w:val="TableNormal"/>
    <w:uiPriority w:val="68"/>
    <w:semiHidden/>
    <w:rPr>
      <w:rFonts w:ascii="Calibri Light" w:hAnsi="Calibri Light"/>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2">
    <w:name w:val="Medium Grid 3 - Accent 212"/>
    <w:basedOn w:val="TableNormal"/>
    <w:uiPriority w:val="69"/>
    <w:semiHidden/>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DarkList-Accent212">
    <w:name w:val="Dark List - Accent 212"/>
    <w:basedOn w:val="TableNormal"/>
    <w:uiPriority w:val="70"/>
    <w:semiHidden/>
    <w:rPr>
      <w:rFonts w:ascii="Calibri" w:eastAsia="Calibri" w:hAnsi="Calibri"/>
      <w:color w:val="FFFFFF"/>
      <w:sz w:val="22"/>
      <w:szCs w:val="22"/>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ColorfulShading-Accent212">
    <w:name w:val="Colorful Shading - Accent 212"/>
    <w:basedOn w:val="TableNormal"/>
    <w:uiPriority w:val="71"/>
    <w:semiHidden/>
    <w:rPr>
      <w:rFonts w:ascii="Calibri" w:eastAsia="Calibri" w:hAnsi="Calibri"/>
      <w:color w:val="000000"/>
      <w:sz w:val="22"/>
      <w:szCs w:val="22"/>
    </w:rPr>
    <w:tblPr>
      <w:tblStyleRowBandSize w:val="1"/>
      <w:tblStyleColBandSize w:val="1"/>
      <w:tblInd w:w="0" w:type="nil"/>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List-Accent212">
    <w:name w:val="Colorful List - Accent 212"/>
    <w:basedOn w:val="TableNormal"/>
    <w:uiPriority w:val="72"/>
    <w:semiHidden/>
    <w:rPr>
      <w:rFonts w:ascii="Calibri" w:eastAsia="Calibri" w:hAnsi="Calibri"/>
      <w:color w:val="000000"/>
      <w:sz w:val="22"/>
      <w:szCs w:val="22"/>
    </w:rPr>
    <w:tblPr>
      <w:tblStyleRowBandSize w:val="1"/>
      <w:tblStyleColBandSize w:val="1"/>
      <w:tblInd w:w="0" w:type="nil"/>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Grid-Accent212">
    <w:name w:val="Colorful Grid - Accent 212"/>
    <w:basedOn w:val="TableNormal"/>
    <w:uiPriority w:val="73"/>
    <w:semiHidden/>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LightShading-Accent312">
    <w:name w:val="Light Shading - Accent 312"/>
    <w:basedOn w:val="TableNormal"/>
    <w:uiPriority w:val="60"/>
    <w:semiHidden/>
    <w:rPr>
      <w:rFonts w:ascii="Calibri" w:eastAsia="Calibri" w:hAnsi="Calibri"/>
      <w:color w:val="7B7B7B"/>
      <w:sz w:val="22"/>
      <w:szCs w:val="22"/>
    </w:rPr>
    <w:tblPr>
      <w:tblStyleRowBandSize w:val="1"/>
      <w:tblStyleColBandSize w:val="1"/>
      <w:tblInd w:w="0" w:type="nil"/>
      <w:tblBorders>
        <w:top w:val="single" w:sz="8" w:space="0" w:color="A5A5A5"/>
        <w:bottom w:val="single" w:sz="8" w:space="0" w:color="A5A5A5"/>
      </w:tblBorders>
    </w:tblPr>
    <w:tblStylePr w:type="fir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Accent312">
    <w:name w:val="Light List - Accent 312"/>
    <w:basedOn w:val="TableNormal"/>
    <w:uiPriority w:val="61"/>
    <w:semiHidden/>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Grid-Accent312">
    <w:name w:val="Light Grid - Accent 312"/>
    <w:basedOn w:val="TableNormal"/>
    <w:uiPriority w:val="62"/>
    <w:semiHidden/>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12">
    <w:name w:val="Medium Shading 1 - Accent 312"/>
    <w:basedOn w:val="TableNormal"/>
    <w:uiPriority w:val="63"/>
    <w:semiHidden/>
    <w:rPr>
      <w:rFonts w:ascii="Calibri" w:eastAsia="Calibri" w:hAnsi="Calibri"/>
      <w:sz w:val="22"/>
      <w:szCs w:val="22"/>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100" w:beforeAutospacing="1" w:afterLines="0" w:after="100" w:afterAutospacing="1"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Accent312">
    <w:name w:val="Medium Shading 2 - Accent 312"/>
    <w:basedOn w:val="TableNormal"/>
    <w:uiPriority w:val="64"/>
    <w:semiHidden/>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312">
    <w:name w:val="Medium List 1 - Accent 312"/>
    <w:basedOn w:val="TableNormal"/>
    <w:uiPriority w:val="65"/>
    <w:semiHidden/>
    <w:rPr>
      <w:rFonts w:ascii="Calibri" w:eastAsia="Calibri" w:hAnsi="Calibri"/>
      <w:color w:val="000000"/>
      <w:sz w:val="22"/>
      <w:szCs w:val="22"/>
    </w:rPr>
    <w:tblPr>
      <w:tblStyleRowBandSize w:val="1"/>
      <w:tblStyleColBandSize w:val="1"/>
      <w:tblInd w:w="0" w:type="nil"/>
      <w:tblBorders>
        <w:top w:val="single" w:sz="8" w:space="0" w:color="A5A5A5"/>
        <w:bottom w:val="single" w:sz="8" w:space="0" w:color="A5A5A5"/>
      </w:tblBorders>
    </w:tblPr>
    <w:tblStylePr w:type="firstRow">
      <w:rPr>
        <w:rFonts w:ascii="Calibri Light" w:eastAsia="Times New Roman" w:hAnsi="Calibri Light" w:cs="Times New Roman" w:hint="default"/>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2-Accent312">
    <w:name w:val="Medium List 2 - Accent 312"/>
    <w:basedOn w:val="TableNormal"/>
    <w:uiPriority w:val="66"/>
    <w:semiHidden/>
    <w:rPr>
      <w:rFonts w:ascii="Calibri Light" w:hAnsi="Calibri Light"/>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Grid2-Accent312">
    <w:name w:val="Medium Grid 2 - Accent 312"/>
    <w:basedOn w:val="TableNormal"/>
    <w:uiPriority w:val="68"/>
    <w:semiHidden/>
    <w:rPr>
      <w:rFonts w:ascii="Calibri Light" w:hAnsi="Calibri Light"/>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3-Accent312">
    <w:name w:val="Medium Grid 3 - Accent 312"/>
    <w:basedOn w:val="TableNormal"/>
    <w:uiPriority w:val="69"/>
    <w:semiHidden/>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DarkList-Accent312">
    <w:name w:val="Dark List - Accent 312"/>
    <w:basedOn w:val="TableNormal"/>
    <w:uiPriority w:val="70"/>
    <w:semiHidden/>
    <w:rPr>
      <w:rFonts w:ascii="Calibri" w:eastAsia="Calibri" w:hAnsi="Calibri"/>
      <w:color w:val="FFFFFF"/>
      <w:sz w:val="22"/>
      <w:szCs w:val="22"/>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ColorfulShading-Accent312">
    <w:name w:val="Colorful Shading - Accent 312"/>
    <w:basedOn w:val="TableNormal"/>
    <w:uiPriority w:val="71"/>
    <w:semiHidden/>
    <w:rPr>
      <w:rFonts w:ascii="Calibri" w:eastAsia="Calibri" w:hAnsi="Calibri"/>
      <w:color w:val="000000"/>
      <w:sz w:val="22"/>
      <w:szCs w:val="22"/>
    </w:rPr>
    <w:tblPr>
      <w:tblStyleRowBandSize w:val="1"/>
      <w:tblStyleColBandSize w:val="1"/>
      <w:tblInd w:w="0" w:type="nil"/>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List-Accent312">
    <w:name w:val="Colorful List - Accent 312"/>
    <w:basedOn w:val="TableNormal"/>
    <w:uiPriority w:val="72"/>
    <w:semiHidden/>
    <w:rPr>
      <w:rFonts w:ascii="Calibri" w:eastAsia="Calibri" w:hAnsi="Calibri"/>
      <w:color w:val="000000"/>
      <w:sz w:val="22"/>
      <w:szCs w:val="22"/>
    </w:rPr>
    <w:tblPr>
      <w:tblStyleRowBandSize w:val="1"/>
      <w:tblStyleColBandSize w:val="1"/>
      <w:tblInd w:w="0" w:type="nil"/>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Grid-Accent312">
    <w:name w:val="Colorful Grid - Accent 312"/>
    <w:basedOn w:val="TableNormal"/>
    <w:uiPriority w:val="73"/>
    <w:semiHidden/>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LightShading-Accent412">
    <w:name w:val="Light Shading - Accent 412"/>
    <w:basedOn w:val="TableNormal"/>
    <w:uiPriority w:val="60"/>
    <w:semiHidden/>
    <w:rPr>
      <w:rFonts w:ascii="Calibri" w:eastAsia="Calibri" w:hAnsi="Calibri"/>
      <w:color w:val="BF8F00"/>
      <w:sz w:val="22"/>
      <w:szCs w:val="22"/>
    </w:rPr>
    <w:tblPr>
      <w:tblStyleRowBandSize w:val="1"/>
      <w:tblStyleColBandSize w:val="1"/>
      <w:tblInd w:w="0" w:type="nil"/>
      <w:tblBorders>
        <w:top w:val="single" w:sz="8" w:space="0" w:color="FFC000"/>
        <w:bottom w:val="single" w:sz="8" w:space="0" w:color="FFC000"/>
      </w:tblBorders>
    </w:tblPr>
    <w:tblStylePr w:type="firstRow">
      <w:pPr>
        <w:spacing w:beforeLines="0" w:before="100" w:beforeAutospacing="1" w:afterLines="0" w:after="100" w:afterAutospacing="1"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List-Accent412">
    <w:name w:val="Light List - Accent 412"/>
    <w:basedOn w:val="TableNormal"/>
    <w:uiPriority w:val="61"/>
    <w:semiHidden/>
    <w:rPr>
      <w:rFonts w:ascii="Calibri" w:eastAsia="Calibri" w:hAnsi="Calibri"/>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pPr>
        <w:spacing w:beforeLines="0" w:before="100" w:beforeAutospacing="1" w:afterLines="0" w:after="100" w:afterAutospacing="1" w:line="240" w:lineRule="auto"/>
      </w:pPr>
      <w:rPr>
        <w:b/>
        <w:bCs/>
        <w:color w:val="FFFFFF"/>
      </w:rPr>
      <w:tblPr/>
      <w:tcPr>
        <w:shd w:val="clear" w:color="auto" w:fill="FFC000"/>
      </w:tcPr>
    </w:tblStylePr>
    <w:tblStylePr w:type="lastRow">
      <w:pPr>
        <w:spacing w:beforeLines="0" w:before="100" w:beforeAutospacing="1" w:afterLines="0" w:after="100" w:afterAutospacing="1"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12">
    <w:name w:val="Light Grid - Accent 412"/>
    <w:basedOn w:val="TableNormal"/>
    <w:uiPriority w:val="62"/>
    <w:semiHidden/>
    <w:rPr>
      <w:rFonts w:ascii="Calibri" w:eastAsia="Calibri" w:hAnsi="Calibri"/>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Shading1-Accent412">
    <w:name w:val="Medium Shading 1 - Accent 412"/>
    <w:basedOn w:val="TableNormal"/>
    <w:uiPriority w:val="63"/>
    <w:semiHidden/>
    <w:rPr>
      <w:rFonts w:ascii="Calibri" w:eastAsia="Calibri" w:hAnsi="Calibri"/>
      <w:sz w:val="22"/>
      <w:szCs w:val="22"/>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100" w:beforeAutospacing="1" w:afterLines="0" w:after="100" w:afterAutospacing="1"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100" w:beforeAutospacing="1" w:afterLines="0" w:after="100" w:afterAutospacing="1"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12">
    <w:name w:val="Medium Shading 2 - Accent 412"/>
    <w:basedOn w:val="TableNormal"/>
    <w:uiPriority w:val="64"/>
    <w:semiHidden/>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12">
    <w:name w:val="Medium List 1 - Accent 412"/>
    <w:basedOn w:val="TableNormal"/>
    <w:uiPriority w:val="65"/>
    <w:semiHidden/>
    <w:rPr>
      <w:rFonts w:ascii="Calibri" w:eastAsia="Calibri" w:hAnsi="Calibri"/>
      <w:color w:val="000000"/>
      <w:sz w:val="22"/>
      <w:szCs w:val="22"/>
    </w:rPr>
    <w:tblPr>
      <w:tblStyleRowBandSize w:val="1"/>
      <w:tblStyleColBandSize w:val="1"/>
      <w:tblInd w:w="0" w:type="nil"/>
      <w:tblBorders>
        <w:top w:val="single" w:sz="8" w:space="0" w:color="FFC000"/>
        <w:bottom w:val="single" w:sz="8" w:space="0" w:color="FFC000"/>
      </w:tblBorders>
    </w:tblPr>
    <w:tblStylePr w:type="firstRow">
      <w:rPr>
        <w:rFonts w:ascii="Calibri Light" w:eastAsia="Times New Roman" w:hAnsi="Calibri Light" w:cs="Times New Roman" w:hint="default"/>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412">
    <w:name w:val="Medium List 2 - Accent 412"/>
    <w:basedOn w:val="TableNormal"/>
    <w:uiPriority w:val="66"/>
    <w:semiHidden/>
    <w:rPr>
      <w:rFonts w:ascii="Calibri Light" w:hAnsi="Calibri Light"/>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Grid2-Accent412">
    <w:name w:val="Medium Grid 2 - Accent 412"/>
    <w:basedOn w:val="TableNormal"/>
    <w:uiPriority w:val="68"/>
    <w:semiHidden/>
    <w:rPr>
      <w:rFonts w:ascii="Calibri Light" w:hAnsi="Calibri Light"/>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3-Accent412">
    <w:name w:val="Medium Grid 3 - Accent 412"/>
    <w:basedOn w:val="TableNormal"/>
    <w:uiPriority w:val="69"/>
    <w:semiHidden/>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DarkList-Accent412">
    <w:name w:val="Dark List - Accent 412"/>
    <w:basedOn w:val="TableNormal"/>
    <w:uiPriority w:val="70"/>
    <w:semiHidden/>
    <w:rPr>
      <w:rFonts w:ascii="Calibri" w:eastAsia="Calibri" w:hAnsi="Calibri"/>
      <w:color w:val="FFFFFF"/>
      <w:sz w:val="22"/>
      <w:szCs w:val="22"/>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ColorfulShading-Accent412">
    <w:name w:val="Colorful Shading - Accent 412"/>
    <w:basedOn w:val="TableNormal"/>
    <w:uiPriority w:val="71"/>
    <w:semiHidden/>
    <w:rPr>
      <w:rFonts w:ascii="Calibri" w:eastAsia="Calibri" w:hAnsi="Calibri"/>
      <w:color w:val="000000"/>
      <w:sz w:val="22"/>
      <w:szCs w:val="22"/>
    </w:rPr>
    <w:tblPr>
      <w:tblStyleRowBandSize w:val="1"/>
      <w:tblStyleColBandSize w:val="1"/>
      <w:tblInd w:w="0" w:type="nil"/>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List-Accent412">
    <w:name w:val="Colorful List - Accent 412"/>
    <w:basedOn w:val="TableNormal"/>
    <w:uiPriority w:val="72"/>
    <w:semiHidden/>
    <w:rPr>
      <w:rFonts w:ascii="Calibri" w:eastAsia="Calibri" w:hAnsi="Calibri"/>
      <w:color w:val="000000"/>
      <w:sz w:val="22"/>
      <w:szCs w:val="22"/>
    </w:rPr>
    <w:tblPr>
      <w:tblStyleRowBandSize w:val="1"/>
      <w:tblStyleColBandSize w:val="1"/>
      <w:tblInd w:w="0" w:type="nil"/>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Grid-Accent412">
    <w:name w:val="Colorful Grid - Accent 412"/>
    <w:basedOn w:val="TableNormal"/>
    <w:uiPriority w:val="73"/>
    <w:semiHidden/>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LightShading-Accent512">
    <w:name w:val="Light Shading - Accent 512"/>
    <w:basedOn w:val="TableNormal"/>
    <w:uiPriority w:val="60"/>
    <w:semiHidden/>
    <w:rPr>
      <w:rFonts w:ascii="Calibri" w:eastAsia="Calibri" w:hAnsi="Calibri"/>
      <w:color w:val="2E74B5"/>
      <w:sz w:val="22"/>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List-Accent512">
    <w:name w:val="Light List - Accent 512"/>
    <w:basedOn w:val="TableNormal"/>
    <w:uiPriority w:val="61"/>
    <w:semiHidden/>
    <w:rPr>
      <w:rFonts w:ascii="Calibri" w:eastAsia="Calibri" w:hAnsi="Calibri"/>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100" w:beforeAutospacing="1" w:afterLines="0" w:after="100" w:afterAutospacing="1" w:line="240" w:lineRule="auto"/>
      </w:pPr>
      <w:rPr>
        <w:b/>
        <w:bCs/>
        <w:color w:val="FFFFFF"/>
      </w:rPr>
      <w:tblPr/>
      <w:tcPr>
        <w:shd w:val="clear" w:color="auto" w:fill="5B9BD5"/>
      </w:tcPr>
    </w:tblStylePr>
    <w:tblStylePr w:type="lastRow">
      <w:pPr>
        <w:spacing w:beforeLines="0" w:before="100" w:beforeAutospacing="1" w:afterLines="0" w:after="100" w:afterAutospacing="1"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512">
    <w:name w:val="Light Grid - Accent 512"/>
    <w:basedOn w:val="TableNormal"/>
    <w:uiPriority w:val="62"/>
    <w:semiHidden/>
    <w:rPr>
      <w:rFonts w:ascii="Calibri" w:eastAsia="Calibri" w:hAnsi="Calibri"/>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Shading1-Accent512">
    <w:name w:val="Medium Shading 1 - Accent 512"/>
    <w:basedOn w:val="TableNormal"/>
    <w:uiPriority w:val="63"/>
    <w:semiHidden/>
    <w:rPr>
      <w:rFonts w:ascii="Calibri" w:eastAsia="Calibri" w:hAnsi="Calibri"/>
      <w:sz w:val="22"/>
      <w:szCs w:val="22"/>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100" w:beforeAutospacing="1" w:afterLines="0" w:after="100" w:afterAutospacing="1"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100" w:beforeAutospacing="1" w:afterLines="0" w:after="100" w:afterAutospacing="1"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2-Accent512">
    <w:name w:val="Medium Shading 2 - Accent 512"/>
    <w:basedOn w:val="TableNormal"/>
    <w:uiPriority w:val="64"/>
    <w:semiHidden/>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512">
    <w:name w:val="Medium List 1 - Accent 512"/>
    <w:basedOn w:val="TableNormal"/>
    <w:uiPriority w:val="65"/>
    <w:semiHidden/>
    <w:rPr>
      <w:rFonts w:ascii="Calibri" w:eastAsia="Calibri" w:hAnsi="Calibri"/>
      <w:color w:val="000000"/>
      <w:sz w:val="22"/>
      <w:szCs w:val="22"/>
    </w:rPr>
    <w:tblPr>
      <w:tblStyleRowBandSize w:val="1"/>
      <w:tblStyleColBandSize w:val="1"/>
      <w:tblInd w:w="0" w:type="nil"/>
      <w:tblBorders>
        <w:top w:val="single" w:sz="8" w:space="0" w:color="5B9BD5"/>
        <w:bottom w:val="single" w:sz="8" w:space="0" w:color="5B9BD5"/>
      </w:tblBorders>
    </w:tblPr>
    <w:tblStylePr w:type="firstRow">
      <w:rPr>
        <w:rFonts w:ascii="Calibri Light" w:eastAsia="Times New Roman" w:hAnsi="Calibri Light" w:cs="Times New Roman" w:hint="default"/>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2-Accent512">
    <w:name w:val="Medium List 2 - Accent 512"/>
    <w:basedOn w:val="TableNormal"/>
    <w:uiPriority w:val="66"/>
    <w:semiHidden/>
    <w:rPr>
      <w:rFonts w:ascii="Calibri Light" w:hAnsi="Calibri Light"/>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Grid2-Accent512">
    <w:name w:val="Medium Grid 2 - Accent 512"/>
    <w:basedOn w:val="TableNormal"/>
    <w:uiPriority w:val="68"/>
    <w:semiHidden/>
    <w:rPr>
      <w:rFonts w:ascii="Calibri Light" w:hAnsi="Calibri Light"/>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3-Accent512">
    <w:name w:val="Medium Grid 3 - Accent 512"/>
    <w:basedOn w:val="TableNormal"/>
    <w:uiPriority w:val="69"/>
    <w:semiHidden/>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DarkList-Accent512">
    <w:name w:val="Dark List - Accent 512"/>
    <w:basedOn w:val="TableNormal"/>
    <w:uiPriority w:val="70"/>
    <w:semiHidden/>
    <w:rPr>
      <w:rFonts w:ascii="Calibri" w:eastAsia="Calibri" w:hAnsi="Calibri"/>
      <w:color w:val="FFFFFF"/>
      <w:sz w:val="22"/>
      <w:szCs w:val="22"/>
    </w:rPr>
    <w:tblPr>
      <w:tblStyleRowBandSize w:val="1"/>
      <w:tblStyleColBandSize w:val="1"/>
      <w:tblInd w:w="0" w:type="nil"/>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ColorfulShading-Accent512">
    <w:name w:val="Colorful Shading - Accent 512"/>
    <w:basedOn w:val="TableNormal"/>
    <w:uiPriority w:val="71"/>
    <w:semiHidden/>
    <w:rPr>
      <w:rFonts w:ascii="Calibri" w:eastAsia="Calibri" w:hAnsi="Calibri"/>
      <w:color w:val="000000"/>
      <w:sz w:val="22"/>
      <w:szCs w:val="22"/>
    </w:rPr>
    <w:tblPr>
      <w:tblStyleRowBandSize w:val="1"/>
      <w:tblStyleColBandSize w:val="1"/>
      <w:tblInd w:w="0" w:type="nil"/>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List-Accent512">
    <w:name w:val="Colorful List - Accent 512"/>
    <w:basedOn w:val="TableNormal"/>
    <w:uiPriority w:val="72"/>
    <w:semiHidden/>
    <w:rPr>
      <w:rFonts w:ascii="Calibri" w:eastAsia="Calibri" w:hAnsi="Calibri"/>
      <w:color w:val="000000"/>
      <w:sz w:val="22"/>
      <w:szCs w:val="22"/>
    </w:rPr>
    <w:tblPr>
      <w:tblStyleRowBandSize w:val="1"/>
      <w:tblStyleColBandSize w:val="1"/>
      <w:tblInd w:w="0" w:type="nil"/>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Grid-Accent512">
    <w:name w:val="Colorful Grid - Accent 512"/>
    <w:basedOn w:val="TableNormal"/>
    <w:uiPriority w:val="73"/>
    <w:semiHidden/>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612">
    <w:name w:val="Light Shading - Accent 612"/>
    <w:basedOn w:val="TableNormal"/>
    <w:uiPriority w:val="60"/>
    <w:semiHidden/>
    <w:rPr>
      <w:rFonts w:ascii="Calibri" w:eastAsia="Calibri" w:hAnsi="Calibri"/>
      <w:color w:val="538135"/>
      <w:sz w:val="22"/>
      <w:szCs w:val="22"/>
    </w:rPr>
    <w:tblPr>
      <w:tblStyleRowBandSize w:val="1"/>
      <w:tblStyleColBandSize w:val="1"/>
      <w:tblInd w:w="0" w:type="nil"/>
      <w:tblBorders>
        <w:top w:val="single" w:sz="8" w:space="0" w:color="70AD47"/>
        <w:bottom w:val="single" w:sz="8" w:space="0" w:color="70AD47"/>
      </w:tblBorders>
    </w:tblPr>
    <w:tblStylePr w:type="firstRow">
      <w:pPr>
        <w:spacing w:beforeLines="0" w:before="100" w:beforeAutospacing="1" w:afterLines="0" w:after="100" w:afterAutospacing="1"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ghtList-Accent612">
    <w:name w:val="Light List - Accent 612"/>
    <w:basedOn w:val="TableNormal"/>
    <w:uiPriority w:val="61"/>
    <w:semiHidden/>
    <w:rPr>
      <w:rFonts w:ascii="Calibri" w:eastAsia="Calibri" w:hAnsi="Calibri"/>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pPr>
        <w:spacing w:beforeLines="0" w:before="100" w:beforeAutospacing="1" w:afterLines="0" w:after="100" w:afterAutospacing="1" w:line="240" w:lineRule="auto"/>
      </w:pPr>
      <w:rPr>
        <w:b/>
        <w:bCs/>
        <w:color w:val="FFFFFF"/>
      </w:rPr>
      <w:tblPr/>
      <w:tcPr>
        <w:shd w:val="clear" w:color="auto" w:fill="70AD47"/>
      </w:tcPr>
    </w:tblStylePr>
    <w:tblStylePr w:type="lastRow">
      <w:pPr>
        <w:spacing w:beforeLines="0" w:before="100" w:beforeAutospacing="1" w:afterLines="0" w:after="100" w:afterAutospacing="1"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12">
    <w:name w:val="Light Grid - Accent 612"/>
    <w:basedOn w:val="TableNormal"/>
    <w:uiPriority w:val="62"/>
    <w:semiHidden/>
    <w:rPr>
      <w:rFonts w:ascii="Calibri" w:eastAsia="Calibri" w:hAnsi="Calibri"/>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612">
    <w:name w:val="Medium Shading 1 - Accent 612"/>
    <w:basedOn w:val="TableNormal"/>
    <w:uiPriority w:val="63"/>
    <w:semiHidden/>
    <w:rPr>
      <w:rFonts w:ascii="Calibri" w:eastAsia="Calibri" w:hAnsi="Calibri"/>
      <w:sz w:val="22"/>
      <w:szCs w:val="22"/>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Lines="0" w:before="100" w:beforeAutospacing="1" w:afterLines="0" w:after="100" w:afterAutospacing="1"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Lines="0" w:before="100" w:beforeAutospacing="1" w:afterLines="0" w:after="100" w:afterAutospacing="1"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Accent612">
    <w:name w:val="Medium Shading 2 - Accent 612"/>
    <w:basedOn w:val="TableNormal"/>
    <w:uiPriority w:val="64"/>
    <w:semiHidden/>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612">
    <w:name w:val="Medium List 1 - Accent 612"/>
    <w:basedOn w:val="TableNormal"/>
    <w:uiPriority w:val="65"/>
    <w:semiHidden/>
    <w:rPr>
      <w:rFonts w:ascii="Calibri" w:eastAsia="Calibri" w:hAnsi="Calibri"/>
      <w:color w:val="000000"/>
      <w:sz w:val="22"/>
      <w:szCs w:val="22"/>
    </w:rPr>
    <w:tblPr>
      <w:tblStyleRowBandSize w:val="1"/>
      <w:tblStyleColBandSize w:val="1"/>
      <w:tblInd w:w="0" w:type="nil"/>
      <w:tblBorders>
        <w:top w:val="single" w:sz="8" w:space="0" w:color="70AD47"/>
        <w:bottom w:val="single" w:sz="8" w:space="0" w:color="70AD47"/>
      </w:tblBorders>
    </w:tblPr>
    <w:tblStylePr w:type="firstRow">
      <w:rPr>
        <w:rFonts w:ascii="Calibri Light" w:eastAsia="Times New Roman" w:hAnsi="Calibri Light" w:cs="Times New Roman" w:hint="default"/>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Accent612">
    <w:name w:val="Medium List 2 - Accent 612"/>
    <w:basedOn w:val="TableNormal"/>
    <w:uiPriority w:val="66"/>
    <w:semiHidden/>
    <w:rPr>
      <w:rFonts w:ascii="Calibri Light" w:hAnsi="Calibri Light"/>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Grid2-Accent612">
    <w:name w:val="Medium Grid 2 - Accent 612"/>
    <w:basedOn w:val="TableNormal"/>
    <w:uiPriority w:val="68"/>
    <w:semiHidden/>
    <w:rPr>
      <w:rFonts w:ascii="Calibri Light" w:hAnsi="Calibri Light"/>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Accent612">
    <w:name w:val="Medium Grid 3 - Accent 612"/>
    <w:basedOn w:val="TableNormal"/>
    <w:uiPriority w:val="69"/>
    <w:semiHidden/>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DarkList-Accent612">
    <w:name w:val="Dark List - Accent 612"/>
    <w:basedOn w:val="TableNormal"/>
    <w:uiPriority w:val="70"/>
    <w:semiHidden/>
    <w:rPr>
      <w:rFonts w:ascii="Calibri" w:eastAsia="Calibri" w:hAnsi="Calibri"/>
      <w:color w:val="FFFFFF"/>
      <w:sz w:val="22"/>
      <w:szCs w:val="22"/>
    </w:rPr>
    <w:tblPr>
      <w:tblStyleRowBandSize w:val="1"/>
      <w:tblStyleColBandSize w:val="1"/>
      <w:tblInd w:w="0" w:type="nil"/>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ColorfulShading-Accent612">
    <w:name w:val="Colorful Shading - Accent 612"/>
    <w:basedOn w:val="TableNormal"/>
    <w:uiPriority w:val="71"/>
    <w:semiHidden/>
    <w:rPr>
      <w:rFonts w:ascii="Calibri" w:eastAsia="Calibri" w:hAnsi="Calibri"/>
      <w:color w:val="000000"/>
      <w:sz w:val="22"/>
      <w:szCs w:val="22"/>
    </w:rPr>
    <w:tblPr>
      <w:tblStyleRowBandSize w:val="1"/>
      <w:tblStyleColBandSize w:val="1"/>
      <w:tblInd w:w="0" w:type="nil"/>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ColorfulList-Accent612">
    <w:name w:val="Colorful List - Accent 612"/>
    <w:basedOn w:val="TableNormal"/>
    <w:uiPriority w:val="72"/>
    <w:semiHidden/>
    <w:rPr>
      <w:rFonts w:ascii="Calibri" w:eastAsia="Calibri" w:hAnsi="Calibri"/>
      <w:color w:val="000000"/>
      <w:sz w:val="22"/>
      <w:szCs w:val="22"/>
    </w:rPr>
    <w:tblPr>
      <w:tblStyleRowBandSize w:val="1"/>
      <w:tblStyleColBandSize w:val="1"/>
      <w:tblInd w:w="0" w:type="nil"/>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Grid-Accent612">
    <w:name w:val="Colorful Grid - Accent 612"/>
    <w:basedOn w:val="TableNormal"/>
    <w:uiPriority w:val="73"/>
    <w:semiHidden/>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PlainTable312">
    <w:name w:val="Plain Table 312"/>
    <w:basedOn w:val="TableNormal"/>
    <w:uiPriority w:val="43"/>
    <w:rPr>
      <w:rFonts w:ascii="Calibri" w:eastAsia="Calibri" w:hAnsi="Calibri"/>
      <w:sz w:val="22"/>
      <w:szCs w:val="22"/>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2">
    <w:name w:val="Plain Table 512"/>
    <w:basedOn w:val="TableNormal"/>
    <w:uiPriority w:val="45"/>
    <w:rPr>
      <w:rFonts w:ascii="Calibri" w:eastAsia="Calibri" w:hAnsi="Calibri"/>
      <w:sz w:val="22"/>
      <w:szCs w:val="2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2">
    <w:name w:val="Grid Table 212"/>
    <w:basedOn w:val="TableNormal"/>
    <w:uiPriority w:val="47"/>
    <w:rPr>
      <w:rFonts w:ascii="Calibri" w:eastAsia="Calibri" w:hAnsi="Calibri"/>
      <w:sz w:val="22"/>
      <w:szCs w:val="22"/>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2">
    <w:name w:val="Grid Table 312"/>
    <w:basedOn w:val="TableNormal"/>
    <w:uiPriority w:val="48"/>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12">
    <w:name w:val="Grid Table 412"/>
    <w:basedOn w:val="TableNormal"/>
    <w:uiPriority w:val="49"/>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12">
    <w:name w:val="Grid Table 5 Dark12"/>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7Colorful12">
    <w:name w:val="Grid Table 7 Colorful12"/>
    <w:basedOn w:val="TableNormal"/>
    <w:uiPriority w:val="52"/>
    <w:rPr>
      <w:rFonts w:ascii="Calibri" w:eastAsia="Calibri" w:hAnsi="Calibri"/>
      <w:color w:val="000000"/>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112">
    <w:name w:val="Grid Table 2 - Accent 112"/>
    <w:basedOn w:val="TableNormal"/>
    <w:uiPriority w:val="47"/>
    <w:rPr>
      <w:rFonts w:ascii="Calibri" w:eastAsia="Calibri" w:hAnsi="Calibri"/>
      <w:sz w:val="22"/>
      <w:szCs w:val="22"/>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3-Accent112">
    <w:name w:val="Grid Table 3 - Accent 112"/>
    <w:basedOn w:val="TableNormal"/>
    <w:uiPriority w:val="48"/>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4-Accent112">
    <w:name w:val="Grid Table 4 - Accent 112"/>
    <w:basedOn w:val="TableNormal"/>
    <w:uiPriority w:val="49"/>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2">
    <w:name w:val="Grid Table 5 Dark - Accent 112"/>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7Colorful-Accent112">
    <w:name w:val="Grid Table 7 Colorful - Accent 112"/>
    <w:basedOn w:val="TableNormal"/>
    <w:uiPriority w:val="52"/>
    <w:rPr>
      <w:rFonts w:ascii="Calibri" w:eastAsia="Calibri" w:hAnsi="Calibri"/>
      <w:color w:val="2F5496"/>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2-Accent212">
    <w:name w:val="Grid Table 2 - Accent 212"/>
    <w:basedOn w:val="TableNormal"/>
    <w:uiPriority w:val="47"/>
    <w:rPr>
      <w:rFonts w:ascii="Calibri" w:eastAsia="Calibri" w:hAnsi="Calibri"/>
      <w:sz w:val="22"/>
      <w:szCs w:val="22"/>
    </w:rPr>
    <w:tblPr>
      <w:tblStyleRowBandSize w:val="1"/>
      <w:tblStyleColBandSize w:val="1"/>
      <w:tblInd w:w="0" w:type="nil"/>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3-Accent212">
    <w:name w:val="Grid Table 3 - Accent 212"/>
    <w:basedOn w:val="TableNormal"/>
    <w:uiPriority w:val="48"/>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4-Accent212">
    <w:name w:val="Grid Table 4 - Accent 212"/>
    <w:basedOn w:val="TableNormal"/>
    <w:uiPriority w:val="49"/>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12">
    <w:name w:val="Grid Table 5 Dark - Accent 212"/>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7Colorful-Accent212">
    <w:name w:val="Grid Table 7 Colorful - Accent 212"/>
    <w:basedOn w:val="TableNormal"/>
    <w:uiPriority w:val="52"/>
    <w:rPr>
      <w:rFonts w:ascii="Calibri" w:eastAsia="Calibri" w:hAnsi="Calibri"/>
      <w:color w:val="C45911"/>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2-Accent312">
    <w:name w:val="Grid Table 2 - Accent 312"/>
    <w:basedOn w:val="TableNormal"/>
    <w:uiPriority w:val="47"/>
    <w:rPr>
      <w:rFonts w:ascii="Calibri" w:eastAsia="Calibri" w:hAnsi="Calibri"/>
      <w:sz w:val="22"/>
      <w:szCs w:val="22"/>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12">
    <w:name w:val="Grid Table 3 - Accent 312"/>
    <w:basedOn w:val="TableNormal"/>
    <w:uiPriority w:val="48"/>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4-Accent312">
    <w:name w:val="Grid Table 4 - Accent 312"/>
    <w:basedOn w:val="TableNormal"/>
    <w:uiPriority w:val="49"/>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12">
    <w:name w:val="Grid Table 5 Dark - Accent 312"/>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7Colorful-Accent312">
    <w:name w:val="Grid Table 7 Colorful - Accent 312"/>
    <w:basedOn w:val="TableNormal"/>
    <w:uiPriority w:val="52"/>
    <w:rPr>
      <w:rFonts w:ascii="Calibri" w:eastAsia="Calibri" w:hAnsi="Calibri"/>
      <w:color w:val="7B7B7B"/>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2-Accent412">
    <w:name w:val="Grid Table 2 - Accent 412"/>
    <w:basedOn w:val="TableNormal"/>
    <w:uiPriority w:val="47"/>
    <w:rPr>
      <w:rFonts w:ascii="Calibri" w:eastAsia="Calibri" w:hAnsi="Calibri"/>
      <w:sz w:val="22"/>
      <w:szCs w:val="22"/>
    </w:rPr>
    <w:tblPr>
      <w:tblStyleRowBandSize w:val="1"/>
      <w:tblStyleColBandSize w:val="1"/>
      <w:tblInd w:w="0" w:type="nil"/>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3-Accent412">
    <w:name w:val="Grid Table 3 - Accent 412"/>
    <w:basedOn w:val="TableNormal"/>
    <w:uiPriority w:val="48"/>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4-Accent412">
    <w:name w:val="Grid Table 4 - Accent 412"/>
    <w:basedOn w:val="TableNormal"/>
    <w:uiPriority w:val="49"/>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12">
    <w:name w:val="Grid Table 5 Dark - Accent 412"/>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7Colorful-Accent412">
    <w:name w:val="Grid Table 7 Colorful - Accent 412"/>
    <w:basedOn w:val="TableNormal"/>
    <w:uiPriority w:val="52"/>
    <w:rPr>
      <w:rFonts w:ascii="Calibri" w:eastAsia="Calibri" w:hAnsi="Calibri"/>
      <w:color w:val="BF8F00"/>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2-Accent512">
    <w:name w:val="Grid Table 2 - Accent 512"/>
    <w:basedOn w:val="TableNormal"/>
    <w:uiPriority w:val="47"/>
    <w:rPr>
      <w:rFonts w:ascii="Calibri" w:eastAsia="Calibri" w:hAnsi="Calibri"/>
      <w:sz w:val="22"/>
      <w:szCs w:val="22"/>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3-Accent512">
    <w:name w:val="Grid Table 3 - Accent 512"/>
    <w:basedOn w:val="TableNormal"/>
    <w:uiPriority w:val="48"/>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4-Accent512">
    <w:name w:val="Grid Table 4 - Accent 512"/>
    <w:basedOn w:val="TableNormal"/>
    <w:uiPriority w:val="49"/>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512">
    <w:name w:val="Grid Table 5 Dark - Accent 512"/>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7Colorful-Accent512">
    <w:name w:val="Grid Table 7 Colorful - Accent 512"/>
    <w:basedOn w:val="TableNormal"/>
    <w:uiPriority w:val="52"/>
    <w:rPr>
      <w:rFonts w:ascii="Calibri" w:eastAsia="Calibri" w:hAnsi="Calibri"/>
      <w:color w:val="2E74B5"/>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2-Accent612">
    <w:name w:val="Grid Table 2 - Accent 612"/>
    <w:basedOn w:val="TableNormal"/>
    <w:uiPriority w:val="47"/>
    <w:rPr>
      <w:rFonts w:ascii="Calibri" w:eastAsia="Calibri" w:hAnsi="Calibri"/>
      <w:sz w:val="22"/>
      <w:szCs w:val="22"/>
    </w:rPr>
    <w:tblPr>
      <w:tblStyleRowBandSize w:val="1"/>
      <w:tblStyleColBandSize w:val="1"/>
      <w:tblInd w:w="0" w:type="nil"/>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612">
    <w:name w:val="Grid Table 3 - Accent 612"/>
    <w:basedOn w:val="TableNormal"/>
    <w:uiPriority w:val="48"/>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Accent612">
    <w:name w:val="Grid Table 4 - Accent 612"/>
    <w:basedOn w:val="TableNormal"/>
    <w:uiPriority w:val="49"/>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12">
    <w:name w:val="Grid Table 5 Dark - Accent 612"/>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7Colorful-Accent612">
    <w:name w:val="Grid Table 7 Colorful - Accent 612"/>
    <w:basedOn w:val="TableNormal"/>
    <w:uiPriority w:val="52"/>
    <w:rPr>
      <w:rFonts w:ascii="Calibri" w:eastAsia="Calibri" w:hAnsi="Calibri"/>
      <w:color w:val="538135"/>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stTable312">
    <w:name w:val="List Table 312"/>
    <w:basedOn w:val="TableNormal"/>
    <w:uiPriority w:val="48"/>
    <w:rPr>
      <w:rFonts w:ascii="Calibri" w:eastAsia="Calibri" w:hAnsi="Calibri"/>
      <w:sz w:val="22"/>
      <w:szCs w:val="22"/>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412">
    <w:name w:val="List Table 412"/>
    <w:basedOn w:val="TableNormal"/>
    <w:uiPriority w:val="49"/>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5Dark12">
    <w:name w:val="List Table 5 Dark12"/>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12">
    <w:name w:val="List Table 7 Colorful12"/>
    <w:basedOn w:val="TableNormal"/>
    <w:uiPriority w:val="52"/>
    <w:rPr>
      <w:rFonts w:ascii="Calibri" w:eastAsia="Calibri" w:hAnsi="Calibri"/>
      <w:color w:val="000000"/>
      <w:sz w:val="22"/>
      <w:szCs w:val="2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112">
    <w:name w:val="List Table 3 - Accent 112"/>
    <w:basedOn w:val="TableNormal"/>
    <w:uiPriority w:val="48"/>
    <w:rPr>
      <w:rFonts w:ascii="Calibri" w:eastAsia="Calibri" w:hAnsi="Calibri"/>
      <w:sz w:val="22"/>
      <w:szCs w:val="22"/>
    </w:rPr>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4-Accent112">
    <w:name w:val="List Table 4 - Accent 112"/>
    <w:basedOn w:val="TableNormal"/>
    <w:uiPriority w:val="49"/>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5Dark-Accent112">
    <w:name w:val="List Table 5 Dark - Accent 112"/>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112">
    <w:name w:val="List Table 7 Colorful - Accent 112"/>
    <w:basedOn w:val="TableNormal"/>
    <w:uiPriority w:val="52"/>
    <w:rPr>
      <w:rFonts w:ascii="Calibri" w:eastAsia="Calibri" w:hAnsi="Calibri"/>
      <w:color w:val="2F5496"/>
      <w:sz w:val="22"/>
      <w:szCs w:val="2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212">
    <w:name w:val="List Table 3 - Accent 212"/>
    <w:basedOn w:val="TableNormal"/>
    <w:uiPriority w:val="48"/>
    <w:rPr>
      <w:rFonts w:ascii="Calibri" w:eastAsia="Calibri" w:hAnsi="Calibri"/>
      <w:sz w:val="22"/>
      <w:szCs w:val="22"/>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4-Accent212">
    <w:name w:val="List Table 4 - Accent 212"/>
    <w:basedOn w:val="TableNormal"/>
    <w:uiPriority w:val="49"/>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5Dark-Accent212">
    <w:name w:val="List Table 5 Dark - Accent 212"/>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212">
    <w:name w:val="List Table 7 Colorful - Accent 212"/>
    <w:basedOn w:val="TableNormal"/>
    <w:uiPriority w:val="52"/>
    <w:rPr>
      <w:rFonts w:ascii="Calibri" w:eastAsia="Calibri" w:hAnsi="Calibri"/>
      <w:color w:val="C45911"/>
      <w:sz w:val="22"/>
      <w:szCs w:val="2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ED7D31"/>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ED7D31"/>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312">
    <w:name w:val="List Table 3 - Accent 312"/>
    <w:basedOn w:val="TableNormal"/>
    <w:uiPriority w:val="48"/>
    <w:rPr>
      <w:rFonts w:ascii="Calibri" w:eastAsia="Calibri" w:hAnsi="Calibri"/>
      <w:sz w:val="22"/>
      <w:szCs w:val="22"/>
    </w:rPr>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4-Accent312">
    <w:name w:val="List Table 4 - Accent 312"/>
    <w:basedOn w:val="TableNormal"/>
    <w:uiPriority w:val="49"/>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5Dark-Accent312">
    <w:name w:val="List Table 5 Dark - Accent 312"/>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12">
    <w:name w:val="List Table 7 Colorful - Accent 312"/>
    <w:basedOn w:val="TableNormal"/>
    <w:uiPriority w:val="52"/>
    <w:rPr>
      <w:rFonts w:ascii="Calibri" w:eastAsia="Calibri" w:hAnsi="Calibri"/>
      <w:color w:val="7B7B7B"/>
      <w:sz w:val="22"/>
      <w:szCs w:val="2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412">
    <w:name w:val="List Table 3 - Accent 412"/>
    <w:basedOn w:val="TableNormal"/>
    <w:uiPriority w:val="48"/>
    <w:rPr>
      <w:rFonts w:ascii="Calibri" w:eastAsia="Calibri" w:hAnsi="Calibri"/>
      <w:sz w:val="22"/>
      <w:szCs w:val="22"/>
    </w:rPr>
    <w:tblPr>
      <w:tblStyleRowBandSize w:val="1"/>
      <w:tblStyleColBandSize w:val="1"/>
      <w:tblInd w:w="0" w:type="nil"/>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412">
    <w:name w:val="List Table 4 - Accent 412"/>
    <w:basedOn w:val="TableNormal"/>
    <w:uiPriority w:val="49"/>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5Dark-Accent412">
    <w:name w:val="List Table 5 Dark - Accent 412"/>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412">
    <w:name w:val="List Table 7 Colorful - Accent 412"/>
    <w:basedOn w:val="TableNormal"/>
    <w:uiPriority w:val="52"/>
    <w:rPr>
      <w:rFonts w:ascii="Calibri" w:eastAsia="Calibri" w:hAnsi="Calibri"/>
      <w:color w:val="BF8F00"/>
      <w:sz w:val="22"/>
      <w:szCs w:val="2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FFC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FFC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512">
    <w:name w:val="List Table 3 - Accent 512"/>
    <w:basedOn w:val="TableNormal"/>
    <w:uiPriority w:val="48"/>
    <w:rPr>
      <w:rFonts w:ascii="Calibri" w:eastAsia="Calibri" w:hAnsi="Calibri"/>
      <w:sz w:val="22"/>
      <w:szCs w:val="22"/>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4-Accent512">
    <w:name w:val="List Table 4 - Accent 512"/>
    <w:basedOn w:val="TableNormal"/>
    <w:uiPriority w:val="49"/>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5Dark-Accent512">
    <w:name w:val="List Table 5 Dark - Accent 512"/>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512">
    <w:name w:val="List Table 7 Colorful - Accent 512"/>
    <w:basedOn w:val="TableNormal"/>
    <w:uiPriority w:val="52"/>
    <w:rPr>
      <w:rFonts w:ascii="Calibri" w:eastAsia="Calibri" w:hAnsi="Calibri"/>
      <w:color w:val="2E74B5"/>
      <w:sz w:val="22"/>
      <w:szCs w:val="2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612">
    <w:name w:val="List Table 3 - Accent 612"/>
    <w:basedOn w:val="TableNormal"/>
    <w:uiPriority w:val="48"/>
    <w:rPr>
      <w:rFonts w:ascii="Calibri" w:eastAsia="Calibri" w:hAnsi="Calibri"/>
      <w:sz w:val="22"/>
      <w:szCs w:val="22"/>
    </w:rPr>
    <w:tblPr>
      <w:tblStyleRowBandSize w:val="1"/>
      <w:tblStyleColBandSize w:val="1"/>
      <w:tblInd w:w="0" w:type="nil"/>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Accent612">
    <w:name w:val="List Table 4 - Accent 612"/>
    <w:basedOn w:val="TableNormal"/>
    <w:uiPriority w:val="49"/>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Accent612">
    <w:name w:val="List Table 5 Dark - Accent 612"/>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612">
    <w:name w:val="List Table 7 Colorful - Accent 612"/>
    <w:basedOn w:val="TableNormal"/>
    <w:uiPriority w:val="52"/>
    <w:rPr>
      <w:rFonts w:ascii="Calibri" w:eastAsia="Calibri" w:hAnsi="Calibri"/>
      <w:color w:val="538135"/>
      <w:sz w:val="22"/>
      <w:szCs w:val="2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0AD47"/>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0AD47"/>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olorfulGrid111">
    <w:name w:val="Colorful Grid11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11">
    <w:name w:val="Colorful Grid - Accent 111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2111">
    <w:name w:val="Colorful Grid - Accent 211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11">
    <w:name w:val="Colorful Grid - Accent 311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11">
    <w:name w:val="Colorful Grid - Accent 411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11">
    <w:name w:val="Colorful Grid - Accent 511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6111">
    <w:name w:val="Colorful Grid - Accent 611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11">
    <w:name w:val="Colorful List111"/>
    <w:basedOn w:val="TableNormal"/>
    <w:uiPriority w:val="72"/>
    <w:rPr>
      <w:rFonts w:ascii="Calibri" w:eastAsia="Calibri" w:hAnsi="Calibri"/>
      <w:color w:val="000000"/>
      <w:sz w:val="22"/>
      <w:szCs w:val="22"/>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11">
    <w:name w:val="Colorful List - Accent 1111"/>
    <w:basedOn w:val="TableNormal"/>
    <w:uiPriority w:val="72"/>
    <w:rPr>
      <w:rFonts w:ascii="Calibri" w:eastAsia="Calibri" w:hAnsi="Calibri"/>
      <w:color w:val="000000"/>
      <w:sz w:val="22"/>
      <w:szCs w:val="22"/>
    </w:rPr>
    <w:tblPr>
      <w:tblStyleRowBandSize w:val="1"/>
      <w:tblStyleColBandSize w:val="1"/>
      <w:tblInd w:w="0" w:type="nil"/>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2111">
    <w:name w:val="Colorful List - Accent 2111"/>
    <w:basedOn w:val="TableNormal"/>
    <w:uiPriority w:val="72"/>
    <w:rPr>
      <w:rFonts w:ascii="Calibri" w:eastAsia="Calibri" w:hAnsi="Calibri"/>
      <w:color w:val="000000"/>
      <w:sz w:val="22"/>
      <w:szCs w:val="22"/>
    </w:rPr>
    <w:tblPr>
      <w:tblStyleRowBandSize w:val="1"/>
      <w:tblStyleColBandSize w:val="1"/>
      <w:tblInd w:w="0" w:type="nil"/>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11">
    <w:name w:val="Colorful List - Accent 3111"/>
    <w:basedOn w:val="TableNormal"/>
    <w:uiPriority w:val="72"/>
    <w:rPr>
      <w:rFonts w:ascii="Calibri" w:eastAsia="Calibri" w:hAnsi="Calibri"/>
      <w:color w:val="000000"/>
      <w:sz w:val="22"/>
      <w:szCs w:val="22"/>
    </w:rPr>
    <w:tblPr>
      <w:tblStyleRowBandSize w:val="1"/>
      <w:tblStyleColBandSize w:val="1"/>
      <w:tblInd w:w="0" w:type="nil"/>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11">
    <w:name w:val="Colorful List - Accent 4111"/>
    <w:basedOn w:val="TableNormal"/>
    <w:uiPriority w:val="72"/>
    <w:rPr>
      <w:rFonts w:ascii="Calibri" w:eastAsia="Calibri" w:hAnsi="Calibri"/>
      <w:color w:val="000000"/>
      <w:sz w:val="22"/>
      <w:szCs w:val="22"/>
    </w:rPr>
    <w:tblPr>
      <w:tblStyleRowBandSize w:val="1"/>
      <w:tblStyleColBandSize w:val="1"/>
      <w:tblInd w:w="0" w:type="nil"/>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11">
    <w:name w:val="Colorful List - Accent 5111"/>
    <w:basedOn w:val="TableNormal"/>
    <w:uiPriority w:val="72"/>
    <w:rPr>
      <w:rFonts w:ascii="Calibri" w:eastAsia="Calibri" w:hAnsi="Calibri"/>
      <w:color w:val="000000"/>
      <w:sz w:val="22"/>
      <w:szCs w:val="22"/>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6111">
    <w:name w:val="Colorful List - Accent 6111"/>
    <w:basedOn w:val="TableNormal"/>
    <w:uiPriority w:val="72"/>
    <w:rPr>
      <w:rFonts w:ascii="Calibri" w:eastAsia="Calibri" w:hAnsi="Calibri"/>
      <w:color w:val="000000"/>
      <w:sz w:val="22"/>
      <w:szCs w:val="22"/>
    </w:rPr>
    <w:tblPr>
      <w:tblStyleRowBandSize w:val="1"/>
      <w:tblStyleColBandSize w:val="1"/>
      <w:tblInd w:w="0" w:type="nil"/>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11">
    <w:name w:val="Colorful Shading11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11">
    <w:name w:val="Colorful Shading - Accent 111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2111">
    <w:name w:val="Colorful Shading - Accent 211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11">
    <w:name w:val="Colorful Shading - Accent 311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11">
    <w:name w:val="Colorful Shading - Accent 411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11">
    <w:name w:val="Colorful Shading - Accent 511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6111">
    <w:name w:val="Colorful Shading - Accent 611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11">
    <w:name w:val="Dark List111"/>
    <w:basedOn w:val="TableNormal"/>
    <w:uiPriority w:val="70"/>
    <w:rPr>
      <w:rFonts w:ascii="Calibri" w:eastAsia="Calibri" w:hAnsi="Calibri"/>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11">
    <w:name w:val="Dark List - Accent 1111"/>
    <w:basedOn w:val="TableNormal"/>
    <w:uiPriority w:val="70"/>
    <w:rPr>
      <w:rFonts w:ascii="Calibri" w:eastAsia="Calibri" w:hAnsi="Calibri"/>
      <w:color w:val="FFFFFF"/>
      <w:sz w:val="22"/>
      <w:szCs w:val="22"/>
    </w:rPr>
    <w:tblPr>
      <w:tblStyleRowBandSize w:val="1"/>
      <w:tblStyleColBandSize w:val="1"/>
      <w:tblInd w:w="0" w:type="nil"/>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2111">
    <w:name w:val="Dark List - Accent 2111"/>
    <w:basedOn w:val="TableNormal"/>
    <w:uiPriority w:val="70"/>
    <w:rPr>
      <w:rFonts w:ascii="Calibri" w:eastAsia="Calibri" w:hAnsi="Calibri"/>
      <w:color w:val="FFFFFF"/>
      <w:sz w:val="22"/>
      <w:szCs w:val="22"/>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11">
    <w:name w:val="Dark List - Accent 3111"/>
    <w:basedOn w:val="TableNormal"/>
    <w:uiPriority w:val="70"/>
    <w:rPr>
      <w:rFonts w:ascii="Calibri" w:eastAsia="Calibri" w:hAnsi="Calibri"/>
      <w:color w:val="FFFFFF"/>
      <w:sz w:val="22"/>
      <w:szCs w:val="22"/>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11">
    <w:name w:val="Dark List - Accent 4111"/>
    <w:basedOn w:val="TableNormal"/>
    <w:uiPriority w:val="70"/>
    <w:rPr>
      <w:rFonts w:ascii="Calibri" w:eastAsia="Calibri" w:hAnsi="Calibri"/>
      <w:color w:val="FFFFFF"/>
      <w:sz w:val="22"/>
      <w:szCs w:val="22"/>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11">
    <w:name w:val="Dark List - Accent 5111"/>
    <w:basedOn w:val="TableNormal"/>
    <w:uiPriority w:val="70"/>
    <w:rPr>
      <w:rFonts w:ascii="Calibri" w:eastAsia="Calibri" w:hAnsi="Calibri"/>
      <w:color w:val="FFFFFF"/>
      <w:sz w:val="22"/>
      <w:szCs w:val="22"/>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6111">
    <w:name w:val="Dark List - Accent 6111"/>
    <w:basedOn w:val="TableNormal"/>
    <w:uiPriority w:val="70"/>
    <w:rPr>
      <w:rFonts w:ascii="Calibri" w:eastAsia="Calibri" w:hAnsi="Calibri"/>
      <w:color w:val="FFFFFF"/>
      <w:sz w:val="22"/>
      <w:szCs w:val="22"/>
    </w:rPr>
    <w:tblPr>
      <w:tblStyleRowBandSize w:val="1"/>
      <w:tblStyleColBandSize w:val="1"/>
      <w:tblInd w:w="0" w:type="nil"/>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2111">
    <w:name w:val="Grid Table 2111"/>
    <w:basedOn w:val="TableNormal"/>
    <w:uiPriority w:val="47"/>
    <w:rPr>
      <w:rFonts w:ascii="Calibri" w:eastAsia="Calibri" w:hAnsi="Calibri"/>
      <w:sz w:val="22"/>
      <w:szCs w:val="22"/>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11">
    <w:name w:val="Grid Table 2 - Accent 1111"/>
    <w:basedOn w:val="TableNormal"/>
    <w:uiPriority w:val="47"/>
    <w:rPr>
      <w:rFonts w:ascii="Calibri" w:eastAsia="Calibri" w:hAnsi="Calibri"/>
      <w:sz w:val="22"/>
      <w:szCs w:val="22"/>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2111">
    <w:name w:val="Grid Table 2 - Accent 2111"/>
    <w:basedOn w:val="TableNormal"/>
    <w:uiPriority w:val="47"/>
    <w:rPr>
      <w:rFonts w:ascii="Calibri" w:eastAsia="Calibri" w:hAnsi="Calibri"/>
      <w:sz w:val="22"/>
      <w:szCs w:val="22"/>
    </w:rPr>
    <w:tblPr>
      <w:tblStyleRowBandSize w:val="1"/>
      <w:tblStyleColBandSize w:val="1"/>
      <w:tblInd w:w="0" w:type="nil"/>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11">
    <w:name w:val="Grid Table 2 - Accent 3111"/>
    <w:basedOn w:val="TableNormal"/>
    <w:uiPriority w:val="47"/>
    <w:rPr>
      <w:rFonts w:ascii="Calibri" w:eastAsia="Calibri" w:hAnsi="Calibri"/>
      <w:sz w:val="22"/>
      <w:szCs w:val="22"/>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11">
    <w:name w:val="Grid Table 2 - Accent 4111"/>
    <w:basedOn w:val="TableNormal"/>
    <w:uiPriority w:val="47"/>
    <w:rPr>
      <w:rFonts w:ascii="Calibri" w:eastAsia="Calibri" w:hAnsi="Calibri"/>
      <w:sz w:val="22"/>
      <w:szCs w:val="22"/>
    </w:rPr>
    <w:tblPr>
      <w:tblStyleRowBandSize w:val="1"/>
      <w:tblStyleColBandSize w:val="1"/>
      <w:tblInd w:w="0" w:type="nil"/>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11">
    <w:name w:val="Grid Table 2 - Accent 5111"/>
    <w:basedOn w:val="TableNormal"/>
    <w:uiPriority w:val="47"/>
    <w:rPr>
      <w:rFonts w:ascii="Calibri" w:eastAsia="Calibri" w:hAnsi="Calibri"/>
      <w:sz w:val="22"/>
      <w:szCs w:val="22"/>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6111">
    <w:name w:val="Grid Table 2 - Accent 6111"/>
    <w:basedOn w:val="TableNormal"/>
    <w:uiPriority w:val="47"/>
    <w:rPr>
      <w:rFonts w:ascii="Calibri" w:eastAsia="Calibri" w:hAnsi="Calibri"/>
      <w:sz w:val="22"/>
      <w:szCs w:val="22"/>
    </w:rPr>
    <w:tblPr>
      <w:tblStyleRowBandSize w:val="1"/>
      <w:tblStyleColBandSize w:val="1"/>
      <w:tblInd w:w="0" w:type="nil"/>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11">
    <w:name w:val="Grid Table 3111"/>
    <w:basedOn w:val="TableNormal"/>
    <w:uiPriority w:val="48"/>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11">
    <w:name w:val="Grid Table 3 - Accent 1111"/>
    <w:basedOn w:val="TableNormal"/>
    <w:uiPriority w:val="48"/>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2111">
    <w:name w:val="Grid Table 3 - Accent 2111"/>
    <w:basedOn w:val="TableNormal"/>
    <w:uiPriority w:val="48"/>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11">
    <w:name w:val="Grid Table 3 - Accent 3111"/>
    <w:basedOn w:val="TableNormal"/>
    <w:uiPriority w:val="48"/>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11">
    <w:name w:val="Grid Table 3 - Accent 4111"/>
    <w:basedOn w:val="TableNormal"/>
    <w:uiPriority w:val="48"/>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11">
    <w:name w:val="Grid Table 3 - Accent 5111"/>
    <w:basedOn w:val="TableNormal"/>
    <w:uiPriority w:val="48"/>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6111">
    <w:name w:val="Grid Table 3 - Accent 6111"/>
    <w:basedOn w:val="TableNormal"/>
    <w:uiPriority w:val="48"/>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11">
    <w:name w:val="Grid Table 4111"/>
    <w:basedOn w:val="TableNormal"/>
    <w:uiPriority w:val="49"/>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11">
    <w:name w:val="Grid Table 4 - Accent 1111"/>
    <w:basedOn w:val="TableNormal"/>
    <w:uiPriority w:val="49"/>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11">
    <w:name w:val="Grid Table 4 - Accent 2111"/>
    <w:basedOn w:val="TableNormal"/>
    <w:uiPriority w:val="49"/>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11">
    <w:name w:val="Grid Table 4 - Accent 3111"/>
    <w:basedOn w:val="TableNormal"/>
    <w:uiPriority w:val="49"/>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11">
    <w:name w:val="Grid Table 4 - Accent 4111"/>
    <w:basedOn w:val="TableNormal"/>
    <w:uiPriority w:val="49"/>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11">
    <w:name w:val="Grid Table 4 - Accent 5111"/>
    <w:basedOn w:val="TableNormal"/>
    <w:uiPriority w:val="49"/>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111">
    <w:name w:val="Grid Table 4 - Accent 6111"/>
    <w:basedOn w:val="TableNormal"/>
    <w:uiPriority w:val="49"/>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11">
    <w:name w:val="Grid Table 5 Dark11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1">
    <w:name w:val="Grid Table 5 Dark - Accent 111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2111">
    <w:name w:val="Grid Table 5 Dark - Accent 211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11">
    <w:name w:val="Grid Table 5 Dark - Accent 311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11">
    <w:name w:val="Grid Table 5 Dark - Accent 411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11">
    <w:name w:val="Grid Table 5 Dark - Accent 511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6111">
    <w:name w:val="Grid Table 5 Dark - Accent 611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7Colorful111">
    <w:name w:val="Grid Table 7 Colorful111"/>
    <w:basedOn w:val="TableNormal"/>
    <w:uiPriority w:val="52"/>
    <w:rPr>
      <w:rFonts w:ascii="Calibri" w:eastAsia="Calibri" w:hAnsi="Calibri"/>
      <w:color w:val="000000"/>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11">
    <w:name w:val="Grid Table 7 Colorful - Accent 1111"/>
    <w:basedOn w:val="TableNormal"/>
    <w:uiPriority w:val="52"/>
    <w:rPr>
      <w:rFonts w:ascii="Calibri" w:eastAsia="Calibri" w:hAnsi="Calibri"/>
      <w:color w:val="2E74B5"/>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2111">
    <w:name w:val="Grid Table 7 Colorful - Accent 2111"/>
    <w:basedOn w:val="TableNormal"/>
    <w:uiPriority w:val="52"/>
    <w:rPr>
      <w:rFonts w:ascii="Calibri" w:eastAsia="Calibri" w:hAnsi="Calibri"/>
      <w:color w:val="C45911"/>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11">
    <w:name w:val="Grid Table 7 Colorful - Accent 3111"/>
    <w:basedOn w:val="TableNormal"/>
    <w:uiPriority w:val="52"/>
    <w:rPr>
      <w:rFonts w:ascii="Calibri" w:eastAsia="Calibri" w:hAnsi="Calibri"/>
      <w:color w:val="7B7B7B"/>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11">
    <w:name w:val="Grid Table 7 Colorful - Accent 4111"/>
    <w:basedOn w:val="TableNormal"/>
    <w:uiPriority w:val="52"/>
    <w:rPr>
      <w:rFonts w:ascii="Calibri" w:eastAsia="Calibri" w:hAnsi="Calibri"/>
      <w:color w:val="BF8F00"/>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11">
    <w:name w:val="Grid Table 7 Colorful - Accent 5111"/>
    <w:basedOn w:val="TableNormal"/>
    <w:uiPriority w:val="52"/>
    <w:rPr>
      <w:rFonts w:ascii="Calibri" w:eastAsia="Calibri" w:hAnsi="Calibri"/>
      <w:color w:val="2F5496"/>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6111">
    <w:name w:val="Grid Table 7 Colorful - Accent 6111"/>
    <w:basedOn w:val="TableNormal"/>
    <w:uiPriority w:val="52"/>
    <w:rPr>
      <w:rFonts w:ascii="Calibri" w:eastAsia="Calibri" w:hAnsi="Calibri"/>
      <w:color w:val="538135"/>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11">
    <w:name w:val="Light Grid111"/>
    <w:basedOn w:val="TableNormal"/>
    <w:uiPriority w:val="62"/>
    <w:rPr>
      <w:rFonts w:ascii="Calibri" w:eastAsia="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
    <w:name w:val="Light Grid - Accent 1111"/>
    <w:basedOn w:val="TableNormal"/>
    <w:uiPriority w:val="62"/>
    <w:rPr>
      <w:rFonts w:ascii="Calibri" w:eastAsia="Calibri" w:hAnsi="Calibri"/>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111">
    <w:name w:val="Light Grid - Accent 2111"/>
    <w:basedOn w:val="TableNormal"/>
    <w:uiPriority w:val="62"/>
    <w:rPr>
      <w:rFonts w:ascii="Calibri" w:eastAsia="Calibri" w:hAnsi="Calibri"/>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11">
    <w:name w:val="Light Grid - Accent 3111"/>
    <w:basedOn w:val="TableNormal"/>
    <w:uiPriority w:val="62"/>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11">
    <w:name w:val="Light Grid - Accent 4111"/>
    <w:basedOn w:val="TableNormal"/>
    <w:uiPriority w:val="62"/>
    <w:rPr>
      <w:rFonts w:ascii="Calibri" w:eastAsia="Calibri" w:hAnsi="Calibri"/>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11">
    <w:name w:val="Light Grid - Accent 5111"/>
    <w:basedOn w:val="TableNormal"/>
    <w:uiPriority w:val="62"/>
    <w:rPr>
      <w:rFonts w:ascii="Calibri" w:eastAsia="Calibri" w:hAnsi="Calibri"/>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6111">
    <w:name w:val="Light Grid - Accent 6111"/>
    <w:basedOn w:val="TableNormal"/>
    <w:uiPriority w:val="62"/>
    <w:rPr>
      <w:rFonts w:ascii="Calibri" w:eastAsia="Calibri" w:hAnsi="Calibri"/>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11">
    <w:name w:val="Light List111"/>
    <w:basedOn w:val="TableNormal"/>
    <w:uiPriority w:val="61"/>
    <w:rPr>
      <w:rFonts w:ascii="Calibri" w:eastAsia="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
    <w:name w:val="Light List - Accent 1111"/>
    <w:basedOn w:val="TableNormal"/>
    <w:uiPriority w:val="61"/>
    <w:rPr>
      <w:rFonts w:ascii="Calibri" w:eastAsia="Calibri" w:hAnsi="Calibri"/>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100" w:beforeAutospacing="1" w:afterLines="0" w:after="100" w:afterAutospacing="1" w:line="240" w:lineRule="auto"/>
      </w:pPr>
      <w:rPr>
        <w:b/>
        <w:bCs/>
        <w:color w:val="FFFFFF"/>
      </w:rPr>
      <w:tblPr/>
      <w:tcPr>
        <w:shd w:val="clear" w:color="auto" w:fill="5B9BD5"/>
      </w:tcPr>
    </w:tblStylePr>
    <w:tblStylePr w:type="lastRow">
      <w:pPr>
        <w:spacing w:beforeLines="0" w:before="100" w:beforeAutospacing="1" w:afterLines="0" w:after="100" w:afterAutospacing="1"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2111">
    <w:name w:val="Light List - Accent 2111"/>
    <w:basedOn w:val="TableNormal"/>
    <w:uiPriority w:val="61"/>
    <w:rPr>
      <w:rFonts w:ascii="Calibri" w:eastAsia="Calibri" w:hAnsi="Calibri"/>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pPr>
        <w:spacing w:beforeLines="0" w:before="100" w:beforeAutospacing="1" w:afterLines="0" w:after="100" w:afterAutospacing="1" w:line="240" w:lineRule="auto"/>
      </w:pPr>
      <w:rPr>
        <w:b/>
        <w:bCs/>
        <w:color w:val="FFFFFF"/>
      </w:rPr>
      <w:tblPr/>
      <w:tcPr>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11">
    <w:name w:val="Light List - Accent 3111"/>
    <w:basedOn w:val="TableNormal"/>
    <w:uiPriority w:val="61"/>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11">
    <w:name w:val="Light List - Accent 4111"/>
    <w:basedOn w:val="TableNormal"/>
    <w:uiPriority w:val="61"/>
    <w:rPr>
      <w:rFonts w:ascii="Calibri" w:eastAsia="Calibri" w:hAnsi="Calibri"/>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pPr>
        <w:spacing w:beforeLines="0" w:before="100" w:beforeAutospacing="1" w:afterLines="0" w:after="100" w:afterAutospacing="1" w:line="240" w:lineRule="auto"/>
      </w:pPr>
      <w:rPr>
        <w:b/>
        <w:bCs/>
        <w:color w:val="FFFFFF"/>
      </w:rPr>
      <w:tblPr/>
      <w:tcPr>
        <w:shd w:val="clear" w:color="auto" w:fill="FFC000"/>
      </w:tcPr>
    </w:tblStylePr>
    <w:tblStylePr w:type="lastRow">
      <w:pPr>
        <w:spacing w:beforeLines="0" w:before="100" w:beforeAutospacing="1" w:afterLines="0" w:after="100" w:afterAutospacing="1"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11">
    <w:name w:val="Light List - Accent 5111"/>
    <w:basedOn w:val="TableNormal"/>
    <w:uiPriority w:val="61"/>
    <w:rPr>
      <w:rFonts w:ascii="Calibri" w:eastAsia="Calibri" w:hAnsi="Calibri"/>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100" w:beforeAutospacing="1" w:afterLines="0" w:after="100" w:afterAutospacing="1" w:line="240" w:lineRule="auto"/>
      </w:pPr>
      <w:rPr>
        <w:b/>
        <w:bCs/>
        <w:color w:val="FFFFFF"/>
      </w:rPr>
      <w:tblPr/>
      <w:tcPr>
        <w:shd w:val="clear" w:color="auto" w:fill="4472C4"/>
      </w:tcPr>
    </w:tblStylePr>
    <w:tblStylePr w:type="lastRow">
      <w:pPr>
        <w:spacing w:beforeLines="0" w:before="100" w:beforeAutospacing="1" w:afterLines="0" w:after="100" w:afterAutospacing="1"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6111">
    <w:name w:val="Light List - Accent 6111"/>
    <w:basedOn w:val="TableNormal"/>
    <w:uiPriority w:val="61"/>
    <w:rPr>
      <w:rFonts w:ascii="Calibri" w:eastAsia="Calibri" w:hAnsi="Calibri"/>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pPr>
        <w:spacing w:beforeLines="0" w:before="100" w:beforeAutospacing="1" w:afterLines="0" w:after="100" w:afterAutospacing="1" w:line="240" w:lineRule="auto"/>
      </w:pPr>
      <w:rPr>
        <w:b/>
        <w:bCs/>
        <w:color w:val="FFFFFF"/>
      </w:rPr>
      <w:tblPr/>
      <w:tcPr>
        <w:shd w:val="clear" w:color="auto" w:fill="70AD47"/>
      </w:tcPr>
    </w:tblStylePr>
    <w:tblStylePr w:type="lastRow">
      <w:pPr>
        <w:spacing w:beforeLines="0" w:before="100" w:beforeAutospacing="1" w:afterLines="0" w:after="100" w:afterAutospacing="1"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11">
    <w:name w:val="Light Shading111"/>
    <w:basedOn w:val="TableNormal"/>
    <w:uiPriority w:val="60"/>
    <w:rPr>
      <w:rFonts w:ascii="Calibri" w:eastAsia="Calibri" w:hAnsi="Calibri"/>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TableNormal"/>
    <w:uiPriority w:val="60"/>
    <w:rPr>
      <w:rFonts w:ascii="Calibri" w:eastAsia="Calibri" w:hAnsi="Calibri"/>
      <w:color w:val="2E74B5"/>
      <w:sz w:val="22"/>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2111">
    <w:name w:val="Light Shading - Accent 2111"/>
    <w:basedOn w:val="TableNormal"/>
    <w:uiPriority w:val="60"/>
    <w:rPr>
      <w:rFonts w:ascii="Calibri" w:eastAsia="Calibri" w:hAnsi="Calibri"/>
      <w:color w:val="C45911"/>
      <w:sz w:val="22"/>
      <w:szCs w:val="22"/>
    </w:rPr>
    <w:tblPr>
      <w:tblStyleRowBandSize w:val="1"/>
      <w:tblStyleColBandSize w:val="1"/>
      <w:tblInd w:w="0" w:type="nil"/>
      <w:tblBorders>
        <w:top w:val="single" w:sz="8" w:space="0" w:color="ED7D31"/>
        <w:bottom w:val="single" w:sz="8" w:space="0" w:color="ED7D31"/>
      </w:tblBorders>
    </w:tblPr>
    <w:tblStylePr w:type="firstRow">
      <w:pPr>
        <w:spacing w:beforeLines="0" w:before="100" w:beforeAutospacing="1" w:afterLines="0" w:after="100" w:afterAutospacing="1"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11">
    <w:name w:val="Light Shading - Accent 3111"/>
    <w:basedOn w:val="TableNormal"/>
    <w:uiPriority w:val="60"/>
    <w:rPr>
      <w:rFonts w:ascii="Calibri" w:eastAsia="Calibri" w:hAnsi="Calibri"/>
      <w:color w:val="7B7B7B"/>
      <w:sz w:val="22"/>
      <w:szCs w:val="22"/>
    </w:rPr>
    <w:tblPr>
      <w:tblStyleRowBandSize w:val="1"/>
      <w:tblStyleColBandSize w:val="1"/>
      <w:tblInd w:w="0" w:type="nil"/>
      <w:tblBorders>
        <w:top w:val="single" w:sz="8" w:space="0" w:color="A5A5A5"/>
        <w:bottom w:val="single" w:sz="8" w:space="0" w:color="A5A5A5"/>
      </w:tblBorders>
    </w:tblPr>
    <w:tblStylePr w:type="fir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11">
    <w:name w:val="Light Shading - Accent 4111"/>
    <w:basedOn w:val="TableNormal"/>
    <w:uiPriority w:val="60"/>
    <w:rPr>
      <w:rFonts w:ascii="Calibri" w:eastAsia="Calibri" w:hAnsi="Calibri"/>
      <w:color w:val="BF8F00"/>
      <w:sz w:val="22"/>
      <w:szCs w:val="22"/>
    </w:rPr>
    <w:tblPr>
      <w:tblStyleRowBandSize w:val="1"/>
      <w:tblStyleColBandSize w:val="1"/>
      <w:tblInd w:w="0" w:type="nil"/>
      <w:tblBorders>
        <w:top w:val="single" w:sz="8" w:space="0" w:color="FFC000"/>
        <w:bottom w:val="single" w:sz="8" w:space="0" w:color="FFC000"/>
      </w:tblBorders>
    </w:tblPr>
    <w:tblStylePr w:type="firstRow">
      <w:pPr>
        <w:spacing w:beforeLines="0" w:before="100" w:beforeAutospacing="1" w:afterLines="0" w:after="100" w:afterAutospacing="1"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11">
    <w:name w:val="Light Shading - Accent 5111"/>
    <w:basedOn w:val="TableNormal"/>
    <w:uiPriority w:val="60"/>
    <w:rPr>
      <w:rFonts w:ascii="Calibri" w:eastAsia="Calibri" w:hAnsi="Calibri"/>
      <w:color w:val="2F5496"/>
      <w:sz w:val="22"/>
      <w:szCs w:val="22"/>
    </w:rPr>
    <w:tblPr>
      <w:tblStyleRowBandSize w:val="1"/>
      <w:tblStyleColBandSize w:val="1"/>
      <w:tblInd w:w="0" w:type="nil"/>
      <w:tblBorders>
        <w:top w:val="single" w:sz="8" w:space="0" w:color="4472C4"/>
        <w:bottom w:val="single" w:sz="8" w:space="0" w:color="4472C4"/>
      </w:tblBorders>
    </w:tblPr>
    <w:tblStylePr w:type="firstRow">
      <w:pPr>
        <w:spacing w:beforeLines="0" w:before="100" w:beforeAutospacing="1" w:afterLines="0" w:after="100" w:afterAutospacing="1"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6111">
    <w:name w:val="Light Shading - Accent 6111"/>
    <w:basedOn w:val="TableNormal"/>
    <w:uiPriority w:val="60"/>
    <w:rPr>
      <w:rFonts w:ascii="Calibri" w:eastAsia="Calibri" w:hAnsi="Calibri"/>
      <w:color w:val="538135"/>
      <w:sz w:val="22"/>
      <w:szCs w:val="22"/>
    </w:rPr>
    <w:tblPr>
      <w:tblStyleRowBandSize w:val="1"/>
      <w:tblStyleColBandSize w:val="1"/>
      <w:tblInd w:w="0" w:type="nil"/>
      <w:tblBorders>
        <w:top w:val="single" w:sz="8" w:space="0" w:color="70AD47"/>
        <w:bottom w:val="single" w:sz="8" w:space="0" w:color="70AD47"/>
      </w:tblBorders>
    </w:tblPr>
    <w:tblStylePr w:type="firstRow">
      <w:pPr>
        <w:spacing w:beforeLines="0" w:before="100" w:beforeAutospacing="1" w:afterLines="0" w:after="100" w:afterAutospacing="1"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3111">
    <w:name w:val="List Table 3111"/>
    <w:basedOn w:val="TableNormal"/>
    <w:uiPriority w:val="48"/>
    <w:rPr>
      <w:rFonts w:ascii="Calibri" w:eastAsia="Calibri" w:hAnsi="Calibri"/>
      <w:sz w:val="22"/>
      <w:szCs w:val="22"/>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11">
    <w:name w:val="List Table 3 - Accent 1111"/>
    <w:basedOn w:val="TableNormal"/>
    <w:uiPriority w:val="48"/>
    <w:rPr>
      <w:rFonts w:ascii="Calibri" w:eastAsia="Calibri" w:hAnsi="Calibri"/>
      <w:sz w:val="22"/>
      <w:szCs w:val="22"/>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2111">
    <w:name w:val="List Table 3 - Accent 2111"/>
    <w:basedOn w:val="TableNormal"/>
    <w:uiPriority w:val="48"/>
    <w:rPr>
      <w:rFonts w:ascii="Calibri" w:eastAsia="Calibri" w:hAnsi="Calibri"/>
      <w:sz w:val="22"/>
      <w:szCs w:val="22"/>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11">
    <w:name w:val="List Table 3 - Accent 3111"/>
    <w:basedOn w:val="TableNormal"/>
    <w:uiPriority w:val="48"/>
    <w:rPr>
      <w:rFonts w:ascii="Calibri" w:eastAsia="Calibri" w:hAnsi="Calibri"/>
      <w:sz w:val="22"/>
      <w:szCs w:val="22"/>
    </w:rPr>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11">
    <w:name w:val="List Table 3 - Accent 4111"/>
    <w:basedOn w:val="TableNormal"/>
    <w:uiPriority w:val="48"/>
    <w:rPr>
      <w:rFonts w:ascii="Calibri" w:eastAsia="Calibri" w:hAnsi="Calibri"/>
      <w:sz w:val="22"/>
      <w:szCs w:val="22"/>
    </w:rPr>
    <w:tblPr>
      <w:tblStyleRowBandSize w:val="1"/>
      <w:tblStyleColBandSize w:val="1"/>
      <w:tblInd w:w="0" w:type="nil"/>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11">
    <w:name w:val="List Table 3 - Accent 5111"/>
    <w:basedOn w:val="TableNormal"/>
    <w:uiPriority w:val="48"/>
    <w:rPr>
      <w:rFonts w:ascii="Calibri" w:eastAsia="Calibri" w:hAnsi="Calibri"/>
      <w:sz w:val="22"/>
      <w:szCs w:val="22"/>
    </w:rPr>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6111">
    <w:name w:val="List Table 3 - Accent 6111"/>
    <w:basedOn w:val="TableNormal"/>
    <w:uiPriority w:val="48"/>
    <w:rPr>
      <w:rFonts w:ascii="Calibri" w:eastAsia="Calibri" w:hAnsi="Calibri"/>
      <w:sz w:val="22"/>
      <w:szCs w:val="22"/>
    </w:rPr>
    <w:tblPr>
      <w:tblStyleRowBandSize w:val="1"/>
      <w:tblStyleColBandSize w:val="1"/>
      <w:tblInd w:w="0" w:type="nil"/>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11">
    <w:name w:val="List Table 4111"/>
    <w:basedOn w:val="TableNormal"/>
    <w:uiPriority w:val="49"/>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11">
    <w:name w:val="List Table 4 - Accent 1111"/>
    <w:basedOn w:val="TableNormal"/>
    <w:uiPriority w:val="49"/>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2111">
    <w:name w:val="List Table 4 - Accent 2111"/>
    <w:basedOn w:val="TableNormal"/>
    <w:uiPriority w:val="49"/>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11">
    <w:name w:val="List Table 4 - Accent 3111"/>
    <w:basedOn w:val="TableNormal"/>
    <w:uiPriority w:val="49"/>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11">
    <w:name w:val="List Table 4 - Accent 4111"/>
    <w:basedOn w:val="TableNormal"/>
    <w:uiPriority w:val="49"/>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11">
    <w:name w:val="List Table 4 - Accent 5111"/>
    <w:basedOn w:val="TableNormal"/>
    <w:uiPriority w:val="49"/>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6111">
    <w:name w:val="List Table 4 - Accent 6111"/>
    <w:basedOn w:val="TableNormal"/>
    <w:uiPriority w:val="49"/>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11">
    <w:name w:val="List Table 5 Dark11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11">
    <w:name w:val="List Table 5 Dark - Accent 111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11">
    <w:name w:val="List Table 5 Dark - Accent 211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11">
    <w:name w:val="List Table 5 Dark - Accent 311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11">
    <w:name w:val="List Table 5 Dark - Accent 411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11">
    <w:name w:val="List Table 5 Dark - Accent 511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11">
    <w:name w:val="List Table 5 Dark - Accent 611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111">
    <w:name w:val="List Table 7 Colorful111"/>
    <w:basedOn w:val="TableNormal"/>
    <w:uiPriority w:val="52"/>
    <w:rPr>
      <w:rFonts w:ascii="Calibri" w:eastAsia="Calibri" w:hAnsi="Calibri"/>
      <w:color w:val="000000"/>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000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000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11">
    <w:name w:val="List Table 7 Colorful - Accent 1111"/>
    <w:basedOn w:val="TableNormal"/>
    <w:uiPriority w:val="52"/>
    <w:rPr>
      <w:rFonts w:ascii="Calibri" w:eastAsia="Calibri" w:hAnsi="Calibri"/>
      <w:color w:val="2E74B5"/>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5B9BD5"/>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5B9BD5"/>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5B9BD5"/>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11">
    <w:name w:val="List Table 7 Colorful - Accent 2111"/>
    <w:basedOn w:val="TableNormal"/>
    <w:uiPriority w:val="52"/>
    <w:rPr>
      <w:rFonts w:ascii="Calibri" w:eastAsia="Calibri" w:hAnsi="Calibri"/>
      <w:color w:val="C45911"/>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ED7D31"/>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ED7D31"/>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ED7D31"/>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11">
    <w:name w:val="List Table 7 Colorful - Accent 3111"/>
    <w:basedOn w:val="TableNormal"/>
    <w:uiPriority w:val="52"/>
    <w:rPr>
      <w:rFonts w:ascii="Calibri" w:eastAsia="Calibri" w:hAnsi="Calibri"/>
      <w:color w:val="7B7B7B"/>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A5A5A5"/>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A5A5A5"/>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A5A5A5"/>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11">
    <w:name w:val="List Table 7 Colorful - Accent 4111"/>
    <w:basedOn w:val="TableNormal"/>
    <w:uiPriority w:val="52"/>
    <w:rPr>
      <w:rFonts w:ascii="Calibri" w:eastAsia="Calibri" w:hAnsi="Calibri"/>
      <w:color w:val="BF8F00"/>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FFC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FFC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FFC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11">
    <w:name w:val="List Table 7 Colorful - Accent 5111"/>
    <w:basedOn w:val="TableNormal"/>
    <w:uiPriority w:val="52"/>
    <w:rPr>
      <w:rFonts w:ascii="Calibri" w:eastAsia="Calibri" w:hAnsi="Calibri"/>
      <w:color w:val="2F5496"/>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4472C4"/>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4472C4"/>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4472C4"/>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11">
    <w:name w:val="List Table 7 Colorful - Accent 6111"/>
    <w:basedOn w:val="TableNormal"/>
    <w:uiPriority w:val="52"/>
    <w:rPr>
      <w:rFonts w:ascii="Calibri" w:eastAsia="Calibri" w:hAnsi="Calibri"/>
      <w:color w:val="538135"/>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70AD47"/>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0AD47"/>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0AD47"/>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2111">
    <w:name w:val="Medium Grid 2111"/>
    <w:basedOn w:val="TableNormal"/>
    <w:uiPriority w:val="68"/>
    <w:rPr>
      <w:rFonts w:ascii="Calibri" w:hAnsi="Calibri"/>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11">
    <w:name w:val="Medium Grid 2 - Accent 1111"/>
    <w:basedOn w:val="TableNormal"/>
    <w:uiPriority w:val="68"/>
    <w:rPr>
      <w:rFonts w:ascii="Calibri" w:hAnsi="Calibri"/>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2111">
    <w:name w:val="Medium Grid 2 - Accent 2111"/>
    <w:basedOn w:val="TableNormal"/>
    <w:uiPriority w:val="68"/>
    <w:rPr>
      <w:rFonts w:ascii="Calibri" w:hAnsi="Calibri"/>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11">
    <w:name w:val="Medium Grid 2 - Accent 3111"/>
    <w:basedOn w:val="TableNormal"/>
    <w:uiPriority w:val="68"/>
    <w:rPr>
      <w:rFonts w:ascii="Calibri" w:hAnsi="Calibri"/>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11">
    <w:name w:val="Medium Grid 2 - Accent 4111"/>
    <w:basedOn w:val="TableNormal"/>
    <w:uiPriority w:val="68"/>
    <w:rPr>
      <w:rFonts w:ascii="Calibri" w:hAnsi="Calibri"/>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11">
    <w:name w:val="Medium Grid 2 - Accent 5111"/>
    <w:basedOn w:val="TableNormal"/>
    <w:uiPriority w:val="68"/>
    <w:rPr>
      <w:rFonts w:ascii="Calibri" w:hAnsi="Calibri"/>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6111">
    <w:name w:val="Medium Grid 2 - Accent 6111"/>
    <w:basedOn w:val="TableNormal"/>
    <w:uiPriority w:val="68"/>
    <w:rPr>
      <w:rFonts w:ascii="Calibri" w:hAnsi="Calibri"/>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11">
    <w:name w:val="Medium Grid 311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11">
    <w:name w:val="Medium Grid 3 - Accent 111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2111">
    <w:name w:val="Medium Grid 3 - Accent 211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11">
    <w:name w:val="Medium Grid 3 - Accent 311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11">
    <w:name w:val="Medium Grid 3 - Accent 411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11">
    <w:name w:val="Medium Grid 3 - Accent 511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6111">
    <w:name w:val="Medium Grid 3 - Accent 611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11">
    <w:name w:val="Medium List 111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000000"/>
        <w:bottom w:val="single" w:sz="8" w:space="0" w:color="000000"/>
      </w:tblBorders>
    </w:tblPr>
    <w:tblStylePr w:type="firstRow">
      <w:rPr>
        <w:rFonts w:ascii="Times New Roman" w:eastAsia="Times New Roman" w:hAnsi="Times New Roman"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1">
    <w:name w:val="Medium List 1 - Accent 111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5B9BD5"/>
        <w:bottom w:val="single" w:sz="8" w:space="0" w:color="5B9BD5"/>
      </w:tblBorders>
    </w:tblPr>
    <w:tblStylePr w:type="firstRow">
      <w:rPr>
        <w:rFonts w:ascii="Times New Roman" w:eastAsia="Times New Roman" w:hAnsi="Times New Roman" w:cs="Times New Roman" w:hint="default"/>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2111">
    <w:name w:val="Medium List 1 - Accent 211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ED7D31"/>
        <w:bottom w:val="single" w:sz="8" w:space="0" w:color="ED7D31"/>
      </w:tblBorders>
    </w:tblPr>
    <w:tblStylePr w:type="firstRow">
      <w:rPr>
        <w:rFonts w:ascii="Times New Roman" w:eastAsia="Times New Roman" w:hAnsi="Times New Roman" w:cs="Times New Roman" w:hint="default"/>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11">
    <w:name w:val="Medium List 1 - Accent 311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A5A5A5"/>
        <w:bottom w:val="single" w:sz="8" w:space="0" w:color="A5A5A5"/>
      </w:tblBorders>
    </w:tblPr>
    <w:tblStylePr w:type="firstRow">
      <w:rPr>
        <w:rFonts w:ascii="Times New Roman" w:eastAsia="Times New Roman" w:hAnsi="Times New Roman" w:cs="Times New Roman" w:hint="default"/>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11">
    <w:name w:val="Medium List 1 - Accent 411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FFC000"/>
        <w:bottom w:val="single" w:sz="8" w:space="0" w:color="FFC000"/>
      </w:tblBorders>
    </w:tblPr>
    <w:tblStylePr w:type="firstRow">
      <w:rPr>
        <w:rFonts w:ascii="Times New Roman" w:eastAsia="Times New Roman" w:hAnsi="Times New Roman" w:cs="Times New Roman" w:hint="default"/>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11">
    <w:name w:val="Medium List 1 - Accent 511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4472C4"/>
        <w:bottom w:val="single" w:sz="8" w:space="0" w:color="4472C4"/>
      </w:tblBorders>
    </w:tblPr>
    <w:tblStylePr w:type="firstRow">
      <w:rPr>
        <w:rFonts w:ascii="Times New Roman" w:eastAsia="Times New Roman" w:hAnsi="Times New Roman" w:cs="Times New Roman" w:hint="default"/>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6111">
    <w:name w:val="Medium List 1 - Accent 611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70AD47"/>
        <w:bottom w:val="single" w:sz="8" w:space="0" w:color="70AD47"/>
      </w:tblBorders>
    </w:tblPr>
    <w:tblStylePr w:type="firstRow">
      <w:rPr>
        <w:rFonts w:ascii="Times New Roman" w:eastAsia="Times New Roman" w:hAnsi="Times New Roman" w:cs="Times New Roman" w:hint="default"/>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11">
    <w:name w:val="Medium List 2111"/>
    <w:basedOn w:val="TableNormal"/>
    <w:uiPriority w:val="66"/>
    <w:rPr>
      <w:rFonts w:ascii="Calibri" w:hAnsi="Calibri"/>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11">
    <w:name w:val="Medium List 2 - Accent 1111"/>
    <w:basedOn w:val="TableNormal"/>
    <w:uiPriority w:val="66"/>
    <w:rPr>
      <w:rFonts w:ascii="Calibri" w:hAnsi="Calibri"/>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2111">
    <w:name w:val="Medium List 2 - Accent 2111"/>
    <w:basedOn w:val="TableNormal"/>
    <w:uiPriority w:val="66"/>
    <w:rPr>
      <w:rFonts w:ascii="Calibri" w:hAnsi="Calibri"/>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11">
    <w:name w:val="Medium List 2 - Accent 3111"/>
    <w:basedOn w:val="TableNormal"/>
    <w:uiPriority w:val="66"/>
    <w:rPr>
      <w:rFonts w:ascii="Calibri" w:hAnsi="Calibri"/>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11">
    <w:name w:val="Medium List 2 - Accent 4111"/>
    <w:basedOn w:val="TableNormal"/>
    <w:uiPriority w:val="66"/>
    <w:rPr>
      <w:rFonts w:ascii="Calibri" w:hAnsi="Calibri"/>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11">
    <w:name w:val="Medium List 2 - Accent 5111"/>
    <w:basedOn w:val="TableNormal"/>
    <w:uiPriority w:val="66"/>
    <w:rPr>
      <w:rFonts w:ascii="Calibri" w:hAnsi="Calibri"/>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6111">
    <w:name w:val="Medium List 2 - Accent 6111"/>
    <w:basedOn w:val="TableNormal"/>
    <w:uiPriority w:val="66"/>
    <w:rPr>
      <w:rFonts w:ascii="Calibri" w:hAnsi="Calibri"/>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11">
    <w:name w:val="Medium Shading 1111"/>
    <w:basedOn w:val="TableNormal"/>
    <w:uiPriority w:val="63"/>
    <w:rPr>
      <w:rFonts w:ascii="Calibri" w:eastAsia="Calibri" w:hAnsi="Calibri"/>
      <w:sz w:val="22"/>
      <w:szCs w:val="22"/>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100" w:beforeAutospacing="1" w:afterLines="0" w:after="100" w:afterAutospacing="1"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
    <w:name w:val="Medium Shading 1 - Accent 1111"/>
    <w:basedOn w:val="TableNormal"/>
    <w:uiPriority w:val="63"/>
    <w:rPr>
      <w:rFonts w:ascii="Calibri" w:eastAsia="Calibri" w:hAnsi="Calibri"/>
      <w:sz w:val="22"/>
      <w:szCs w:val="22"/>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100" w:beforeAutospacing="1" w:afterLines="0" w:after="100" w:afterAutospacing="1"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100" w:beforeAutospacing="1" w:afterLines="0" w:after="100" w:afterAutospacing="1"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2111">
    <w:name w:val="Medium Shading 1 - Accent 2111"/>
    <w:basedOn w:val="TableNormal"/>
    <w:uiPriority w:val="63"/>
    <w:rPr>
      <w:rFonts w:ascii="Calibri" w:eastAsia="Calibri" w:hAnsi="Calibri"/>
      <w:sz w:val="22"/>
      <w:szCs w:val="22"/>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11">
    <w:name w:val="Medium Shading 1 - Accent 3111"/>
    <w:basedOn w:val="TableNormal"/>
    <w:uiPriority w:val="63"/>
    <w:rPr>
      <w:rFonts w:ascii="Calibri" w:eastAsia="Calibri" w:hAnsi="Calibri"/>
      <w:sz w:val="22"/>
      <w:szCs w:val="22"/>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100" w:beforeAutospacing="1" w:afterLines="0" w:after="100" w:afterAutospacing="1"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11">
    <w:name w:val="Medium Shading 1 - Accent 4111"/>
    <w:basedOn w:val="TableNormal"/>
    <w:uiPriority w:val="63"/>
    <w:rPr>
      <w:rFonts w:ascii="Calibri" w:eastAsia="Calibri" w:hAnsi="Calibri"/>
      <w:sz w:val="22"/>
      <w:szCs w:val="22"/>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100" w:beforeAutospacing="1" w:afterLines="0" w:after="100" w:afterAutospacing="1"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100" w:beforeAutospacing="1" w:afterLines="0" w:after="100" w:afterAutospacing="1"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11">
    <w:name w:val="Medium Shading 1 - Accent 5111"/>
    <w:basedOn w:val="TableNormal"/>
    <w:uiPriority w:val="63"/>
    <w:rPr>
      <w:rFonts w:ascii="Calibri" w:eastAsia="Calibri" w:hAnsi="Calibri"/>
      <w:sz w:val="22"/>
      <w:szCs w:val="22"/>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6111">
    <w:name w:val="Medium Shading 1 - Accent 6111"/>
    <w:basedOn w:val="TableNormal"/>
    <w:uiPriority w:val="63"/>
    <w:rPr>
      <w:rFonts w:ascii="Calibri" w:eastAsia="Calibri" w:hAnsi="Calibri"/>
      <w:sz w:val="22"/>
      <w:szCs w:val="22"/>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Lines="0" w:before="100" w:beforeAutospacing="1" w:afterLines="0" w:after="100" w:afterAutospacing="1"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Lines="0" w:before="100" w:beforeAutospacing="1" w:afterLines="0" w:after="100" w:afterAutospacing="1"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11">
    <w:name w:val="Medium Shading 211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
    <w:name w:val="Medium Shading 2 - Accent 111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1">
    <w:name w:val="Medium Shading 2 - Accent 211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
    <w:name w:val="Medium Shading 2 - Accent 311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
    <w:name w:val="Medium Shading 2 - Accent 411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
    <w:name w:val="Medium Shading 2 - Accent 511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
    <w:name w:val="Medium Shading 2 - Accent 611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3111">
    <w:name w:val="Plain Table 3111"/>
    <w:basedOn w:val="TableNormal"/>
    <w:uiPriority w:val="43"/>
    <w:rPr>
      <w:rFonts w:ascii="Calibri" w:eastAsia="Calibri" w:hAnsi="Calibri"/>
      <w:sz w:val="22"/>
      <w:szCs w:val="22"/>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1">
    <w:name w:val="Plain Table 5111"/>
    <w:basedOn w:val="TableNormal"/>
    <w:uiPriority w:val="45"/>
    <w:rPr>
      <w:rFonts w:ascii="Calibri" w:eastAsia="Calibri" w:hAnsi="Calibri"/>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7F7F7F"/>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F7F7F"/>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11">
    <w:name w:val="Table 3D effects 1111"/>
    <w:basedOn w:val="TableNormal"/>
    <w:uiPriority w:val="99"/>
    <w:rPr>
      <w:rFonts w:ascii="Calibri" w:eastAsia="Calibri" w:hAnsi="Calibri"/>
      <w:sz w:val="22"/>
      <w:szCs w:val="22"/>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11">
    <w:name w:val="Table 3D effects 3111"/>
    <w:basedOn w:val="TableNormal"/>
    <w:uiPriority w:val="99"/>
    <w:rPr>
      <w:rFonts w:ascii="Calibri" w:eastAsia="Calibri" w:hAnsi="Calibri"/>
      <w:sz w:val="22"/>
      <w:szCs w:val="22"/>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1">
    <w:name w:val="Table Classic 1111"/>
    <w:basedOn w:val="TableNormal"/>
    <w:uiPriority w:val="99"/>
    <w:rPr>
      <w:rFonts w:ascii="Calibri" w:eastAsia="Calibri" w:hAnsi="Calibri"/>
      <w:sz w:val="22"/>
      <w:szCs w:val="22"/>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1">
    <w:name w:val="Table Classic 2111"/>
    <w:basedOn w:val="TableNormal"/>
    <w:uiPriority w:val="99"/>
    <w:rPr>
      <w:rFonts w:ascii="Calibri" w:eastAsia="Calibri" w:hAnsi="Calibri"/>
      <w:sz w:val="22"/>
      <w:szCs w:val="22"/>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1">
    <w:name w:val="Table Classic 3111"/>
    <w:basedOn w:val="TableNormal"/>
    <w:uiPriority w:val="99"/>
    <w:rPr>
      <w:rFonts w:ascii="Calibri" w:eastAsia="Calibri" w:hAnsi="Calibri"/>
      <w:color w:val="000080"/>
      <w:sz w:val="22"/>
      <w:szCs w:val="22"/>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1">
    <w:name w:val="Table Classic 4111"/>
    <w:basedOn w:val="TableNormal"/>
    <w:uiPriority w:val="99"/>
    <w:rPr>
      <w:rFonts w:ascii="Calibri" w:eastAsia="Calibri" w:hAnsi="Calibri"/>
      <w:sz w:val="22"/>
      <w:szCs w:val="22"/>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11">
    <w:name w:val="Table Colorful 2111"/>
    <w:basedOn w:val="TableNormal"/>
    <w:uiPriority w:val="99"/>
    <w:rPr>
      <w:rFonts w:ascii="Calibri" w:eastAsia="Calibri" w:hAnsi="Calibri"/>
      <w:sz w:val="22"/>
      <w:szCs w:val="22"/>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1">
    <w:name w:val="Table Colorful 3111"/>
    <w:basedOn w:val="TableNormal"/>
    <w:uiPriority w:val="99"/>
    <w:rPr>
      <w:rFonts w:ascii="Calibri" w:eastAsia="Calibri" w:hAnsi="Calibri"/>
      <w:sz w:val="22"/>
      <w:szCs w:val="22"/>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uiPriority w:val="99"/>
    <w:rPr>
      <w:rFonts w:ascii="Calibri" w:eastAsia="Calibri" w:hAnsi="Calibri"/>
      <w:b/>
      <w:bCs/>
      <w:sz w:val="22"/>
      <w:szCs w:val="22"/>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1">
    <w:name w:val="Table Columns 2111"/>
    <w:basedOn w:val="TableNormal"/>
    <w:uiPriority w:val="99"/>
    <w:rPr>
      <w:rFonts w:ascii="Calibri" w:eastAsia="Calibri" w:hAnsi="Calibri"/>
      <w:b/>
      <w:bCs/>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1">
    <w:name w:val="Table Columns 3111"/>
    <w:basedOn w:val="TableNormal"/>
    <w:uiPriority w:val="99"/>
    <w:rPr>
      <w:rFonts w:ascii="Calibri" w:eastAsia="Calibri" w:hAnsi="Calibri"/>
      <w:b/>
      <w:bCs/>
      <w:sz w:val="22"/>
      <w:szCs w:val="22"/>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1">
    <w:name w:val="Table Columns 4111"/>
    <w:basedOn w:val="TableNormal"/>
    <w:uiPriority w:val="99"/>
    <w:rPr>
      <w:rFonts w:ascii="Calibri" w:eastAsia="Calibri" w:hAnsi="Calibri"/>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1">
    <w:name w:val="Table Columns 5111"/>
    <w:basedOn w:val="TableNormal"/>
    <w:uiPriority w:val="99"/>
    <w:rPr>
      <w:rFonts w:ascii="Calibri" w:eastAsia="Calibri" w:hAnsi="Calibri"/>
      <w:sz w:val="22"/>
      <w:szCs w:val="22"/>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1">
    <w:name w:val="Table Contemporary111"/>
    <w:basedOn w:val="TableNormal"/>
    <w:uiPriority w:val="99"/>
    <w:rPr>
      <w:rFonts w:ascii="Calibri" w:eastAsia="Calibri" w:hAnsi="Calibri"/>
      <w:sz w:val="22"/>
      <w:szCs w:val="22"/>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1">
    <w:name w:val="Table Elegant111"/>
    <w:basedOn w:val="TableNormal"/>
    <w:uiPriority w:val="99"/>
    <w:rPr>
      <w:rFonts w:ascii="Calibri" w:eastAsia="Calibri" w:hAnsi="Calibri"/>
      <w:sz w:val="22"/>
      <w:szCs w:val="22"/>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4111">
    <w:name w:val="Table Grid 4111"/>
    <w:basedOn w:val="TableNormal"/>
    <w:uiPriority w:val="99"/>
    <w:rPr>
      <w:rFonts w:ascii="Calibri" w:eastAsia="Calibri" w:hAnsi="Calibri"/>
      <w:sz w:val="22"/>
      <w:szCs w:val="22"/>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11">
    <w:name w:val="Table Grid 6111"/>
    <w:basedOn w:val="TableNormal"/>
    <w:uiPriority w:val="99"/>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1">
    <w:name w:val="Table Grid 8111"/>
    <w:basedOn w:val="TableNormal"/>
    <w:uiPriority w:val="99"/>
    <w:rPr>
      <w:rFonts w:ascii="Calibri" w:eastAsia="Calibri" w:hAnsi="Calibri"/>
      <w:sz w:val="22"/>
      <w:szCs w:val="22"/>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1">
    <w:name w:val="Table List 1111"/>
    <w:basedOn w:val="TableNormal"/>
    <w:uiPriority w:val="99"/>
    <w:rPr>
      <w:rFonts w:ascii="Calibri" w:eastAsia="Calibri" w:hAnsi="Calibri"/>
      <w:sz w:val="22"/>
      <w:szCs w:val="22"/>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1">
    <w:name w:val="Table List 2111"/>
    <w:basedOn w:val="TableNormal"/>
    <w:uiPriority w:val="99"/>
    <w:rPr>
      <w:rFonts w:ascii="Calibri" w:eastAsia="Calibri" w:hAnsi="Calibri"/>
      <w:sz w:val="22"/>
      <w:szCs w:val="22"/>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1">
    <w:name w:val="Table List 3111"/>
    <w:basedOn w:val="TableNormal"/>
    <w:uiPriority w:val="99"/>
    <w:rPr>
      <w:rFonts w:ascii="Calibri" w:eastAsia="Calibri" w:hAnsi="Calibri"/>
      <w:sz w:val="22"/>
      <w:szCs w:val="22"/>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1">
    <w:name w:val="Table List 4111"/>
    <w:basedOn w:val="TableNormal"/>
    <w:uiPriority w:val="99"/>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111">
    <w:name w:val="Table List 7111"/>
    <w:basedOn w:val="TableNormal"/>
    <w:uiPriority w:val="99"/>
    <w:rPr>
      <w:rFonts w:ascii="Calibri" w:eastAsia="Calibri" w:hAnsi="Calibri"/>
      <w:sz w:val="22"/>
      <w:szCs w:val="22"/>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1">
    <w:name w:val="Table List 8111"/>
    <w:basedOn w:val="TableNormal"/>
    <w:uiPriority w:val="99"/>
    <w:rPr>
      <w:rFonts w:ascii="Calibri" w:eastAsia="Calibri" w:hAnsi="Calibri"/>
      <w:sz w:val="22"/>
      <w:szCs w:val="22"/>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1">
    <w:name w:val="Table Professional111"/>
    <w:basedOn w:val="TableNormal"/>
    <w:uiPriority w:val="99"/>
    <w:rPr>
      <w:rFonts w:ascii="Calibri" w:eastAsia="Calibri" w:hAnsi="Calibri"/>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111">
    <w:name w:val="Table Simple 2111"/>
    <w:basedOn w:val="TableNormal"/>
    <w:uiPriority w:val="99"/>
    <w:rPr>
      <w:rFonts w:ascii="Calibri" w:eastAsia="Calibri" w:hAnsi="Calibri"/>
      <w:sz w:val="22"/>
      <w:szCs w:val="22"/>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1">
    <w:name w:val="Table Simple 3111"/>
    <w:basedOn w:val="TableNormal"/>
    <w:uiPriority w:val="99"/>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1111">
    <w:name w:val="Table Web 1111"/>
    <w:basedOn w:val="TableNormal"/>
    <w:uiPriority w:val="99"/>
    <w:rPr>
      <w:rFonts w:ascii="Calibri" w:eastAsia="Calibri" w:hAnsi="Calibri"/>
      <w:sz w:val="22"/>
      <w:szCs w:val="22"/>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1">
    <w:name w:val="Table Web 2111"/>
    <w:basedOn w:val="TableNormal"/>
    <w:uiPriority w:val="99"/>
    <w:rPr>
      <w:rFonts w:ascii="Calibri" w:eastAsia="Calibri" w:hAnsi="Calibri"/>
      <w:sz w:val="22"/>
      <w:szCs w:val="22"/>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1">
    <w:name w:val="Table Web 3111"/>
    <w:basedOn w:val="TableNormal"/>
    <w:uiPriority w:val="99"/>
    <w:rPr>
      <w:rFonts w:ascii="Calibri" w:eastAsia="Calibri" w:hAnsi="Calibri"/>
      <w:sz w:val="22"/>
      <w:szCs w:val="22"/>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olorfulGrid21">
    <w:name w:val="Colorful Grid2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1">
    <w:name w:val="Colorful Grid - Accent 12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221">
    <w:name w:val="Colorful Grid - Accent 22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21">
    <w:name w:val="Colorful Grid - Accent 32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21">
    <w:name w:val="Colorful Grid - Accent 42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21">
    <w:name w:val="Colorful Grid - Accent 52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621">
    <w:name w:val="Colorful Grid - Accent 621"/>
    <w:basedOn w:val="TableNormal"/>
    <w:uiPriority w:val="73"/>
    <w:rPr>
      <w:rFonts w:ascii="Calibri" w:eastAsia="Calibri" w:hAnsi="Calibri"/>
      <w:color w:val="000000"/>
      <w:sz w:val="22"/>
      <w:szCs w:val="22"/>
    </w:rPr>
    <w:tblPr>
      <w:tblStyleRowBandSize w:val="1"/>
      <w:tblStyleColBandSize w:val="1"/>
      <w:tblInd w:w="0" w:type="nil"/>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21">
    <w:name w:val="Colorful List21"/>
    <w:basedOn w:val="TableNormal"/>
    <w:uiPriority w:val="72"/>
    <w:rPr>
      <w:rFonts w:ascii="Calibri" w:eastAsia="Calibri" w:hAnsi="Calibri"/>
      <w:color w:val="000000"/>
      <w:sz w:val="22"/>
      <w:szCs w:val="22"/>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1">
    <w:name w:val="Colorful List - Accent 121"/>
    <w:basedOn w:val="TableNormal"/>
    <w:uiPriority w:val="72"/>
    <w:rPr>
      <w:rFonts w:ascii="Calibri" w:eastAsia="Calibri" w:hAnsi="Calibri"/>
      <w:color w:val="000000"/>
      <w:sz w:val="22"/>
      <w:szCs w:val="22"/>
    </w:rPr>
    <w:tblPr>
      <w:tblStyleRowBandSize w:val="1"/>
      <w:tblStyleColBandSize w:val="1"/>
      <w:tblInd w:w="0" w:type="nil"/>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221">
    <w:name w:val="Colorful List - Accent 221"/>
    <w:basedOn w:val="TableNormal"/>
    <w:uiPriority w:val="72"/>
    <w:rPr>
      <w:rFonts w:ascii="Calibri" w:eastAsia="Calibri" w:hAnsi="Calibri"/>
      <w:color w:val="000000"/>
      <w:sz w:val="22"/>
      <w:szCs w:val="22"/>
    </w:rPr>
    <w:tblPr>
      <w:tblStyleRowBandSize w:val="1"/>
      <w:tblStyleColBandSize w:val="1"/>
      <w:tblInd w:w="0" w:type="nil"/>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21">
    <w:name w:val="Colorful List - Accent 321"/>
    <w:basedOn w:val="TableNormal"/>
    <w:uiPriority w:val="72"/>
    <w:rPr>
      <w:rFonts w:ascii="Calibri" w:eastAsia="Calibri" w:hAnsi="Calibri"/>
      <w:color w:val="000000"/>
      <w:sz w:val="22"/>
      <w:szCs w:val="22"/>
    </w:rPr>
    <w:tblPr>
      <w:tblStyleRowBandSize w:val="1"/>
      <w:tblStyleColBandSize w:val="1"/>
      <w:tblInd w:w="0" w:type="nil"/>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21">
    <w:name w:val="Colorful List - Accent 421"/>
    <w:basedOn w:val="TableNormal"/>
    <w:uiPriority w:val="72"/>
    <w:rPr>
      <w:rFonts w:ascii="Calibri" w:eastAsia="Calibri" w:hAnsi="Calibri"/>
      <w:color w:val="000000"/>
      <w:sz w:val="22"/>
      <w:szCs w:val="22"/>
    </w:rPr>
    <w:tblPr>
      <w:tblStyleRowBandSize w:val="1"/>
      <w:tblStyleColBandSize w:val="1"/>
      <w:tblInd w:w="0" w:type="nil"/>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21">
    <w:name w:val="Colorful List - Accent 521"/>
    <w:basedOn w:val="TableNormal"/>
    <w:uiPriority w:val="72"/>
    <w:rPr>
      <w:rFonts w:ascii="Calibri" w:eastAsia="Calibri" w:hAnsi="Calibri"/>
      <w:color w:val="000000"/>
      <w:sz w:val="22"/>
      <w:szCs w:val="22"/>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621">
    <w:name w:val="Colorful List - Accent 621"/>
    <w:basedOn w:val="TableNormal"/>
    <w:uiPriority w:val="72"/>
    <w:rPr>
      <w:rFonts w:ascii="Calibri" w:eastAsia="Calibri" w:hAnsi="Calibri"/>
      <w:color w:val="000000"/>
      <w:sz w:val="22"/>
      <w:szCs w:val="22"/>
    </w:rPr>
    <w:tblPr>
      <w:tblStyleRowBandSize w:val="1"/>
      <w:tblStyleColBandSize w:val="1"/>
      <w:tblInd w:w="0" w:type="nil"/>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21">
    <w:name w:val="Colorful Shading2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1">
    <w:name w:val="Colorful Shading - Accent 12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221">
    <w:name w:val="Colorful Shading - Accent 22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21">
    <w:name w:val="Colorful Shading - Accent 32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21">
    <w:name w:val="Colorful Shading - Accent 42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21">
    <w:name w:val="Colorful Shading - Accent 52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621">
    <w:name w:val="Colorful Shading - Accent 621"/>
    <w:basedOn w:val="TableNormal"/>
    <w:uiPriority w:val="71"/>
    <w:rPr>
      <w:rFonts w:ascii="Calibri" w:eastAsia="Calibri" w:hAnsi="Calibri"/>
      <w:color w:val="000000"/>
      <w:sz w:val="22"/>
      <w:szCs w:val="22"/>
    </w:rPr>
    <w:tblPr>
      <w:tblStyleRowBandSize w:val="1"/>
      <w:tblStyleColBandSize w:val="1"/>
      <w:tblInd w:w="0" w:type="nil"/>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21">
    <w:name w:val="Dark List21"/>
    <w:basedOn w:val="TableNormal"/>
    <w:uiPriority w:val="70"/>
    <w:rPr>
      <w:rFonts w:ascii="Calibri" w:eastAsia="Calibri" w:hAnsi="Calibri"/>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1">
    <w:name w:val="Dark List - Accent 121"/>
    <w:basedOn w:val="TableNormal"/>
    <w:uiPriority w:val="70"/>
    <w:rPr>
      <w:rFonts w:ascii="Calibri" w:eastAsia="Calibri" w:hAnsi="Calibri"/>
      <w:color w:val="FFFFFF"/>
      <w:sz w:val="22"/>
      <w:szCs w:val="22"/>
    </w:rPr>
    <w:tblPr>
      <w:tblStyleRowBandSize w:val="1"/>
      <w:tblStyleColBandSize w:val="1"/>
      <w:tblInd w:w="0" w:type="nil"/>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221">
    <w:name w:val="Dark List - Accent 221"/>
    <w:basedOn w:val="TableNormal"/>
    <w:uiPriority w:val="70"/>
    <w:rPr>
      <w:rFonts w:ascii="Calibri" w:eastAsia="Calibri" w:hAnsi="Calibri"/>
      <w:color w:val="FFFFFF"/>
      <w:sz w:val="22"/>
      <w:szCs w:val="22"/>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21">
    <w:name w:val="Dark List - Accent 321"/>
    <w:basedOn w:val="TableNormal"/>
    <w:uiPriority w:val="70"/>
    <w:rPr>
      <w:rFonts w:ascii="Calibri" w:eastAsia="Calibri" w:hAnsi="Calibri"/>
      <w:color w:val="FFFFFF"/>
      <w:sz w:val="22"/>
      <w:szCs w:val="22"/>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21">
    <w:name w:val="Dark List - Accent 421"/>
    <w:basedOn w:val="TableNormal"/>
    <w:uiPriority w:val="70"/>
    <w:rPr>
      <w:rFonts w:ascii="Calibri" w:eastAsia="Calibri" w:hAnsi="Calibri"/>
      <w:color w:val="FFFFFF"/>
      <w:sz w:val="22"/>
      <w:szCs w:val="22"/>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21">
    <w:name w:val="Dark List - Accent 521"/>
    <w:basedOn w:val="TableNormal"/>
    <w:uiPriority w:val="70"/>
    <w:rPr>
      <w:rFonts w:ascii="Calibri" w:eastAsia="Calibri" w:hAnsi="Calibri"/>
      <w:color w:val="FFFFFF"/>
      <w:sz w:val="22"/>
      <w:szCs w:val="22"/>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621">
    <w:name w:val="Dark List - Accent 621"/>
    <w:basedOn w:val="TableNormal"/>
    <w:uiPriority w:val="70"/>
    <w:rPr>
      <w:rFonts w:ascii="Calibri" w:eastAsia="Calibri" w:hAnsi="Calibri"/>
      <w:color w:val="FFFFFF"/>
      <w:sz w:val="22"/>
      <w:szCs w:val="22"/>
    </w:rPr>
    <w:tblPr>
      <w:tblStyleRowBandSize w:val="1"/>
      <w:tblStyleColBandSize w:val="1"/>
      <w:tblInd w:w="0" w:type="nil"/>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221">
    <w:name w:val="Grid Table 221"/>
    <w:basedOn w:val="TableNormal"/>
    <w:uiPriority w:val="47"/>
    <w:rPr>
      <w:rFonts w:ascii="Calibri" w:eastAsia="Calibri" w:hAnsi="Calibri"/>
      <w:sz w:val="22"/>
      <w:szCs w:val="22"/>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21">
    <w:name w:val="Grid Table 2 - Accent 121"/>
    <w:basedOn w:val="TableNormal"/>
    <w:uiPriority w:val="47"/>
    <w:rPr>
      <w:rFonts w:ascii="Calibri" w:eastAsia="Calibri" w:hAnsi="Calibri"/>
      <w:sz w:val="22"/>
      <w:szCs w:val="22"/>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221">
    <w:name w:val="Grid Table 2 - Accent 221"/>
    <w:basedOn w:val="TableNormal"/>
    <w:uiPriority w:val="47"/>
    <w:rPr>
      <w:rFonts w:ascii="Calibri" w:eastAsia="Calibri" w:hAnsi="Calibri"/>
      <w:sz w:val="22"/>
      <w:szCs w:val="22"/>
    </w:rPr>
    <w:tblPr>
      <w:tblStyleRowBandSize w:val="1"/>
      <w:tblStyleColBandSize w:val="1"/>
      <w:tblInd w:w="0" w:type="nil"/>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21">
    <w:name w:val="Grid Table 2 - Accent 321"/>
    <w:basedOn w:val="TableNormal"/>
    <w:uiPriority w:val="47"/>
    <w:rPr>
      <w:rFonts w:ascii="Calibri" w:eastAsia="Calibri" w:hAnsi="Calibri"/>
      <w:sz w:val="22"/>
      <w:szCs w:val="22"/>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21">
    <w:name w:val="Grid Table 2 - Accent 421"/>
    <w:basedOn w:val="TableNormal"/>
    <w:uiPriority w:val="47"/>
    <w:rPr>
      <w:rFonts w:ascii="Calibri" w:eastAsia="Calibri" w:hAnsi="Calibri"/>
      <w:sz w:val="22"/>
      <w:szCs w:val="22"/>
    </w:rPr>
    <w:tblPr>
      <w:tblStyleRowBandSize w:val="1"/>
      <w:tblStyleColBandSize w:val="1"/>
      <w:tblInd w:w="0" w:type="nil"/>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21">
    <w:name w:val="Grid Table 2 - Accent 521"/>
    <w:basedOn w:val="TableNormal"/>
    <w:uiPriority w:val="47"/>
    <w:rPr>
      <w:rFonts w:ascii="Calibri" w:eastAsia="Calibri" w:hAnsi="Calibri"/>
      <w:sz w:val="22"/>
      <w:szCs w:val="22"/>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621">
    <w:name w:val="Grid Table 2 - Accent 621"/>
    <w:basedOn w:val="TableNormal"/>
    <w:uiPriority w:val="47"/>
    <w:rPr>
      <w:rFonts w:ascii="Calibri" w:eastAsia="Calibri" w:hAnsi="Calibri"/>
      <w:sz w:val="22"/>
      <w:szCs w:val="22"/>
    </w:rPr>
    <w:tblPr>
      <w:tblStyleRowBandSize w:val="1"/>
      <w:tblStyleColBandSize w:val="1"/>
      <w:tblInd w:w="0" w:type="nil"/>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21">
    <w:name w:val="Grid Table 321"/>
    <w:basedOn w:val="TableNormal"/>
    <w:uiPriority w:val="48"/>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21">
    <w:name w:val="Grid Table 3 - Accent 121"/>
    <w:basedOn w:val="TableNormal"/>
    <w:uiPriority w:val="48"/>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221">
    <w:name w:val="Grid Table 3 - Accent 221"/>
    <w:basedOn w:val="TableNormal"/>
    <w:uiPriority w:val="48"/>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21">
    <w:name w:val="Grid Table 3 - Accent 321"/>
    <w:basedOn w:val="TableNormal"/>
    <w:uiPriority w:val="48"/>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21">
    <w:name w:val="Grid Table 3 - Accent 421"/>
    <w:basedOn w:val="TableNormal"/>
    <w:uiPriority w:val="48"/>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21">
    <w:name w:val="Grid Table 3 - Accent 521"/>
    <w:basedOn w:val="TableNormal"/>
    <w:uiPriority w:val="48"/>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621">
    <w:name w:val="Grid Table 3 - Accent 621"/>
    <w:basedOn w:val="TableNormal"/>
    <w:uiPriority w:val="48"/>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21">
    <w:name w:val="Grid Table 421"/>
    <w:basedOn w:val="TableNormal"/>
    <w:uiPriority w:val="49"/>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21">
    <w:name w:val="Grid Table 4 - Accent 121"/>
    <w:basedOn w:val="TableNormal"/>
    <w:uiPriority w:val="49"/>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21">
    <w:name w:val="Grid Table 4 - Accent 221"/>
    <w:basedOn w:val="TableNormal"/>
    <w:uiPriority w:val="49"/>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21">
    <w:name w:val="Grid Table 4 - Accent 321"/>
    <w:basedOn w:val="TableNormal"/>
    <w:uiPriority w:val="49"/>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21">
    <w:name w:val="Grid Table 4 - Accent 421"/>
    <w:basedOn w:val="TableNormal"/>
    <w:uiPriority w:val="49"/>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21">
    <w:name w:val="Grid Table 4 - Accent 521"/>
    <w:basedOn w:val="TableNormal"/>
    <w:uiPriority w:val="49"/>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21">
    <w:name w:val="Grid Table 4 - Accent 621"/>
    <w:basedOn w:val="TableNormal"/>
    <w:uiPriority w:val="49"/>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21">
    <w:name w:val="Grid Table 5 Dark2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21">
    <w:name w:val="Grid Table 5 Dark - Accent 12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221">
    <w:name w:val="Grid Table 5 Dark - Accent 22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21">
    <w:name w:val="Grid Table 5 Dark - Accent 32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21">
    <w:name w:val="Grid Table 5 Dark - Accent 42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21">
    <w:name w:val="Grid Table 5 Dark - Accent 52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621">
    <w:name w:val="Grid Table 5 Dark - Accent 621"/>
    <w:basedOn w:val="TableNormal"/>
    <w:uiPriority w:val="50"/>
    <w:rPr>
      <w:rFonts w:ascii="Calibri" w:eastAsia="Calibri" w:hAnsi="Calibri"/>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7Colorful21">
    <w:name w:val="Grid Table 7 Colorful21"/>
    <w:basedOn w:val="TableNormal"/>
    <w:uiPriority w:val="52"/>
    <w:rPr>
      <w:rFonts w:ascii="Calibri" w:eastAsia="Calibri" w:hAnsi="Calibri"/>
      <w:color w:val="000000"/>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21">
    <w:name w:val="Grid Table 7 Colorful - Accent 121"/>
    <w:basedOn w:val="TableNormal"/>
    <w:uiPriority w:val="52"/>
    <w:rPr>
      <w:rFonts w:ascii="Calibri" w:eastAsia="Calibri" w:hAnsi="Calibri"/>
      <w:color w:val="2E74B5"/>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221">
    <w:name w:val="Grid Table 7 Colorful - Accent 221"/>
    <w:basedOn w:val="TableNormal"/>
    <w:uiPriority w:val="52"/>
    <w:rPr>
      <w:rFonts w:ascii="Calibri" w:eastAsia="Calibri" w:hAnsi="Calibri"/>
      <w:color w:val="C45911"/>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21">
    <w:name w:val="Grid Table 7 Colorful - Accent 321"/>
    <w:basedOn w:val="TableNormal"/>
    <w:uiPriority w:val="52"/>
    <w:rPr>
      <w:rFonts w:ascii="Calibri" w:eastAsia="Calibri" w:hAnsi="Calibri"/>
      <w:color w:val="7B7B7B"/>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21">
    <w:name w:val="Grid Table 7 Colorful - Accent 421"/>
    <w:basedOn w:val="TableNormal"/>
    <w:uiPriority w:val="52"/>
    <w:rPr>
      <w:rFonts w:ascii="Calibri" w:eastAsia="Calibri" w:hAnsi="Calibri"/>
      <w:color w:val="BF8F00"/>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21">
    <w:name w:val="Grid Table 7 Colorful - Accent 521"/>
    <w:basedOn w:val="TableNormal"/>
    <w:uiPriority w:val="52"/>
    <w:rPr>
      <w:rFonts w:ascii="Calibri" w:eastAsia="Calibri" w:hAnsi="Calibri"/>
      <w:color w:val="2F5496"/>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621">
    <w:name w:val="Grid Table 7 Colorful - Accent 621"/>
    <w:basedOn w:val="TableNormal"/>
    <w:uiPriority w:val="52"/>
    <w:rPr>
      <w:rFonts w:ascii="Calibri" w:eastAsia="Calibri" w:hAnsi="Calibri"/>
      <w:color w:val="538135"/>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21">
    <w:name w:val="Light Grid21"/>
    <w:basedOn w:val="TableNormal"/>
    <w:uiPriority w:val="62"/>
    <w:rPr>
      <w:rFonts w:ascii="Calibri" w:eastAsia="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1">
    <w:name w:val="Light Grid - Accent 121"/>
    <w:basedOn w:val="TableNormal"/>
    <w:uiPriority w:val="62"/>
    <w:rPr>
      <w:rFonts w:ascii="Calibri" w:eastAsia="Calibri" w:hAnsi="Calibri"/>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21">
    <w:name w:val="Light Grid - Accent 221"/>
    <w:basedOn w:val="TableNormal"/>
    <w:uiPriority w:val="62"/>
    <w:rPr>
      <w:rFonts w:ascii="Calibri" w:eastAsia="Calibri" w:hAnsi="Calibri"/>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21">
    <w:name w:val="Light Grid - Accent 321"/>
    <w:basedOn w:val="TableNormal"/>
    <w:uiPriority w:val="62"/>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21">
    <w:name w:val="Light Grid - Accent 421"/>
    <w:basedOn w:val="TableNormal"/>
    <w:uiPriority w:val="62"/>
    <w:rPr>
      <w:rFonts w:ascii="Calibri" w:eastAsia="Calibri" w:hAnsi="Calibri"/>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21">
    <w:name w:val="Light Grid - Accent 521"/>
    <w:basedOn w:val="TableNormal"/>
    <w:uiPriority w:val="62"/>
    <w:rPr>
      <w:rFonts w:ascii="Calibri" w:eastAsia="Calibri" w:hAnsi="Calibri"/>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621">
    <w:name w:val="Light Grid - Accent 621"/>
    <w:basedOn w:val="TableNormal"/>
    <w:uiPriority w:val="62"/>
    <w:rPr>
      <w:rFonts w:ascii="Calibri" w:eastAsia="Calibri" w:hAnsi="Calibri"/>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21">
    <w:name w:val="Light List21"/>
    <w:basedOn w:val="TableNormal"/>
    <w:uiPriority w:val="61"/>
    <w:rPr>
      <w:rFonts w:ascii="Calibri" w:eastAsia="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1">
    <w:name w:val="Light List - Accent 121"/>
    <w:basedOn w:val="TableNormal"/>
    <w:uiPriority w:val="61"/>
    <w:rPr>
      <w:rFonts w:ascii="Calibri" w:eastAsia="Calibri" w:hAnsi="Calibri"/>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100" w:beforeAutospacing="1" w:afterLines="0" w:after="100" w:afterAutospacing="1" w:line="240" w:lineRule="auto"/>
      </w:pPr>
      <w:rPr>
        <w:b/>
        <w:bCs/>
        <w:color w:val="FFFFFF"/>
      </w:rPr>
      <w:tblPr/>
      <w:tcPr>
        <w:shd w:val="clear" w:color="auto" w:fill="5B9BD5"/>
      </w:tcPr>
    </w:tblStylePr>
    <w:tblStylePr w:type="lastRow">
      <w:pPr>
        <w:spacing w:beforeLines="0" w:before="100" w:beforeAutospacing="1" w:afterLines="0" w:after="100" w:afterAutospacing="1"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221">
    <w:name w:val="Light List - Accent 221"/>
    <w:basedOn w:val="TableNormal"/>
    <w:uiPriority w:val="61"/>
    <w:rPr>
      <w:rFonts w:ascii="Calibri" w:eastAsia="Calibri" w:hAnsi="Calibri"/>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pPr>
        <w:spacing w:beforeLines="0" w:before="100" w:beforeAutospacing="1" w:afterLines="0" w:after="100" w:afterAutospacing="1" w:line="240" w:lineRule="auto"/>
      </w:pPr>
      <w:rPr>
        <w:b/>
        <w:bCs/>
        <w:color w:val="FFFFFF"/>
      </w:rPr>
      <w:tblPr/>
      <w:tcPr>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21">
    <w:name w:val="Light List - Accent 321"/>
    <w:basedOn w:val="TableNormal"/>
    <w:uiPriority w:val="61"/>
    <w:rPr>
      <w:rFonts w:ascii="Calibri" w:eastAsia="Calibri" w:hAnsi="Calibri"/>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21">
    <w:name w:val="Light List - Accent 421"/>
    <w:basedOn w:val="TableNormal"/>
    <w:uiPriority w:val="61"/>
    <w:rPr>
      <w:rFonts w:ascii="Calibri" w:eastAsia="Calibri" w:hAnsi="Calibri"/>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pPr>
        <w:spacing w:beforeLines="0" w:before="100" w:beforeAutospacing="1" w:afterLines="0" w:after="100" w:afterAutospacing="1" w:line="240" w:lineRule="auto"/>
      </w:pPr>
      <w:rPr>
        <w:b/>
        <w:bCs/>
        <w:color w:val="FFFFFF"/>
      </w:rPr>
      <w:tblPr/>
      <w:tcPr>
        <w:shd w:val="clear" w:color="auto" w:fill="FFC000"/>
      </w:tcPr>
    </w:tblStylePr>
    <w:tblStylePr w:type="lastRow">
      <w:pPr>
        <w:spacing w:beforeLines="0" w:before="100" w:beforeAutospacing="1" w:afterLines="0" w:after="100" w:afterAutospacing="1"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21">
    <w:name w:val="Light List - Accent 521"/>
    <w:basedOn w:val="TableNormal"/>
    <w:uiPriority w:val="61"/>
    <w:rPr>
      <w:rFonts w:ascii="Calibri" w:eastAsia="Calibri" w:hAnsi="Calibri"/>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100" w:beforeAutospacing="1" w:afterLines="0" w:after="100" w:afterAutospacing="1" w:line="240" w:lineRule="auto"/>
      </w:pPr>
      <w:rPr>
        <w:b/>
        <w:bCs/>
        <w:color w:val="FFFFFF"/>
      </w:rPr>
      <w:tblPr/>
      <w:tcPr>
        <w:shd w:val="clear" w:color="auto" w:fill="4472C4"/>
      </w:tcPr>
    </w:tblStylePr>
    <w:tblStylePr w:type="lastRow">
      <w:pPr>
        <w:spacing w:beforeLines="0" w:before="100" w:beforeAutospacing="1" w:afterLines="0" w:after="100" w:afterAutospacing="1"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621">
    <w:name w:val="Light List - Accent 621"/>
    <w:basedOn w:val="TableNormal"/>
    <w:uiPriority w:val="61"/>
    <w:rPr>
      <w:rFonts w:ascii="Calibri" w:eastAsia="Calibri" w:hAnsi="Calibri"/>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pPr>
        <w:spacing w:beforeLines="0" w:before="100" w:beforeAutospacing="1" w:afterLines="0" w:after="100" w:afterAutospacing="1" w:line="240" w:lineRule="auto"/>
      </w:pPr>
      <w:rPr>
        <w:b/>
        <w:bCs/>
        <w:color w:val="FFFFFF"/>
      </w:rPr>
      <w:tblPr/>
      <w:tcPr>
        <w:shd w:val="clear" w:color="auto" w:fill="70AD47"/>
      </w:tcPr>
    </w:tblStylePr>
    <w:tblStylePr w:type="lastRow">
      <w:pPr>
        <w:spacing w:beforeLines="0" w:before="100" w:beforeAutospacing="1" w:afterLines="0" w:after="100" w:afterAutospacing="1"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21">
    <w:name w:val="Light Shading21"/>
    <w:basedOn w:val="TableNormal"/>
    <w:uiPriority w:val="60"/>
    <w:rPr>
      <w:rFonts w:ascii="Calibri" w:eastAsia="Calibri" w:hAnsi="Calibri"/>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60"/>
    <w:rPr>
      <w:rFonts w:ascii="Calibri" w:eastAsia="Calibri" w:hAnsi="Calibri"/>
      <w:color w:val="2E74B5"/>
      <w:sz w:val="22"/>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221">
    <w:name w:val="Light Shading - Accent 221"/>
    <w:basedOn w:val="TableNormal"/>
    <w:uiPriority w:val="60"/>
    <w:rPr>
      <w:rFonts w:ascii="Calibri" w:eastAsia="Calibri" w:hAnsi="Calibri"/>
      <w:color w:val="C45911"/>
      <w:sz w:val="22"/>
      <w:szCs w:val="22"/>
    </w:rPr>
    <w:tblPr>
      <w:tblStyleRowBandSize w:val="1"/>
      <w:tblStyleColBandSize w:val="1"/>
      <w:tblInd w:w="0" w:type="nil"/>
      <w:tblBorders>
        <w:top w:val="single" w:sz="8" w:space="0" w:color="ED7D31"/>
        <w:bottom w:val="single" w:sz="8" w:space="0" w:color="ED7D31"/>
      </w:tblBorders>
    </w:tblPr>
    <w:tblStylePr w:type="firstRow">
      <w:pPr>
        <w:spacing w:beforeLines="0" w:before="100" w:beforeAutospacing="1" w:afterLines="0" w:after="100" w:afterAutospacing="1"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21">
    <w:name w:val="Light Shading - Accent 321"/>
    <w:basedOn w:val="TableNormal"/>
    <w:uiPriority w:val="60"/>
    <w:rPr>
      <w:rFonts w:ascii="Calibri" w:eastAsia="Calibri" w:hAnsi="Calibri"/>
      <w:color w:val="7B7B7B"/>
      <w:sz w:val="22"/>
      <w:szCs w:val="22"/>
    </w:rPr>
    <w:tblPr>
      <w:tblStyleRowBandSize w:val="1"/>
      <w:tblStyleColBandSize w:val="1"/>
      <w:tblInd w:w="0" w:type="nil"/>
      <w:tblBorders>
        <w:top w:val="single" w:sz="8" w:space="0" w:color="A5A5A5"/>
        <w:bottom w:val="single" w:sz="8" w:space="0" w:color="A5A5A5"/>
      </w:tblBorders>
    </w:tblPr>
    <w:tblStylePr w:type="fir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21">
    <w:name w:val="Light Shading - Accent 421"/>
    <w:basedOn w:val="TableNormal"/>
    <w:uiPriority w:val="60"/>
    <w:rPr>
      <w:rFonts w:ascii="Calibri" w:eastAsia="Calibri" w:hAnsi="Calibri"/>
      <w:color w:val="BF8F00"/>
      <w:sz w:val="22"/>
      <w:szCs w:val="22"/>
    </w:rPr>
    <w:tblPr>
      <w:tblStyleRowBandSize w:val="1"/>
      <w:tblStyleColBandSize w:val="1"/>
      <w:tblInd w:w="0" w:type="nil"/>
      <w:tblBorders>
        <w:top w:val="single" w:sz="8" w:space="0" w:color="FFC000"/>
        <w:bottom w:val="single" w:sz="8" w:space="0" w:color="FFC000"/>
      </w:tblBorders>
    </w:tblPr>
    <w:tblStylePr w:type="firstRow">
      <w:pPr>
        <w:spacing w:beforeLines="0" w:before="100" w:beforeAutospacing="1" w:afterLines="0" w:after="100" w:afterAutospacing="1"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21">
    <w:name w:val="Light Shading - Accent 521"/>
    <w:basedOn w:val="TableNormal"/>
    <w:uiPriority w:val="60"/>
    <w:rPr>
      <w:rFonts w:ascii="Calibri" w:eastAsia="Calibri" w:hAnsi="Calibri"/>
      <w:color w:val="2F5496"/>
      <w:sz w:val="22"/>
      <w:szCs w:val="22"/>
    </w:rPr>
    <w:tblPr>
      <w:tblStyleRowBandSize w:val="1"/>
      <w:tblStyleColBandSize w:val="1"/>
      <w:tblInd w:w="0" w:type="nil"/>
      <w:tblBorders>
        <w:top w:val="single" w:sz="8" w:space="0" w:color="4472C4"/>
        <w:bottom w:val="single" w:sz="8" w:space="0" w:color="4472C4"/>
      </w:tblBorders>
    </w:tblPr>
    <w:tblStylePr w:type="firstRow">
      <w:pPr>
        <w:spacing w:beforeLines="0" w:before="100" w:beforeAutospacing="1" w:afterLines="0" w:after="100" w:afterAutospacing="1"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621">
    <w:name w:val="Light Shading - Accent 621"/>
    <w:basedOn w:val="TableNormal"/>
    <w:uiPriority w:val="60"/>
    <w:rPr>
      <w:rFonts w:ascii="Calibri" w:eastAsia="Calibri" w:hAnsi="Calibri"/>
      <w:color w:val="538135"/>
      <w:sz w:val="22"/>
      <w:szCs w:val="22"/>
    </w:rPr>
    <w:tblPr>
      <w:tblStyleRowBandSize w:val="1"/>
      <w:tblStyleColBandSize w:val="1"/>
      <w:tblInd w:w="0" w:type="nil"/>
      <w:tblBorders>
        <w:top w:val="single" w:sz="8" w:space="0" w:color="70AD47"/>
        <w:bottom w:val="single" w:sz="8" w:space="0" w:color="70AD47"/>
      </w:tblBorders>
    </w:tblPr>
    <w:tblStylePr w:type="firstRow">
      <w:pPr>
        <w:spacing w:beforeLines="0" w:before="100" w:beforeAutospacing="1" w:afterLines="0" w:after="100" w:afterAutospacing="1"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321">
    <w:name w:val="List Table 321"/>
    <w:basedOn w:val="TableNormal"/>
    <w:uiPriority w:val="48"/>
    <w:rPr>
      <w:rFonts w:ascii="Calibri" w:eastAsia="Calibri" w:hAnsi="Calibri"/>
      <w:sz w:val="22"/>
      <w:szCs w:val="22"/>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21">
    <w:name w:val="List Table 3 - Accent 121"/>
    <w:basedOn w:val="TableNormal"/>
    <w:uiPriority w:val="48"/>
    <w:rPr>
      <w:rFonts w:ascii="Calibri" w:eastAsia="Calibri" w:hAnsi="Calibri"/>
      <w:sz w:val="22"/>
      <w:szCs w:val="22"/>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221">
    <w:name w:val="List Table 3 - Accent 221"/>
    <w:basedOn w:val="TableNormal"/>
    <w:uiPriority w:val="48"/>
    <w:rPr>
      <w:rFonts w:ascii="Calibri" w:eastAsia="Calibri" w:hAnsi="Calibri"/>
      <w:sz w:val="22"/>
      <w:szCs w:val="22"/>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21">
    <w:name w:val="List Table 3 - Accent 321"/>
    <w:basedOn w:val="TableNormal"/>
    <w:uiPriority w:val="48"/>
    <w:rPr>
      <w:rFonts w:ascii="Calibri" w:eastAsia="Calibri" w:hAnsi="Calibri"/>
      <w:sz w:val="22"/>
      <w:szCs w:val="22"/>
    </w:rPr>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21">
    <w:name w:val="List Table 3 - Accent 421"/>
    <w:basedOn w:val="TableNormal"/>
    <w:uiPriority w:val="48"/>
    <w:rPr>
      <w:rFonts w:ascii="Calibri" w:eastAsia="Calibri" w:hAnsi="Calibri"/>
      <w:sz w:val="22"/>
      <w:szCs w:val="22"/>
    </w:rPr>
    <w:tblPr>
      <w:tblStyleRowBandSize w:val="1"/>
      <w:tblStyleColBandSize w:val="1"/>
      <w:tblInd w:w="0" w:type="nil"/>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21">
    <w:name w:val="List Table 3 - Accent 521"/>
    <w:basedOn w:val="TableNormal"/>
    <w:uiPriority w:val="48"/>
    <w:rPr>
      <w:rFonts w:ascii="Calibri" w:eastAsia="Calibri" w:hAnsi="Calibri"/>
      <w:sz w:val="22"/>
      <w:szCs w:val="22"/>
    </w:rPr>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621">
    <w:name w:val="List Table 3 - Accent 621"/>
    <w:basedOn w:val="TableNormal"/>
    <w:uiPriority w:val="48"/>
    <w:rPr>
      <w:rFonts w:ascii="Calibri" w:eastAsia="Calibri" w:hAnsi="Calibri"/>
      <w:sz w:val="22"/>
      <w:szCs w:val="22"/>
    </w:rPr>
    <w:tblPr>
      <w:tblStyleRowBandSize w:val="1"/>
      <w:tblStyleColBandSize w:val="1"/>
      <w:tblInd w:w="0" w:type="nil"/>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21">
    <w:name w:val="List Table 421"/>
    <w:basedOn w:val="TableNormal"/>
    <w:uiPriority w:val="49"/>
    <w:rPr>
      <w:rFonts w:ascii="Calibri" w:eastAsia="Calibri" w:hAnsi="Calibri"/>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21">
    <w:name w:val="List Table 4 - Accent 121"/>
    <w:basedOn w:val="TableNormal"/>
    <w:uiPriority w:val="49"/>
    <w:rPr>
      <w:rFonts w:ascii="Calibri" w:eastAsia="Calibri" w:hAnsi="Calibri"/>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221">
    <w:name w:val="List Table 4 - Accent 221"/>
    <w:basedOn w:val="TableNormal"/>
    <w:uiPriority w:val="49"/>
    <w:rPr>
      <w:rFonts w:ascii="Calibri" w:eastAsia="Calibri" w:hAnsi="Calibri"/>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21">
    <w:name w:val="List Table 4 - Accent 321"/>
    <w:basedOn w:val="TableNormal"/>
    <w:uiPriority w:val="49"/>
    <w:rPr>
      <w:rFonts w:ascii="Calibri" w:eastAsia="Calibri" w:hAnsi="Calibri"/>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21">
    <w:name w:val="List Table 4 - Accent 421"/>
    <w:basedOn w:val="TableNormal"/>
    <w:uiPriority w:val="49"/>
    <w:rPr>
      <w:rFonts w:ascii="Calibri" w:eastAsia="Calibri" w:hAnsi="Calibri"/>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21">
    <w:name w:val="List Table 4 - Accent 521"/>
    <w:basedOn w:val="TableNormal"/>
    <w:uiPriority w:val="49"/>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621">
    <w:name w:val="List Table 4 - Accent 621"/>
    <w:basedOn w:val="TableNormal"/>
    <w:uiPriority w:val="49"/>
    <w:rPr>
      <w:rFonts w:ascii="Calibri" w:eastAsia="Calibri" w:hAnsi="Calibri"/>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21">
    <w:name w:val="List Table 5 Dark2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1">
    <w:name w:val="List Table 5 Dark - Accent 12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1">
    <w:name w:val="List Table 5 Dark - Accent 22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1">
    <w:name w:val="List Table 5 Dark - Accent 32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1">
    <w:name w:val="List Table 5 Dark - Accent 42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1">
    <w:name w:val="List Table 5 Dark - Accent 52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1">
    <w:name w:val="List Table 5 Dark - Accent 621"/>
    <w:basedOn w:val="TableNormal"/>
    <w:uiPriority w:val="50"/>
    <w:rPr>
      <w:rFonts w:ascii="Calibri" w:eastAsia="Calibri" w:hAnsi="Calibri"/>
      <w:color w:val="FFFFFF"/>
      <w:sz w:val="22"/>
      <w:szCs w:val="22"/>
    </w:rPr>
    <w:tblPr>
      <w:tblStyleRowBandSize w:val="1"/>
      <w:tblStyleColBandSize w:val="1"/>
      <w:tblInd w:w="0" w:type="nil"/>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21">
    <w:name w:val="List Table 7 Colorful21"/>
    <w:basedOn w:val="TableNormal"/>
    <w:uiPriority w:val="52"/>
    <w:rPr>
      <w:rFonts w:ascii="Calibri" w:eastAsia="Calibri" w:hAnsi="Calibri"/>
      <w:color w:val="000000"/>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000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000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1">
    <w:name w:val="List Table 7 Colorful - Accent 121"/>
    <w:basedOn w:val="TableNormal"/>
    <w:uiPriority w:val="52"/>
    <w:rPr>
      <w:rFonts w:ascii="Calibri" w:eastAsia="Calibri" w:hAnsi="Calibri"/>
      <w:color w:val="2E74B5"/>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5B9BD5"/>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5B9BD5"/>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5B9BD5"/>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1">
    <w:name w:val="List Table 7 Colorful - Accent 221"/>
    <w:basedOn w:val="TableNormal"/>
    <w:uiPriority w:val="52"/>
    <w:rPr>
      <w:rFonts w:ascii="Calibri" w:eastAsia="Calibri" w:hAnsi="Calibri"/>
      <w:color w:val="C45911"/>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ED7D31"/>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ED7D31"/>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ED7D31"/>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1">
    <w:name w:val="List Table 7 Colorful - Accent 321"/>
    <w:basedOn w:val="TableNormal"/>
    <w:uiPriority w:val="52"/>
    <w:rPr>
      <w:rFonts w:ascii="Calibri" w:eastAsia="Calibri" w:hAnsi="Calibri"/>
      <w:color w:val="7B7B7B"/>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A5A5A5"/>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A5A5A5"/>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A5A5A5"/>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1">
    <w:name w:val="List Table 7 Colorful - Accent 421"/>
    <w:basedOn w:val="TableNormal"/>
    <w:uiPriority w:val="52"/>
    <w:rPr>
      <w:rFonts w:ascii="Calibri" w:eastAsia="Calibri" w:hAnsi="Calibri"/>
      <w:color w:val="BF8F00"/>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FFC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FFC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FFC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1">
    <w:name w:val="List Table 7 Colorful - Accent 521"/>
    <w:basedOn w:val="TableNormal"/>
    <w:uiPriority w:val="52"/>
    <w:rPr>
      <w:rFonts w:ascii="Calibri" w:eastAsia="Calibri" w:hAnsi="Calibri"/>
      <w:color w:val="2F5496"/>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4472C4"/>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4472C4"/>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4472C4"/>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1">
    <w:name w:val="List Table 7 Colorful - Accent 621"/>
    <w:basedOn w:val="TableNormal"/>
    <w:uiPriority w:val="52"/>
    <w:rPr>
      <w:rFonts w:ascii="Calibri" w:eastAsia="Calibri" w:hAnsi="Calibri"/>
      <w:color w:val="538135"/>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70AD47"/>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0AD47"/>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0AD47"/>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221">
    <w:name w:val="Medium Grid 221"/>
    <w:basedOn w:val="TableNormal"/>
    <w:uiPriority w:val="68"/>
    <w:rPr>
      <w:rFonts w:ascii="Calibri" w:hAnsi="Calibri"/>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1">
    <w:name w:val="Medium Grid 2 - Accent 121"/>
    <w:basedOn w:val="TableNormal"/>
    <w:uiPriority w:val="68"/>
    <w:rPr>
      <w:rFonts w:ascii="Calibri" w:hAnsi="Calibri"/>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221">
    <w:name w:val="Medium Grid 2 - Accent 221"/>
    <w:basedOn w:val="TableNormal"/>
    <w:uiPriority w:val="68"/>
    <w:rPr>
      <w:rFonts w:ascii="Calibri" w:hAnsi="Calibri"/>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21">
    <w:name w:val="Medium Grid 2 - Accent 321"/>
    <w:basedOn w:val="TableNormal"/>
    <w:uiPriority w:val="68"/>
    <w:rPr>
      <w:rFonts w:ascii="Calibri" w:hAnsi="Calibri"/>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21">
    <w:name w:val="Medium Grid 2 - Accent 421"/>
    <w:basedOn w:val="TableNormal"/>
    <w:uiPriority w:val="68"/>
    <w:rPr>
      <w:rFonts w:ascii="Calibri" w:hAnsi="Calibri"/>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21">
    <w:name w:val="Medium Grid 2 - Accent 521"/>
    <w:basedOn w:val="TableNormal"/>
    <w:uiPriority w:val="68"/>
    <w:rPr>
      <w:rFonts w:ascii="Calibri" w:hAnsi="Calibri"/>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621">
    <w:name w:val="Medium Grid 2 - Accent 621"/>
    <w:basedOn w:val="TableNormal"/>
    <w:uiPriority w:val="68"/>
    <w:rPr>
      <w:rFonts w:ascii="Calibri" w:hAnsi="Calibri"/>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21">
    <w:name w:val="Medium Grid 32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1">
    <w:name w:val="Medium Grid 3 - Accent 12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221">
    <w:name w:val="Medium Grid 3 - Accent 22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21">
    <w:name w:val="Medium Grid 3 - Accent 32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21">
    <w:name w:val="Medium Grid 3 - Accent 42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21">
    <w:name w:val="Medium Grid 3 - Accent 52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621">
    <w:name w:val="Medium Grid 3 - Accent 621"/>
    <w:basedOn w:val="TableNormal"/>
    <w:uiPriority w:val="69"/>
    <w:rPr>
      <w:rFonts w:ascii="Calibri" w:eastAsia="Calibri" w:hAnsi="Calibri"/>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21">
    <w:name w:val="Medium List 12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000000"/>
        <w:bottom w:val="single" w:sz="8" w:space="0" w:color="000000"/>
      </w:tblBorders>
    </w:tblPr>
    <w:tblStylePr w:type="firstRow">
      <w:rPr>
        <w:rFonts w:ascii="Times New Roman" w:eastAsia="Times New Roman" w:hAnsi="Times New Roman"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1">
    <w:name w:val="Medium List 1 - Accent 12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5B9BD5"/>
        <w:bottom w:val="single" w:sz="8" w:space="0" w:color="5B9BD5"/>
      </w:tblBorders>
    </w:tblPr>
    <w:tblStylePr w:type="firstRow">
      <w:rPr>
        <w:rFonts w:ascii="Times New Roman" w:eastAsia="Times New Roman" w:hAnsi="Times New Roman" w:cs="Times New Roman" w:hint="default"/>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221">
    <w:name w:val="Medium List 1 - Accent 22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ED7D31"/>
        <w:bottom w:val="single" w:sz="8" w:space="0" w:color="ED7D31"/>
      </w:tblBorders>
    </w:tblPr>
    <w:tblStylePr w:type="firstRow">
      <w:rPr>
        <w:rFonts w:ascii="Times New Roman" w:eastAsia="Times New Roman" w:hAnsi="Times New Roman" w:cs="Times New Roman" w:hint="default"/>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21">
    <w:name w:val="Medium List 1 - Accent 32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A5A5A5"/>
        <w:bottom w:val="single" w:sz="8" w:space="0" w:color="A5A5A5"/>
      </w:tblBorders>
    </w:tblPr>
    <w:tblStylePr w:type="firstRow">
      <w:rPr>
        <w:rFonts w:ascii="Times New Roman" w:eastAsia="Times New Roman" w:hAnsi="Times New Roman" w:cs="Times New Roman" w:hint="default"/>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21">
    <w:name w:val="Medium List 1 - Accent 42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FFC000"/>
        <w:bottom w:val="single" w:sz="8" w:space="0" w:color="FFC000"/>
      </w:tblBorders>
    </w:tblPr>
    <w:tblStylePr w:type="firstRow">
      <w:rPr>
        <w:rFonts w:ascii="Times New Roman" w:eastAsia="Times New Roman" w:hAnsi="Times New Roman" w:cs="Times New Roman" w:hint="default"/>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21">
    <w:name w:val="Medium List 1 - Accent 52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4472C4"/>
        <w:bottom w:val="single" w:sz="8" w:space="0" w:color="4472C4"/>
      </w:tblBorders>
    </w:tblPr>
    <w:tblStylePr w:type="firstRow">
      <w:rPr>
        <w:rFonts w:ascii="Times New Roman" w:eastAsia="Times New Roman" w:hAnsi="Times New Roman" w:cs="Times New Roman" w:hint="default"/>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621">
    <w:name w:val="Medium List 1 - Accent 621"/>
    <w:basedOn w:val="TableNormal"/>
    <w:uiPriority w:val="65"/>
    <w:rPr>
      <w:rFonts w:ascii="Calibri" w:eastAsia="Calibri" w:hAnsi="Calibri"/>
      <w:color w:val="000000"/>
      <w:sz w:val="22"/>
      <w:szCs w:val="22"/>
    </w:rPr>
    <w:tblPr>
      <w:tblStyleRowBandSize w:val="1"/>
      <w:tblStyleColBandSize w:val="1"/>
      <w:tblInd w:w="0" w:type="nil"/>
      <w:tblBorders>
        <w:top w:val="single" w:sz="8" w:space="0" w:color="70AD47"/>
        <w:bottom w:val="single" w:sz="8" w:space="0" w:color="70AD47"/>
      </w:tblBorders>
    </w:tblPr>
    <w:tblStylePr w:type="firstRow">
      <w:rPr>
        <w:rFonts w:ascii="Times New Roman" w:eastAsia="Times New Roman" w:hAnsi="Times New Roman" w:cs="Times New Roman" w:hint="default"/>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21">
    <w:name w:val="Medium List 221"/>
    <w:basedOn w:val="TableNormal"/>
    <w:uiPriority w:val="66"/>
    <w:rPr>
      <w:rFonts w:ascii="Calibri" w:hAnsi="Calibri"/>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1">
    <w:name w:val="Medium List 2 - Accent 121"/>
    <w:basedOn w:val="TableNormal"/>
    <w:uiPriority w:val="66"/>
    <w:rPr>
      <w:rFonts w:ascii="Calibri" w:hAnsi="Calibri"/>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221">
    <w:name w:val="Medium List 2 - Accent 221"/>
    <w:basedOn w:val="TableNormal"/>
    <w:uiPriority w:val="66"/>
    <w:rPr>
      <w:rFonts w:ascii="Calibri" w:hAnsi="Calibri"/>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21">
    <w:name w:val="Medium List 2 - Accent 321"/>
    <w:basedOn w:val="TableNormal"/>
    <w:uiPriority w:val="66"/>
    <w:rPr>
      <w:rFonts w:ascii="Calibri" w:hAnsi="Calibri"/>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21">
    <w:name w:val="Medium List 2 - Accent 421"/>
    <w:basedOn w:val="TableNormal"/>
    <w:uiPriority w:val="66"/>
    <w:rPr>
      <w:rFonts w:ascii="Calibri" w:hAnsi="Calibri"/>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21">
    <w:name w:val="Medium List 2 - Accent 521"/>
    <w:basedOn w:val="TableNormal"/>
    <w:uiPriority w:val="66"/>
    <w:rPr>
      <w:rFonts w:ascii="Calibri" w:hAnsi="Calibri"/>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621">
    <w:name w:val="Medium List 2 - Accent 621"/>
    <w:basedOn w:val="TableNormal"/>
    <w:uiPriority w:val="66"/>
    <w:rPr>
      <w:rFonts w:ascii="Calibri" w:hAnsi="Calibri"/>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21">
    <w:name w:val="Medium Shading 121"/>
    <w:basedOn w:val="TableNormal"/>
    <w:uiPriority w:val="63"/>
    <w:rPr>
      <w:rFonts w:ascii="Calibri" w:eastAsia="Calibri" w:hAnsi="Calibri"/>
      <w:sz w:val="22"/>
      <w:szCs w:val="22"/>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100" w:beforeAutospacing="1" w:afterLines="0" w:after="100" w:afterAutospacing="1"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Pr>
      <w:rFonts w:ascii="Calibri" w:eastAsia="Calibri" w:hAnsi="Calibri"/>
      <w:sz w:val="22"/>
      <w:szCs w:val="22"/>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100" w:beforeAutospacing="1" w:afterLines="0" w:after="100" w:afterAutospacing="1"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100" w:beforeAutospacing="1" w:afterLines="0" w:after="100" w:afterAutospacing="1"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221">
    <w:name w:val="Medium Shading 1 - Accent 221"/>
    <w:basedOn w:val="TableNormal"/>
    <w:uiPriority w:val="63"/>
    <w:rPr>
      <w:rFonts w:ascii="Calibri" w:eastAsia="Calibri" w:hAnsi="Calibri"/>
      <w:sz w:val="22"/>
      <w:szCs w:val="22"/>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21">
    <w:name w:val="Medium Shading 1 - Accent 321"/>
    <w:basedOn w:val="TableNormal"/>
    <w:uiPriority w:val="63"/>
    <w:rPr>
      <w:rFonts w:ascii="Calibri" w:eastAsia="Calibri" w:hAnsi="Calibri"/>
      <w:sz w:val="22"/>
      <w:szCs w:val="22"/>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100" w:beforeAutospacing="1" w:afterLines="0" w:after="100" w:afterAutospacing="1"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21">
    <w:name w:val="Medium Shading 1 - Accent 421"/>
    <w:basedOn w:val="TableNormal"/>
    <w:uiPriority w:val="63"/>
    <w:rPr>
      <w:rFonts w:ascii="Calibri" w:eastAsia="Calibri" w:hAnsi="Calibri"/>
      <w:sz w:val="22"/>
      <w:szCs w:val="22"/>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100" w:beforeAutospacing="1" w:afterLines="0" w:after="100" w:afterAutospacing="1"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100" w:beforeAutospacing="1" w:afterLines="0" w:after="100" w:afterAutospacing="1"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21">
    <w:name w:val="Medium Shading 1 - Accent 521"/>
    <w:basedOn w:val="TableNormal"/>
    <w:uiPriority w:val="63"/>
    <w:rPr>
      <w:rFonts w:ascii="Calibri" w:eastAsia="Calibri" w:hAnsi="Calibri"/>
      <w:sz w:val="22"/>
      <w:szCs w:val="22"/>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621">
    <w:name w:val="Medium Shading 1 - Accent 621"/>
    <w:basedOn w:val="TableNormal"/>
    <w:uiPriority w:val="63"/>
    <w:rPr>
      <w:rFonts w:ascii="Calibri" w:eastAsia="Calibri" w:hAnsi="Calibri"/>
      <w:sz w:val="22"/>
      <w:szCs w:val="22"/>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Lines="0" w:before="100" w:beforeAutospacing="1" w:afterLines="0" w:after="100" w:afterAutospacing="1"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Lines="0" w:before="100" w:beforeAutospacing="1" w:afterLines="0" w:after="100" w:afterAutospacing="1"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21">
    <w:name w:val="Medium Shading 22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1">
    <w:name w:val="Medium Shading 2 - Accent 12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
    <w:name w:val="Medium Shading 2 - Accent 22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
    <w:name w:val="Medium Shading 2 - Accent 32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
    <w:name w:val="Medium Shading 2 - Accent 42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
    <w:name w:val="Medium Shading 2 - Accent 52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
    <w:name w:val="Medium Shading 2 - Accent 621"/>
    <w:basedOn w:val="TableNormal"/>
    <w:uiPriority w:val="64"/>
    <w:rPr>
      <w:rFonts w:ascii="Calibri" w:eastAsia="Calibri" w:hAnsi="Calibr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321">
    <w:name w:val="Plain Table 321"/>
    <w:basedOn w:val="TableNormal"/>
    <w:uiPriority w:val="43"/>
    <w:rPr>
      <w:rFonts w:ascii="Calibri" w:eastAsia="Calibri" w:hAnsi="Calibri"/>
      <w:sz w:val="22"/>
      <w:szCs w:val="22"/>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21">
    <w:name w:val="Plain Table 521"/>
    <w:basedOn w:val="TableNormal"/>
    <w:uiPriority w:val="45"/>
    <w:rPr>
      <w:rFonts w:ascii="Calibri" w:eastAsia="Calibri" w:hAnsi="Calibri"/>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7F7F7F"/>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F7F7F"/>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21">
    <w:name w:val="Table 3D effects 121"/>
    <w:basedOn w:val="TableNormal"/>
    <w:uiPriority w:val="99"/>
    <w:rPr>
      <w:rFonts w:ascii="Calibri" w:eastAsia="Calibri" w:hAnsi="Calibri"/>
      <w:sz w:val="22"/>
      <w:szCs w:val="22"/>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21">
    <w:name w:val="Table 3D effects 321"/>
    <w:basedOn w:val="TableNormal"/>
    <w:uiPriority w:val="99"/>
    <w:rPr>
      <w:rFonts w:ascii="Calibri" w:eastAsia="Calibri" w:hAnsi="Calibri"/>
      <w:sz w:val="22"/>
      <w:szCs w:val="22"/>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uiPriority w:val="99"/>
    <w:rPr>
      <w:rFonts w:ascii="Calibri" w:eastAsia="Calibri" w:hAnsi="Calibri"/>
      <w:sz w:val="22"/>
      <w:szCs w:val="22"/>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uiPriority w:val="99"/>
    <w:rPr>
      <w:rFonts w:ascii="Calibri" w:eastAsia="Calibri" w:hAnsi="Calibri"/>
      <w:sz w:val="22"/>
      <w:szCs w:val="22"/>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uiPriority w:val="99"/>
    <w:rPr>
      <w:rFonts w:ascii="Calibri" w:eastAsia="Calibri" w:hAnsi="Calibri"/>
      <w:color w:val="000080"/>
      <w:sz w:val="22"/>
      <w:szCs w:val="22"/>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uiPriority w:val="99"/>
    <w:rPr>
      <w:rFonts w:ascii="Calibri" w:eastAsia="Calibri" w:hAnsi="Calibri"/>
      <w:sz w:val="22"/>
      <w:szCs w:val="22"/>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21">
    <w:name w:val="Table Colorful 221"/>
    <w:basedOn w:val="TableNormal"/>
    <w:uiPriority w:val="99"/>
    <w:rPr>
      <w:rFonts w:ascii="Calibri" w:eastAsia="Calibri" w:hAnsi="Calibri"/>
      <w:sz w:val="22"/>
      <w:szCs w:val="22"/>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uiPriority w:val="99"/>
    <w:rPr>
      <w:rFonts w:ascii="Calibri" w:eastAsia="Calibri" w:hAnsi="Calibri"/>
      <w:sz w:val="22"/>
      <w:szCs w:val="22"/>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uiPriority w:val="99"/>
    <w:rPr>
      <w:rFonts w:ascii="Calibri" w:eastAsia="Calibri" w:hAnsi="Calibri"/>
      <w:b/>
      <w:bCs/>
      <w:sz w:val="22"/>
      <w:szCs w:val="22"/>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uiPriority w:val="99"/>
    <w:rPr>
      <w:rFonts w:ascii="Calibri" w:eastAsia="Calibri" w:hAnsi="Calibri"/>
      <w:b/>
      <w:bCs/>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uiPriority w:val="99"/>
    <w:rPr>
      <w:rFonts w:ascii="Calibri" w:eastAsia="Calibri" w:hAnsi="Calibri"/>
      <w:b/>
      <w:bCs/>
      <w:sz w:val="22"/>
      <w:szCs w:val="22"/>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uiPriority w:val="99"/>
    <w:rPr>
      <w:rFonts w:ascii="Calibri" w:eastAsia="Calibri" w:hAnsi="Calibri"/>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uiPriority w:val="99"/>
    <w:rPr>
      <w:rFonts w:ascii="Calibri" w:eastAsia="Calibri" w:hAnsi="Calibri"/>
      <w:sz w:val="22"/>
      <w:szCs w:val="22"/>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uiPriority w:val="99"/>
    <w:rPr>
      <w:rFonts w:ascii="Calibri" w:eastAsia="Calibri" w:hAnsi="Calibri"/>
      <w:sz w:val="22"/>
      <w:szCs w:val="22"/>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uiPriority w:val="99"/>
    <w:rPr>
      <w:rFonts w:ascii="Calibri" w:eastAsia="Calibri" w:hAnsi="Calibri"/>
      <w:sz w:val="22"/>
      <w:szCs w:val="22"/>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421">
    <w:name w:val="Table Grid 421"/>
    <w:basedOn w:val="TableNormal"/>
    <w:uiPriority w:val="99"/>
    <w:rPr>
      <w:rFonts w:ascii="Calibri" w:eastAsia="Calibri" w:hAnsi="Calibri"/>
      <w:sz w:val="22"/>
      <w:szCs w:val="22"/>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21">
    <w:name w:val="Table Grid 621"/>
    <w:basedOn w:val="TableNormal"/>
    <w:uiPriority w:val="99"/>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uiPriority w:val="99"/>
    <w:rPr>
      <w:rFonts w:ascii="Calibri" w:eastAsia="Calibri" w:hAnsi="Calibri"/>
      <w:sz w:val="22"/>
      <w:szCs w:val="22"/>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uiPriority w:val="99"/>
    <w:rPr>
      <w:rFonts w:ascii="Calibri" w:eastAsia="Calibri" w:hAnsi="Calibri"/>
      <w:sz w:val="22"/>
      <w:szCs w:val="22"/>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uiPriority w:val="99"/>
    <w:rPr>
      <w:rFonts w:ascii="Calibri" w:eastAsia="Calibri" w:hAnsi="Calibri"/>
      <w:sz w:val="22"/>
      <w:szCs w:val="22"/>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uiPriority w:val="99"/>
    <w:rPr>
      <w:rFonts w:ascii="Calibri" w:eastAsia="Calibri" w:hAnsi="Calibri"/>
      <w:sz w:val="22"/>
      <w:szCs w:val="22"/>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uiPriority w:val="99"/>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21">
    <w:name w:val="Table List 721"/>
    <w:basedOn w:val="TableNormal"/>
    <w:uiPriority w:val="99"/>
    <w:rPr>
      <w:rFonts w:ascii="Calibri" w:eastAsia="Calibri" w:hAnsi="Calibri"/>
      <w:sz w:val="22"/>
      <w:szCs w:val="22"/>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uiPriority w:val="99"/>
    <w:rPr>
      <w:rFonts w:ascii="Calibri" w:eastAsia="Calibri" w:hAnsi="Calibri"/>
      <w:sz w:val="22"/>
      <w:szCs w:val="22"/>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uiPriority w:val="99"/>
    <w:rPr>
      <w:rFonts w:ascii="Calibri" w:eastAsia="Calibri" w:hAnsi="Calibri"/>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21">
    <w:name w:val="Table Simple 221"/>
    <w:basedOn w:val="TableNormal"/>
    <w:uiPriority w:val="99"/>
    <w:rPr>
      <w:rFonts w:ascii="Calibri" w:eastAsia="Calibri" w:hAnsi="Calibri"/>
      <w:sz w:val="22"/>
      <w:szCs w:val="22"/>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uiPriority w:val="99"/>
    <w:rPr>
      <w:rFonts w:ascii="Calibri" w:eastAsia="Calibri" w:hAnsi="Calibri"/>
      <w:sz w:val="22"/>
      <w:szCs w:val="22"/>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121">
    <w:name w:val="Table Web 121"/>
    <w:basedOn w:val="TableNormal"/>
    <w:uiPriority w:val="99"/>
    <w:rPr>
      <w:rFonts w:ascii="Calibri" w:eastAsia="Calibri" w:hAnsi="Calibri"/>
      <w:sz w:val="22"/>
      <w:szCs w:val="22"/>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uiPriority w:val="99"/>
    <w:rPr>
      <w:rFonts w:ascii="Calibri" w:eastAsia="Calibri" w:hAnsi="Calibri"/>
      <w:sz w:val="22"/>
      <w:szCs w:val="22"/>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uiPriority w:val="99"/>
    <w:rPr>
      <w:rFonts w:ascii="Calibri" w:eastAsia="Calibri" w:hAnsi="Calibri"/>
      <w:sz w:val="22"/>
      <w:szCs w:val="22"/>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Simple231">
    <w:name w:val="Table Simple 231"/>
    <w:basedOn w:val="TableNormal"/>
    <w:uiPriority w:val="99"/>
    <w:semiHidden/>
    <w:rPr>
      <w:sz w:val="22"/>
      <w:szCs w:val="22"/>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1">
    <w:name w:val="Table Simple 331"/>
    <w:basedOn w:val="TableNormal"/>
    <w:uiPriority w:val="99"/>
    <w:semiHidden/>
    <w:rPr>
      <w:sz w:val="22"/>
      <w:szCs w:val="22"/>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31">
    <w:name w:val="Table Classic 131"/>
    <w:basedOn w:val="TableNormal"/>
    <w:uiPriority w:val="99"/>
    <w:semiHidden/>
    <w:rPr>
      <w:sz w:val="22"/>
      <w:szCs w:val="22"/>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1">
    <w:name w:val="Table Classic 231"/>
    <w:basedOn w:val="TableNormal"/>
    <w:uiPriority w:val="99"/>
    <w:semiHidden/>
    <w:rPr>
      <w:sz w:val="22"/>
      <w:szCs w:val="22"/>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1">
    <w:name w:val="Table Classic 331"/>
    <w:basedOn w:val="TableNormal"/>
    <w:uiPriority w:val="99"/>
    <w:semiHidden/>
    <w:rPr>
      <w:color w:val="000080"/>
      <w:sz w:val="22"/>
      <w:szCs w:val="22"/>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1">
    <w:name w:val="Table Classic 431"/>
    <w:basedOn w:val="TableNormal"/>
    <w:uiPriority w:val="99"/>
    <w:semiHidden/>
    <w:rPr>
      <w:sz w:val="22"/>
      <w:szCs w:val="22"/>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31">
    <w:name w:val="Table Colorful 231"/>
    <w:basedOn w:val="TableNormal"/>
    <w:uiPriority w:val="99"/>
    <w:semiHidden/>
    <w:rPr>
      <w:sz w:val="22"/>
      <w:szCs w:val="22"/>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1">
    <w:name w:val="Table Colorful 331"/>
    <w:basedOn w:val="TableNormal"/>
    <w:uiPriority w:val="99"/>
    <w:semiHidden/>
    <w:rPr>
      <w:sz w:val="22"/>
      <w:szCs w:val="22"/>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1">
    <w:name w:val="Table Columns 131"/>
    <w:basedOn w:val="TableNormal"/>
    <w:uiPriority w:val="99"/>
    <w:semiHidden/>
    <w:rPr>
      <w:b/>
      <w:bCs/>
      <w:sz w:val="22"/>
      <w:szCs w:val="22"/>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1">
    <w:name w:val="Table Columns 231"/>
    <w:basedOn w:val="TableNormal"/>
    <w:uiPriority w:val="99"/>
    <w:semiHidden/>
    <w:rPr>
      <w:b/>
      <w:bCs/>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1">
    <w:name w:val="Table Columns 331"/>
    <w:basedOn w:val="TableNormal"/>
    <w:uiPriority w:val="99"/>
    <w:semiHidden/>
    <w:rPr>
      <w:b/>
      <w:bCs/>
      <w:sz w:val="22"/>
      <w:szCs w:val="22"/>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1">
    <w:name w:val="Table Columns 431"/>
    <w:basedOn w:val="TableNormal"/>
    <w:uiPriority w:val="99"/>
    <w:semiHidden/>
    <w:rPr>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1">
    <w:name w:val="Table Columns 531"/>
    <w:basedOn w:val="TableNormal"/>
    <w:uiPriority w:val="99"/>
    <w:semiHidden/>
    <w:rPr>
      <w:sz w:val="22"/>
      <w:szCs w:val="22"/>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431">
    <w:name w:val="Table Grid 431"/>
    <w:basedOn w:val="TableNormal"/>
    <w:uiPriority w:val="99"/>
    <w:semiHidden/>
    <w:rPr>
      <w:sz w:val="22"/>
      <w:szCs w:val="22"/>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31">
    <w:name w:val="Table Grid 631"/>
    <w:basedOn w:val="TableNormal"/>
    <w:uiPriority w:val="99"/>
    <w:semiHidden/>
    <w:rPr>
      <w:sz w:val="22"/>
      <w:szCs w:val="22"/>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1">
    <w:name w:val="Table Grid 831"/>
    <w:basedOn w:val="TableNormal"/>
    <w:uiPriority w:val="99"/>
    <w:semiHidden/>
    <w:rPr>
      <w:sz w:val="22"/>
      <w:szCs w:val="22"/>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1">
    <w:name w:val="Table List 131"/>
    <w:basedOn w:val="TableNormal"/>
    <w:uiPriority w:val="99"/>
    <w:semiHidden/>
    <w:rPr>
      <w:sz w:val="22"/>
      <w:szCs w:val="22"/>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1">
    <w:name w:val="Table List 231"/>
    <w:basedOn w:val="TableNormal"/>
    <w:uiPriority w:val="99"/>
    <w:semiHidden/>
    <w:rPr>
      <w:sz w:val="22"/>
      <w:szCs w:val="22"/>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1">
    <w:name w:val="Table List 331"/>
    <w:basedOn w:val="TableNormal"/>
    <w:uiPriority w:val="99"/>
    <w:semiHidden/>
    <w:rPr>
      <w:sz w:val="22"/>
      <w:szCs w:val="22"/>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1">
    <w:name w:val="Table List 431"/>
    <w:basedOn w:val="TableNormal"/>
    <w:uiPriority w:val="99"/>
    <w:semiHidden/>
    <w:rPr>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31">
    <w:name w:val="Table List 731"/>
    <w:basedOn w:val="TableNormal"/>
    <w:uiPriority w:val="99"/>
    <w:semiHidden/>
    <w:rPr>
      <w:sz w:val="22"/>
      <w:szCs w:val="22"/>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1">
    <w:name w:val="Table List 831"/>
    <w:basedOn w:val="TableNormal"/>
    <w:uiPriority w:val="99"/>
    <w:semiHidden/>
    <w:rPr>
      <w:sz w:val="22"/>
      <w:szCs w:val="22"/>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31">
    <w:name w:val="Table 3D effects 131"/>
    <w:basedOn w:val="TableNormal"/>
    <w:uiPriority w:val="99"/>
    <w:semiHidden/>
    <w:rPr>
      <w:sz w:val="22"/>
      <w:szCs w:val="22"/>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31">
    <w:name w:val="Table 3D effects 331"/>
    <w:basedOn w:val="TableNormal"/>
    <w:uiPriority w:val="99"/>
    <w:semiHidden/>
    <w:rPr>
      <w:sz w:val="22"/>
      <w:szCs w:val="22"/>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31">
    <w:name w:val="Table Contemporary31"/>
    <w:basedOn w:val="TableNormal"/>
    <w:uiPriority w:val="99"/>
    <w:semiHidden/>
    <w:rPr>
      <w:sz w:val="22"/>
      <w:szCs w:val="22"/>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1">
    <w:name w:val="Table Elegant31"/>
    <w:basedOn w:val="TableNormal"/>
    <w:uiPriority w:val="99"/>
    <w:semiHidden/>
    <w:rPr>
      <w:sz w:val="22"/>
      <w:szCs w:val="22"/>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uiPriority w:val="99"/>
    <w:semiHidden/>
    <w:rPr>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31">
    <w:name w:val="Table Web 131"/>
    <w:basedOn w:val="TableNormal"/>
    <w:uiPriority w:val="99"/>
    <w:semiHidden/>
    <w:rPr>
      <w:sz w:val="22"/>
      <w:szCs w:val="22"/>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1">
    <w:name w:val="Table Web 231"/>
    <w:basedOn w:val="TableNormal"/>
    <w:uiPriority w:val="99"/>
    <w:semiHidden/>
    <w:rPr>
      <w:sz w:val="22"/>
      <w:szCs w:val="22"/>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1">
    <w:name w:val="Table Web 331"/>
    <w:basedOn w:val="TableNormal"/>
    <w:uiPriority w:val="99"/>
    <w:semiHidden/>
    <w:rPr>
      <w:sz w:val="22"/>
      <w:szCs w:val="22"/>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31">
    <w:name w:val="Light Shading31"/>
    <w:basedOn w:val="TableNormal"/>
    <w:uiPriority w:val="60"/>
    <w:semiHidden/>
    <w:rPr>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31">
    <w:name w:val="Light List31"/>
    <w:basedOn w:val="TableNormal"/>
    <w:uiPriority w:val="61"/>
    <w:semiHidden/>
    <w:rPr>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31">
    <w:name w:val="Light Grid31"/>
    <w:basedOn w:val="TableNormal"/>
    <w:uiPriority w:val="62"/>
    <w:semiHidden/>
    <w:rPr>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1">
    <w:name w:val="Medium Shading 131"/>
    <w:basedOn w:val="TableNormal"/>
    <w:uiPriority w:val="63"/>
    <w:semiHidden/>
    <w:rPr>
      <w:sz w:val="22"/>
      <w:szCs w:val="22"/>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100" w:beforeAutospacing="1" w:afterLines="0" w:after="100" w:afterAutospacing="1"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31">
    <w:name w:val="Medium Shading 231"/>
    <w:basedOn w:val="TableNormal"/>
    <w:uiPriority w:val="64"/>
    <w:semiHidden/>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31">
    <w:name w:val="Medium List 131"/>
    <w:basedOn w:val="TableNormal"/>
    <w:uiPriority w:val="65"/>
    <w:semiHidden/>
    <w:rPr>
      <w:color w:val="000000"/>
      <w:sz w:val="22"/>
      <w:szCs w:val="22"/>
    </w:rPr>
    <w:tblPr>
      <w:tblStyleRowBandSize w:val="1"/>
      <w:tblStyleColBandSize w:val="1"/>
      <w:tblInd w:w="0" w:type="nil"/>
      <w:tblBorders>
        <w:top w:val="single" w:sz="8" w:space="0" w:color="000000"/>
        <w:bottom w:val="single" w:sz="8" w:space="0" w:color="000000"/>
      </w:tblBorders>
    </w:tblPr>
    <w:tblStylePr w:type="firstRow">
      <w:rPr>
        <w:rFonts w:ascii="Times New Roman" w:eastAsia="Times New Roman" w:hAnsi="Times New Roman"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31">
    <w:name w:val="Medium List 231"/>
    <w:basedOn w:val="TableNormal"/>
    <w:uiPriority w:val="66"/>
    <w:semiHidden/>
    <w:rPr>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231">
    <w:name w:val="Medium Grid 231"/>
    <w:basedOn w:val="TableNormal"/>
    <w:uiPriority w:val="68"/>
    <w:semiHidden/>
    <w:rPr>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31">
    <w:name w:val="Medium Grid 331"/>
    <w:basedOn w:val="TableNormal"/>
    <w:uiPriority w:val="69"/>
    <w:semiHidden/>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DarkList31">
    <w:name w:val="Dark List31"/>
    <w:basedOn w:val="TableNormal"/>
    <w:uiPriority w:val="70"/>
    <w:semiHidden/>
    <w:rPr>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olorfulShading31">
    <w:name w:val="Colorful Shading31"/>
    <w:basedOn w:val="TableNormal"/>
    <w:uiPriority w:val="71"/>
    <w:semiHidden/>
    <w:rPr>
      <w:color w:val="000000"/>
      <w:sz w:val="22"/>
      <w:szCs w:val="22"/>
    </w:rPr>
    <w:tblPr>
      <w:tblStyleRowBandSize w:val="1"/>
      <w:tblStyleColBandSize w:val="1"/>
      <w:tblInd w:w="0" w:type="nil"/>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31">
    <w:name w:val="Colorful List31"/>
    <w:basedOn w:val="TableNormal"/>
    <w:uiPriority w:val="72"/>
    <w:semiHidden/>
    <w:rPr>
      <w:color w:val="000000"/>
      <w:sz w:val="22"/>
      <w:szCs w:val="22"/>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31">
    <w:name w:val="Colorful Grid31"/>
    <w:basedOn w:val="TableNormal"/>
    <w:uiPriority w:val="73"/>
    <w:semiHidden/>
    <w:rPr>
      <w:color w:val="000000"/>
      <w:sz w:val="22"/>
      <w:szCs w:val="22"/>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Shading-Accent131">
    <w:name w:val="Light Shading - Accent 131"/>
    <w:basedOn w:val="TableNormal"/>
    <w:uiPriority w:val="60"/>
    <w:semiHidden/>
    <w:rPr>
      <w:color w:val="2E74B5"/>
      <w:sz w:val="22"/>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List-Accent131">
    <w:name w:val="Light List - Accent 131"/>
    <w:basedOn w:val="TableNormal"/>
    <w:uiPriority w:val="61"/>
    <w:semiHidden/>
    <w:rPr>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100" w:beforeAutospacing="1" w:afterLines="0" w:after="100" w:afterAutospacing="1" w:line="240" w:lineRule="auto"/>
      </w:pPr>
      <w:rPr>
        <w:b/>
        <w:bCs/>
        <w:color w:val="FFFFFF"/>
      </w:rPr>
      <w:tblPr/>
      <w:tcPr>
        <w:shd w:val="clear" w:color="auto" w:fill="5B9BD5"/>
      </w:tcPr>
    </w:tblStylePr>
    <w:tblStylePr w:type="lastRow">
      <w:pPr>
        <w:spacing w:beforeLines="0" w:before="100" w:beforeAutospacing="1" w:afterLines="0" w:after="100" w:afterAutospacing="1"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1">
    <w:name w:val="Light Grid - Accent 131"/>
    <w:basedOn w:val="TableNormal"/>
    <w:uiPriority w:val="62"/>
    <w:semiHidden/>
    <w:rPr>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Shading1-Accent131">
    <w:name w:val="Medium Shading 1 - Accent 131"/>
    <w:basedOn w:val="TableNormal"/>
    <w:uiPriority w:val="63"/>
    <w:semiHidden/>
    <w:rPr>
      <w:sz w:val="22"/>
      <w:szCs w:val="22"/>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100" w:beforeAutospacing="1" w:afterLines="0" w:after="100" w:afterAutospacing="1"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100" w:beforeAutospacing="1" w:afterLines="0" w:after="100" w:afterAutospacing="1"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2-Accent131">
    <w:name w:val="Medium Shading 2 - Accent 131"/>
    <w:basedOn w:val="TableNormal"/>
    <w:uiPriority w:val="64"/>
    <w:semiHidden/>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31">
    <w:name w:val="Medium List 1 - Accent 131"/>
    <w:basedOn w:val="TableNormal"/>
    <w:uiPriority w:val="65"/>
    <w:semiHidden/>
    <w:rPr>
      <w:color w:val="000000"/>
      <w:sz w:val="22"/>
      <w:szCs w:val="22"/>
    </w:rPr>
    <w:tblPr>
      <w:tblStyleRowBandSize w:val="1"/>
      <w:tblStyleColBandSize w:val="1"/>
      <w:tblInd w:w="0" w:type="nil"/>
      <w:tblBorders>
        <w:top w:val="single" w:sz="8" w:space="0" w:color="5B9BD5"/>
        <w:bottom w:val="single" w:sz="8" w:space="0" w:color="5B9BD5"/>
      </w:tblBorders>
    </w:tblPr>
    <w:tblStylePr w:type="firstRow">
      <w:rPr>
        <w:rFonts w:ascii="Times New Roman" w:eastAsia="Times New Roman" w:hAnsi="Times New Roman" w:cs="Times New Roman" w:hint="default"/>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2-Accent131">
    <w:name w:val="Medium List 2 - Accent 131"/>
    <w:basedOn w:val="TableNormal"/>
    <w:uiPriority w:val="66"/>
    <w:semiHidden/>
    <w:rPr>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Grid2-Accent131">
    <w:name w:val="Medium Grid 2 - Accent 131"/>
    <w:basedOn w:val="TableNormal"/>
    <w:uiPriority w:val="68"/>
    <w:semiHidden/>
    <w:rPr>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3-Accent131">
    <w:name w:val="Medium Grid 3 - Accent 131"/>
    <w:basedOn w:val="TableNormal"/>
    <w:uiPriority w:val="69"/>
    <w:semiHidden/>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DarkList-Accent131">
    <w:name w:val="Dark List - Accent 131"/>
    <w:basedOn w:val="TableNormal"/>
    <w:uiPriority w:val="70"/>
    <w:semiHidden/>
    <w:rPr>
      <w:color w:val="FFFFFF"/>
      <w:sz w:val="22"/>
      <w:szCs w:val="22"/>
    </w:rPr>
    <w:tblPr>
      <w:tblStyleRowBandSize w:val="1"/>
      <w:tblStyleColBandSize w:val="1"/>
      <w:tblInd w:w="0" w:type="nil"/>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ColorfulShading-Accent131">
    <w:name w:val="Colorful Shading - Accent 131"/>
    <w:basedOn w:val="TableNormal"/>
    <w:uiPriority w:val="71"/>
    <w:semiHidden/>
    <w:rPr>
      <w:color w:val="000000"/>
      <w:sz w:val="22"/>
      <w:szCs w:val="22"/>
    </w:rPr>
    <w:tblPr>
      <w:tblStyleRowBandSize w:val="1"/>
      <w:tblStyleColBandSize w:val="1"/>
      <w:tblInd w:w="0" w:type="nil"/>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List-Accent131">
    <w:name w:val="Colorful List - Accent 131"/>
    <w:basedOn w:val="TableNormal"/>
    <w:uiPriority w:val="72"/>
    <w:semiHidden/>
    <w:rPr>
      <w:color w:val="000000"/>
      <w:sz w:val="22"/>
      <w:szCs w:val="22"/>
    </w:rPr>
    <w:tblPr>
      <w:tblStyleRowBandSize w:val="1"/>
      <w:tblStyleColBandSize w:val="1"/>
      <w:tblInd w:w="0" w:type="nil"/>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Grid-Accent131">
    <w:name w:val="Colorful Grid - Accent 131"/>
    <w:basedOn w:val="TableNormal"/>
    <w:uiPriority w:val="73"/>
    <w:semiHidden/>
    <w:rPr>
      <w:color w:val="000000"/>
      <w:sz w:val="22"/>
      <w:szCs w:val="22"/>
    </w:rPr>
    <w:tblPr>
      <w:tblStyleRowBandSize w:val="1"/>
      <w:tblStyleColBandSize w:val="1"/>
      <w:tblInd w:w="0" w:type="nil"/>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231">
    <w:name w:val="Light Shading - Accent 231"/>
    <w:basedOn w:val="TableNormal"/>
    <w:uiPriority w:val="60"/>
    <w:semiHidden/>
    <w:rPr>
      <w:color w:val="C45911"/>
      <w:sz w:val="22"/>
      <w:szCs w:val="22"/>
    </w:rPr>
    <w:tblPr>
      <w:tblStyleRowBandSize w:val="1"/>
      <w:tblStyleColBandSize w:val="1"/>
      <w:tblInd w:w="0" w:type="nil"/>
      <w:tblBorders>
        <w:top w:val="single" w:sz="8" w:space="0" w:color="ED7D31"/>
        <w:bottom w:val="single" w:sz="8" w:space="0" w:color="ED7D31"/>
      </w:tblBorders>
    </w:tblPr>
    <w:tblStylePr w:type="firstRow">
      <w:pPr>
        <w:spacing w:beforeLines="0" w:before="100" w:beforeAutospacing="1" w:afterLines="0" w:after="100" w:afterAutospacing="1"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List-Accent231">
    <w:name w:val="Light List - Accent 231"/>
    <w:basedOn w:val="TableNormal"/>
    <w:uiPriority w:val="61"/>
    <w:semiHidden/>
    <w:rPr>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pPr>
        <w:spacing w:beforeLines="0" w:before="100" w:beforeAutospacing="1" w:afterLines="0" w:after="100" w:afterAutospacing="1" w:line="240" w:lineRule="auto"/>
      </w:pPr>
      <w:rPr>
        <w:b/>
        <w:bCs/>
        <w:color w:val="FFFFFF"/>
      </w:rPr>
      <w:tblPr/>
      <w:tcPr>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Grid-Accent231">
    <w:name w:val="Light Grid - Accent 231"/>
    <w:basedOn w:val="TableNormal"/>
    <w:uiPriority w:val="62"/>
    <w:semiHidden/>
    <w:rPr>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31">
    <w:name w:val="Medium Shading 1 - Accent 231"/>
    <w:basedOn w:val="TableNormal"/>
    <w:uiPriority w:val="63"/>
    <w:semiHidden/>
    <w:rPr>
      <w:sz w:val="22"/>
      <w:szCs w:val="22"/>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2-Accent231">
    <w:name w:val="Medium Shading 2 - Accent 231"/>
    <w:basedOn w:val="TableNormal"/>
    <w:uiPriority w:val="64"/>
    <w:semiHidden/>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31">
    <w:name w:val="Medium List 1 - Accent 231"/>
    <w:basedOn w:val="TableNormal"/>
    <w:uiPriority w:val="65"/>
    <w:semiHidden/>
    <w:rPr>
      <w:color w:val="000000"/>
      <w:sz w:val="22"/>
      <w:szCs w:val="22"/>
    </w:rPr>
    <w:tblPr>
      <w:tblStyleRowBandSize w:val="1"/>
      <w:tblStyleColBandSize w:val="1"/>
      <w:tblInd w:w="0" w:type="nil"/>
      <w:tblBorders>
        <w:top w:val="single" w:sz="8" w:space="0" w:color="ED7D31"/>
        <w:bottom w:val="single" w:sz="8" w:space="0" w:color="ED7D31"/>
      </w:tblBorders>
    </w:tblPr>
    <w:tblStylePr w:type="firstRow">
      <w:rPr>
        <w:rFonts w:ascii="Times New Roman" w:eastAsia="Times New Roman" w:hAnsi="Times New Roman" w:cs="Times New Roman" w:hint="default"/>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2-Accent231">
    <w:name w:val="Medium List 2 - Accent 231"/>
    <w:basedOn w:val="TableNormal"/>
    <w:uiPriority w:val="66"/>
    <w:semiHidden/>
    <w:rPr>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2-Accent231">
    <w:name w:val="Medium Grid 2 - Accent 231"/>
    <w:basedOn w:val="TableNormal"/>
    <w:uiPriority w:val="68"/>
    <w:semiHidden/>
    <w:rPr>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31">
    <w:name w:val="Medium Grid 3 - Accent 231"/>
    <w:basedOn w:val="TableNormal"/>
    <w:uiPriority w:val="69"/>
    <w:semiHidden/>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DarkList-Accent231">
    <w:name w:val="Dark List - Accent 231"/>
    <w:basedOn w:val="TableNormal"/>
    <w:uiPriority w:val="70"/>
    <w:semiHidden/>
    <w:rPr>
      <w:color w:val="FFFFFF"/>
      <w:sz w:val="22"/>
      <w:szCs w:val="22"/>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ColorfulShading-Accent231">
    <w:name w:val="Colorful Shading - Accent 231"/>
    <w:basedOn w:val="TableNormal"/>
    <w:uiPriority w:val="71"/>
    <w:semiHidden/>
    <w:rPr>
      <w:color w:val="000000"/>
      <w:sz w:val="22"/>
      <w:szCs w:val="22"/>
    </w:rPr>
    <w:tblPr>
      <w:tblStyleRowBandSize w:val="1"/>
      <w:tblStyleColBandSize w:val="1"/>
      <w:tblInd w:w="0" w:type="nil"/>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List-Accent231">
    <w:name w:val="Colorful List - Accent 231"/>
    <w:basedOn w:val="TableNormal"/>
    <w:uiPriority w:val="72"/>
    <w:semiHidden/>
    <w:rPr>
      <w:color w:val="000000"/>
      <w:sz w:val="22"/>
      <w:szCs w:val="22"/>
    </w:rPr>
    <w:tblPr>
      <w:tblStyleRowBandSize w:val="1"/>
      <w:tblStyleColBandSize w:val="1"/>
      <w:tblInd w:w="0" w:type="nil"/>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Grid-Accent231">
    <w:name w:val="Colorful Grid - Accent 231"/>
    <w:basedOn w:val="TableNormal"/>
    <w:uiPriority w:val="73"/>
    <w:semiHidden/>
    <w:rPr>
      <w:color w:val="000000"/>
      <w:sz w:val="22"/>
      <w:szCs w:val="22"/>
    </w:rPr>
    <w:tblPr>
      <w:tblStyleRowBandSize w:val="1"/>
      <w:tblStyleColBandSize w:val="1"/>
      <w:tblInd w:w="0" w:type="nil"/>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LightShading-Accent331">
    <w:name w:val="Light Shading - Accent 331"/>
    <w:basedOn w:val="TableNormal"/>
    <w:uiPriority w:val="60"/>
    <w:semiHidden/>
    <w:rPr>
      <w:color w:val="7B7B7B"/>
      <w:sz w:val="22"/>
      <w:szCs w:val="22"/>
    </w:rPr>
    <w:tblPr>
      <w:tblStyleRowBandSize w:val="1"/>
      <w:tblStyleColBandSize w:val="1"/>
      <w:tblInd w:w="0" w:type="nil"/>
      <w:tblBorders>
        <w:top w:val="single" w:sz="8" w:space="0" w:color="A5A5A5"/>
        <w:bottom w:val="single" w:sz="8" w:space="0" w:color="A5A5A5"/>
      </w:tblBorders>
    </w:tblPr>
    <w:tblStylePr w:type="fir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Accent331">
    <w:name w:val="Light List - Accent 331"/>
    <w:basedOn w:val="TableNormal"/>
    <w:uiPriority w:val="61"/>
    <w:semiHidden/>
    <w:rPr>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Grid-Accent331">
    <w:name w:val="Light Grid - Accent 331"/>
    <w:basedOn w:val="TableNormal"/>
    <w:uiPriority w:val="62"/>
    <w:semiHidden/>
    <w:rPr>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31">
    <w:name w:val="Medium Shading 1 - Accent 331"/>
    <w:basedOn w:val="TableNormal"/>
    <w:uiPriority w:val="63"/>
    <w:semiHidden/>
    <w:rPr>
      <w:sz w:val="22"/>
      <w:szCs w:val="22"/>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100" w:beforeAutospacing="1" w:afterLines="0" w:after="100" w:afterAutospacing="1"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Accent331">
    <w:name w:val="Medium Shading 2 - Accent 331"/>
    <w:basedOn w:val="TableNormal"/>
    <w:uiPriority w:val="64"/>
    <w:semiHidden/>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331">
    <w:name w:val="Medium List 1 - Accent 331"/>
    <w:basedOn w:val="TableNormal"/>
    <w:uiPriority w:val="65"/>
    <w:semiHidden/>
    <w:rPr>
      <w:color w:val="000000"/>
      <w:sz w:val="22"/>
      <w:szCs w:val="22"/>
    </w:rPr>
    <w:tblPr>
      <w:tblStyleRowBandSize w:val="1"/>
      <w:tblStyleColBandSize w:val="1"/>
      <w:tblInd w:w="0" w:type="nil"/>
      <w:tblBorders>
        <w:top w:val="single" w:sz="8" w:space="0" w:color="A5A5A5"/>
        <w:bottom w:val="single" w:sz="8" w:space="0" w:color="A5A5A5"/>
      </w:tblBorders>
    </w:tblPr>
    <w:tblStylePr w:type="firstRow">
      <w:rPr>
        <w:rFonts w:ascii="Times New Roman" w:eastAsia="Times New Roman" w:hAnsi="Times New Roman" w:cs="Times New Roman" w:hint="default"/>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2-Accent331">
    <w:name w:val="Medium List 2 - Accent 331"/>
    <w:basedOn w:val="TableNormal"/>
    <w:uiPriority w:val="66"/>
    <w:semiHidden/>
    <w:rPr>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Grid2-Accent331">
    <w:name w:val="Medium Grid 2 - Accent 331"/>
    <w:basedOn w:val="TableNormal"/>
    <w:uiPriority w:val="68"/>
    <w:semiHidden/>
    <w:rPr>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3-Accent331">
    <w:name w:val="Medium Grid 3 - Accent 331"/>
    <w:basedOn w:val="TableNormal"/>
    <w:uiPriority w:val="69"/>
    <w:semiHidden/>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DarkList-Accent331">
    <w:name w:val="Dark List - Accent 331"/>
    <w:basedOn w:val="TableNormal"/>
    <w:uiPriority w:val="70"/>
    <w:semiHidden/>
    <w:rPr>
      <w:color w:val="FFFFFF"/>
      <w:sz w:val="22"/>
      <w:szCs w:val="22"/>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ColorfulShading-Accent331">
    <w:name w:val="Colorful Shading - Accent 331"/>
    <w:basedOn w:val="TableNormal"/>
    <w:uiPriority w:val="71"/>
    <w:semiHidden/>
    <w:rPr>
      <w:color w:val="000000"/>
      <w:sz w:val="22"/>
      <w:szCs w:val="22"/>
    </w:rPr>
    <w:tblPr>
      <w:tblStyleRowBandSize w:val="1"/>
      <w:tblStyleColBandSize w:val="1"/>
      <w:tblInd w:w="0" w:type="nil"/>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List-Accent331">
    <w:name w:val="Colorful List - Accent 331"/>
    <w:basedOn w:val="TableNormal"/>
    <w:uiPriority w:val="72"/>
    <w:semiHidden/>
    <w:rPr>
      <w:color w:val="000000"/>
      <w:sz w:val="22"/>
      <w:szCs w:val="22"/>
    </w:rPr>
    <w:tblPr>
      <w:tblStyleRowBandSize w:val="1"/>
      <w:tblStyleColBandSize w:val="1"/>
      <w:tblInd w:w="0" w:type="nil"/>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Grid-Accent331">
    <w:name w:val="Colorful Grid - Accent 331"/>
    <w:basedOn w:val="TableNormal"/>
    <w:uiPriority w:val="73"/>
    <w:semiHidden/>
    <w:rPr>
      <w:color w:val="000000"/>
      <w:sz w:val="22"/>
      <w:szCs w:val="22"/>
    </w:rPr>
    <w:tblPr>
      <w:tblStyleRowBandSize w:val="1"/>
      <w:tblStyleColBandSize w:val="1"/>
      <w:tblInd w:w="0" w:type="nil"/>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LightShading-Accent431">
    <w:name w:val="Light Shading - Accent 431"/>
    <w:basedOn w:val="TableNormal"/>
    <w:uiPriority w:val="60"/>
    <w:semiHidden/>
    <w:rPr>
      <w:color w:val="BF8F00"/>
      <w:sz w:val="22"/>
      <w:szCs w:val="22"/>
    </w:rPr>
    <w:tblPr>
      <w:tblStyleRowBandSize w:val="1"/>
      <w:tblStyleColBandSize w:val="1"/>
      <w:tblInd w:w="0" w:type="nil"/>
      <w:tblBorders>
        <w:top w:val="single" w:sz="8" w:space="0" w:color="FFC000"/>
        <w:bottom w:val="single" w:sz="8" w:space="0" w:color="FFC000"/>
      </w:tblBorders>
    </w:tblPr>
    <w:tblStylePr w:type="firstRow">
      <w:pPr>
        <w:spacing w:beforeLines="0" w:before="100" w:beforeAutospacing="1" w:afterLines="0" w:after="100" w:afterAutospacing="1"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List-Accent431">
    <w:name w:val="Light List - Accent 431"/>
    <w:basedOn w:val="TableNormal"/>
    <w:uiPriority w:val="61"/>
    <w:semiHidden/>
    <w:rPr>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pPr>
        <w:spacing w:beforeLines="0" w:before="100" w:beforeAutospacing="1" w:afterLines="0" w:after="100" w:afterAutospacing="1" w:line="240" w:lineRule="auto"/>
      </w:pPr>
      <w:rPr>
        <w:b/>
        <w:bCs/>
        <w:color w:val="FFFFFF"/>
      </w:rPr>
      <w:tblPr/>
      <w:tcPr>
        <w:shd w:val="clear" w:color="auto" w:fill="FFC000"/>
      </w:tcPr>
    </w:tblStylePr>
    <w:tblStylePr w:type="lastRow">
      <w:pPr>
        <w:spacing w:beforeLines="0" w:before="100" w:beforeAutospacing="1" w:afterLines="0" w:after="100" w:afterAutospacing="1"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31">
    <w:name w:val="Light Grid - Accent 431"/>
    <w:basedOn w:val="TableNormal"/>
    <w:uiPriority w:val="62"/>
    <w:semiHidden/>
    <w:rPr>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Shading1-Accent431">
    <w:name w:val="Medium Shading 1 - Accent 431"/>
    <w:basedOn w:val="TableNormal"/>
    <w:uiPriority w:val="63"/>
    <w:semiHidden/>
    <w:rPr>
      <w:sz w:val="22"/>
      <w:szCs w:val="22"/>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100" w:beforeAutospacing="1" w:afterLines="0" w:after="100" w:afterAutospacing="1"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100" w:beforeAutospacing="1" w:afterLines="0" w:after="100" w:afterAutospacing="1"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31">
    <w:name w:val="Medium Shading 2 - Accent 431"/>
    <w:basedOn w:val="TableNormal"/>
    <w:uiPriority w:val="64"/>
    <w:semiHidden/>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31">
    <w:name w:val="Medium List 1 - Accent 431"/>
    <w:basedOn w:val="TableNormal"/>
    <w:uiPriority w:val="65"/>
    <w:semiHidden/>
    <w:rPr>
      <w:color w:val="000000"/>
      <w:sz w:val="22"/>
      <w:szCs w:val="22"/>
    </w:rPr>
    <w:tblPr>
      <w:tblStyleRowBandSize w:val="1"/>
      <w:tblStyleColBandSize w:val="1"/>
      <w:tblInd w:w="0" w:type="nil"/>
      <w:tblBorders>
        <w:top w:val="single" w:sz="8" w:space="0" w:color="FFC000"/>
        <w:bottom w:val="single" w:sz="8" w:space="0" w:color="FFC000"/>
      </w:tblBorders>
    </w:tblPr>
    <w:tblStylePr w:type="firstRow">
      <w:rPr>
        <w:rFonts w:ascii="Times New Roman" w:eastAsia="Times New Roman" w:hAnsi="Times New Roman" w:cs="Times New Roman" w:hint="default"/>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431">
    <w:name w:val="Medium List 2 - Accent 431"/>
    <w:basedOn w:val="TableNormal"/>
    <w:uiPriority w:val="66"/>
    <w:semiHidden/>
    <w:rPr>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Grid2-Accent431">
    <w:name w:val="Medium Grid 2 - Accent 431"/>
    <w:basedOn w:val="TableNormal"/>
    <w:uiPriority w:val="68"/>
    <w:semiHidden/>
    <w:rPr>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3-Accent431">
    <w:name w:val="Medium Grid 3 - Accent 431"/>
    <w:basedOn w:val="TableNormal"/>
    <w:uiPriority w:val="69"/>
    <w:semiHidden/>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DarkList-Accent431">
    <w:name w:val="Dark List - Accent 431"/>
    <w:basedOn w:val="TableNormal"/>
    <w:uiPriority w:val="70"/>
    <w:semiHidden/>
    <w:rPr>
      <w:color w:val="FFFFFF"/>
      <w:sz w:val="22"/>
      <w:szCs w:val="22"/>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ColorfulShading-Accent431">
    <w:name w:val="Colorful Shading - Accent 431"/>
    <w:basedOn w:val="TableNormal"/>
    <w:uiPriority w:val="71"/>
    <w:semiHidden/>
    <w:rPr>
      <w:color w:val="000000"/>
      <w:sz w:val="22"/>
      <w:szCs w:val="22"/>
    </w:rPr>
    <w:tblPr>
      <w:tblStyleRowBandSize w:val="1"/>
      <w:tblStyleColBandSize w:val="1"/>
      <w:tblInd w:w="0" w:type="nil"/>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List-Accent431">
    <w:name w:val="Colorful List - Accent 431"/>
    <w:basedOn w:val="TableNormal"/>
    <w:uiPriority w:val="72"/>
    <w:semiHidden/>
    <w:rPr>
      <w:color w:val="000000"/>
      <w:sz w:val="22"/>
      <w:szCs w:val="22"/>
    </w:rPr>
    <w:tblPr>
      <w:tblStyleRowBandSize w:val="1"/>
      <w:tblStyleColBandSize w:val="1"/>
      <w:tblInd w:w="0" w:type="nil"/>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Grid-Accent431">
    <w:name w:val="Colorful Grid - Accent 431"/>
    <w:basedOn w:val="TableNormal"/>
    <w:uiPriority w:val="73"/>
    <w:semiHidden/>
    <w:rPr>
      <w:color w:val="000000"/>
      <w:sz w:val="22"/>
      <w:szCs w:val="22"/>
    </w:rPr>
    <w:tblPr>
      <w:tblStyleRowBandSize w:val="1"/>
      <w:tblStyleColBandSize w:val="1"/>
      <w:tblInd w:w="0" w:type="nil"/>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LightShading-Accent531">
    <w:name w:val="Light Shading - Accent 531"/>
    <w:basedOn w:val="TableNormal"/>
    <w:uiPriority w:val="60"/>
    <w:semiHidden/>
    <w:rPr>
      <w:color w:val="2F5496"/>
      <w:sz w:val="22"/>
      <w:szCs w:val="22"/>
    </w:rPr>
    <w:tblPr>
      <w:tblStyleRowBandSize w:val="1"/>
      <w:tblStyleColBandSize w:val="1"/>
      <w:tblInd w:w="0" w:type="nil"/>
      <w:tblBorders>
        <w:top w:val="single" w:sz="8" w:space="0" w:color="4472C4"/>
        <w:bottom w:val="single" w:sz="8" w:space="0" w:color="4472C4"/>
      </w:tblBorders>
    </w:tblPr>
    <w:tblStylePr w:type="firstRow">
      <w:pPr>
        <w:spacing w:beforeLines="0" w:before="100" w:beforeAutospacing="1" w:afterLines="0" w:after="100" w:afterAutospacing="1"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Accent531">
    <w:name w:val="Light List - Accent 531"/>
    <w:basedOn w:val="TableNormal"/>
    <w:uiPriority w:val="61"/>
    <w:semiHidden/>
    <w:rPr>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100" w:beforeAutospacing="1" w:afterLines="0" w:after="100" w:afterAutospacing="1" w:line="240" w:lineRule="auto"/>
      </w:pPr>
      <w:rPr>
        <w:b/>
        <w:bCs/>
        <w:color w:val="FFFFFF"/>
      </w:rPr>
      <w:tblPr/>
      <w:tcPr>
        <w:shd w:val="clear" w:color="auto" w:fill="4472C4"/>
      </w:tcPr>
    </w:tblStylePr>
    <w:tblStylePr w:type="lastRow">
      <w:pPr>
        <w:spacing w:beforeLines="0" w:before="100" w:beforeAutospacing="1" w:afterLines="0" w:after="100" w:afterAutospacing="1"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Grid-Accent531">
    <w:name w:val="Light Grid - Accent 531"/>
    <w:basedOn w:val="TableNormal"/>
    <w:uiPriority w:val="62"/>
    <w:semiHidden/>
    <w:rPr>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Accent531">
    <w:name w:val="Medium Shading 1 - Accent 531"/>
    <w:basedOn w:val="TableNormal"/>
    <w:uiPriority w:val="63"/>
    <w:semiHidden/>
    <w:rPr>
      <w:sz w:val="22"/>
      <w:szCs w:val="22"/>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2-Accent531">
    <w:name w:val="Medium Shading 2 - Accent 531"/>
    <w:basedOn w:val="TableNormal"/>
    <w:uiPriority w:val="64"/>
    <w:semiHidden/>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531">
    <w:name w:val="Medium List 1 - Accent 531"/>
    <w:basedOn w:val="TableNormal"/>
    <w:uiPriority w:val="65"/>
    <w:semiHidden/>
    <w:rPr>
      <w:color w:val="000000"/>
      <w:sz w:val="22"/>
      <w:szCs w:val="22"/>
    </w:rPr>
    <w:tblPr>
      <w:tblStyleRowBandSize w:val="1"/>
      <w:tblStyleColBandSize w:val="1"/>
      <w:tblInd w:w="0" w:type="nil"/>
      <w:tblBorders>
        <w:top w:val="single" w:sz="8" w:space="0" w:color="4472C4"/>
        <w:bottom w:val="single" w:sz="8" w:space="0" w:color="4472C4"/>
      </w:tblBorders>
    </w:tblPr>
    <w:tblStylePr w:type="firstRow">
      <w:rPr>
        <w:rFonts w:ascii="Times New Roman" w:eastAsia="Times New Roman" w:hAnsi="Times New Roman" w:cs="Times New Roman" w:hint="default"/>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2-Accent531">
    <w:name w:val="Medium List 2 - Accent 531"/>
    <w:basedOn w:val="TableNormal"/>
    <w:uiPriority w:val="66"/>
    <w:semiHidden/>
    <w:rPr>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2-Accent531">
    <w:name w:val="Medium Grid 2 - Accent 531"/>
    <w:basedOn w:val="TableNormal"/>
    <w:uiPriority w:val="68"/>
    <w:semiHidden/>
    <w:rPr>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3-Accent531">
    <w:name w:val="Medium Grid 3 - Accent 531"/>
    <w:basedOn w:val="TableNormal"/>
    <w:uiPriority w:val="69"/>
    <w:semiHidden/>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DarkList-Accent531">
    <w:name w:val="Dark List - Accent 531"/>
    <w:basedOn w:val="TableNormal"/>
    <w:uiPriority w:val="70"/>
    <w:semiHidden/>
    <w:rPr>
      <w:color w:val="FFFFFF"/>
      <w:sz w:val="22"/>
      <w:szCs w:val="22"/>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ColorfulShading-Accent531">
    <w:name w:val="Colorful Shading - Accent 531"/>
    <w:basedOn w:val="TableNormal"/>
    <w:uiPriority w:val="71"/>
    <w:semiHidden/>
    <w:rPr>
      <w:color w:val="000000"/>
      <w:sz w:val="22"/>
      <w:szCs w:val="22"/>
    </w:rPr>
    <w:tblPr>
      <w:tblStyleRowBandSize w:val="1"/>
      <w:tblStyleColBandSize w:val="1"/>
      <w:tblInd w:w="0" w:type="nil"/>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List-Accent531">
    <w:name w:val="Colorful List - Accent 531"/>
    <w:basedOn w:val="TableNormal"/>
    <w:uiPriority w:val="72"/>
    <w:semiHidden/>
    <w:rPr>
      <w:color w:val="000000"/>
      <w:sz w:val="22"/>
      <w:szCs w:val="22"/>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Grid-Accent531">
    <w:name w:val="Colorful Grid - Accent 531"/>
    <w:basedOn w:val="TableNormal"/>
    <w:uiPriority w:val="73"/>
    <w:semiHidden/>
    <w:rPr>
      <w:color w:val="000000"/>
      <w:sz w:val="22"/>
      <w:szCs w:val="22"/>
    </w:rPr>
    <w:tblPr>
      <w:tblStyleRowBandSize w:val="1"/>
      <w:tblStyleColBandSize w:val="1"/>
      <w:tblInd w:w="0" w:type="nil"/>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LightShading-Accent631">
    <w:name w:val="Light Shading - Accent 631"/>
    <w:basedOn w:val="TableNormal"/>
    <w:uiPriority w:val="60"/>
    <w:semiHidden/>
    <w:rPr>
      <w:color w:val="538135"/>
      <w:sz w:val="22"/>
      <w:szCs w:val="22"/>
    </w:rPr>
    <w:tblPr>
      <w:tblStyleRowBandSize w:val="1"/>
      <w:tblStyleColBandSize w:val="1"/>
      <w:tblInd w:w="0" w:type="nil"/>
      <w:tblBorders>
        <w:top w:val="single" w:sz="8" w:space="0" w:color="70AD47"/>
        <w:bottom w:val="single" w:sz="8" w:space="0" w:color="70AD47"/>
      </w:tblBorders>
    </w:tblPr>
    <w:tblStylePr w:type="firstRow">
      <w:pPr>
        <w:spacing w:beforeLines="0" w:before="100" w:beforeAutospacing="1" w:afterLines="0" w:after="100" w:afterAutospacing="1"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ghtList-Accent631">
    <w:name w:val="Light List - Accent 631"/>
    <w:basedOn w:val="TableNormal"/>
    <w:uiPriority w:val="61"/>
    <w:semiHidden/>
    <w:rPr>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pPr>
        <w:spacing w:beforeLines="0" w:before="100" w:beforeAutospacing="1" w:afterLines="0" w:after="100" w:afterAutospacing="1" w:line="240" w:lineRule="auto"/>
      </w:pPr>
      <w:rPr>
        <w:b/>
        <w:bCs/>
        <w:color w:val="FFFFFF"/>
      </w:rPr>
      <w:tblPr/>
      <w:tcPr>
        <w:shd w:val="clear" w:color="auto" w:fill="70AD47"/>
      </w:tcPr>
    </w:tblStylePr>
    <w:tblStylePr w:type="lastRow">
      <w:pPr>
        <w:spacing w:beforeLines="0" w:before="100" w:beforeAutospacing="1" w:afterLines="0" w:after="100" w:afterAutospacing="1"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31">
    <w:name w:val="Light Grid - Accent 631"/>
    <w:basedOn w:val="TableNormal"/>
    <w:uiPriority w:val="62"/>
    <w:semiHidden/>
    <w:rPr>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631">
    <w:name w:val="Medium Shading 1 - Accent 631"/>
    <w:basedOn w:val="TableNormal"/>
    <w:uiPriority w:val="63"/>
    <w:semiHidden/>
    <w:rPr>
      <w:sz w:val="22"/>
      <w:szCs w:val="22"/>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Lines="0" w:before="100" w:beforeAutospacing="1" w:afterLines="0" w:after="100" w:afterAutospacing="1"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Lines="0" w:before="100" w:beforeAutospacing="1" w:afterLines="0" w:after="100" w:afterAutospacing="1"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Accent631">
    <w:name w:val="Medium Shading 2 - Accent 631"/>
    <w:basedOn w:val="TableNormal"/>
    <w:uiPriority w:val="64"/>
    <w:semiHidden/>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631">
    <w:name w:val="Medium List 1 - Accent 631"/>
    <w:basedOn w:val="TableNormal"/>
    <w:uiPriority w:val="65"/>
    <w:semiHidden/>
    <w:rPr>
      <w:color w:val="000000"/>
      <w:sz w:val="22"/>
      <w:szCs w:val="22"/>
    </w:rPr>
    <w:tblPr>
      <w:tblStyleRowBandSize w:val="1"/>
      <w:tblStyleColBandSize w:val="1"/>
      <w:tblInd w:w="0" w:type="nil"/>
      <w:tblBorders>
        <w:top w:val="single" w:sz="8" w:space="0" w:color="70AD47"/>
        <w:bottom w:val="single" w:sz="8" w:space="0" w:color="70AD47"/>
      </w:tblBorders>
    </w:tblPr>
    <w:tblStylePr w:type="firstRow">
      <w:rPr>
        <w:rFonts w:ascii="Times New Roman" w:eastAsia="Times New Roman" w:hAnsi="Times New Roman" w:cs="Times New Roman" w:hint="default"/>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Accent631">
    <w:name w:val="Medium List 2 - Accent 631"/>
    <w:basedOn w:val="TableNormal"/>
    <w:uiPriority w:val="66"/>
    <w:semiHidden/>
    <w:rPr>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Grid2-Accent631">
    <w:name w:val="Medium Grid 2 - Accent 631"/>
    <w:basedOn w:val="TableNormal"/>
    <w:uiPriority w:val="68"/>
    <w:semiHidden/>
    <w:rPr>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Accent631">
    <w:name w:val="Medium Grid 3 - Accent 631"/>
    <w:basedOn w:val="TableNormal"/>
    <w:uiPriority w:val="69"/>
    <w:semiHidden/>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DarkList-Accent631">
    <w:name w:val="Dark List - Accent 631"/>
    <w:basedOn w:val="TableNormal"/>
    <w:uiPriority w:val="70"/>
    <w:semiHidden/>
    <w:rPr>
      <w:color w:val="FFFFFF"/>
      <w:sz w:val="22"/>
      <w:szCs w:val="22"/>
    </w:rPr>
    <w:tblPr>
      <w:tblStyleRowBandSize w:val="1"/>
      <w:tblStyleColBandSize w:val="1"/>
      <w:tblInd w:w="0" w:type="nil"/>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ColorfulShading-Accent631">
    <w:name w:val="Colorful Shading - Accent 631"/>
    <w:basedOn w:val="TableNormal"/>
    <w:uiPriority w:val="71"/>
    <w:semiHidden/>
    <w:rPr>
      <w:color w:val="000000"/>
      <w:sz w:val="22"/>
      <w:szCs w:val="22"/>
    </w:rPr>
    <w:tblPr>
      <w:tblStyleRowBandSize w:val="1"/>
      <w:tblStyleColBandSize w:val="1"/>
      <w:tblInd w:w="0" w:type="nil"/>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ColorfulList-Accent631">
    <w:name w:val="Colorful List - Accent 631"/>
    <w:basedOn w:val="TableNormal"/>
    <w:uiPriority w:val="72"/>
    <w:semiHidden/>
    <w:rPr>
      <w:color w:val="000000"/>
      <w:sz w:val="22"/>
      <w:szCs w:val="22"/>
    </w:rPr>
    <w:tblPr>
      <w:tblStyleRowBandSize w:val="1"/>
      <w:tblStyleColBandSize w:val="1"/>
      <w:tblInd w:w="0" w:type="nil"/>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Grid-Accent631">
    <w:name w:val="Colorful Grid - Accent 631"/>
    <w:basedOn w:val="TableNormal"/>
    <w:uiPriority w:val="73"/>
    <w:semiHidden/>
    <w:rPr>
      <w:color w:val="000000"/>
      <w:sz w:val="22"/>
      <w:szCs w:val="22"/>
    </w:rPr>
    <w:tblPr>
      <w:tblStyleRowBandSize w:val="1"/>
      <w:tblStyleColBandSize w:val="1"/>
      <w:tblInd w:w="0" w:type="nil"/>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PlainTable331">
    <w:name w:val="Plain Table 331"/>
    <w:basedOn w:val="TableNormal"/>
    <w:uiPriority w:val="43"/>
    <w:rPr>
      <w:sz w:val="22"/>
      <w:szCs w:val="22"/>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31">
    <w:name w:val="Plain Table 531"/>
    <w:basedOn w:val="TableNormal"/>
    <w:uiPriority w:val="45"/>
    <w:rPr>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7F7F7F"/>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F7F7F"/>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31">
    <w:name w:val="Grid Table 231"/>
    <w:basedOn w:val="TableNormal"/>
    <w:uiPriority w:val="47"/>
    <w:rPr>
      <w:sz w:val="22"/>
      <w:szCs w:val="22"/>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31">
    <w:name w:val="Grid Table 331"/>
    <w:basedOn w:val="TableNormal"/>
    <w:uiPriority w:val="48"/>
    <w:rPr>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31">
    <w:name w:val="Grid Table 431"/>
    <w:basedOn w:val="TableNormal"/>
    <w:uiPriority w:val="49"/>
    <w:rPr>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31">
    <w:name w:val="Grid Table 5 Dark31"/>
    <w:basedOn w:val="TableNormal"/>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7Colorful31">
    <w:name w:val="Grid Table 7 Colorful31"/>
    <w:basedOn w:val="TableNormal"/>
    <w:uiPriority w:val="52"/>
    <w:rPr>
      <w:color w:val="000000"/>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131">
    <w:name w:val="Grid Table 2 - Accent 131"/>
    <w:basedOn w:val="TableNormal"/>
    <w:uiPriority w:val="47"/>
    <w:rPr>
      <w:sz w:val="22"/>
      <w:szCs w:val="22"/>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3-Accent131">
    <w:name w:val="Grid Table 3 - Accent 131"/>
    <w:basedOn w:val="TableNormal"/>
    <w:uiPriority w:val="48"/>
    <w:rPr>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4-Accent131">
    <w:name w:val="Grid Table 4 - Accent 131"/>
    <w:basedOn w:val="TableNormal"/>
    <w:uiPriority w:val="49"/>
    <w:rPr>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31">
    <w:name w:val="Grid Table 5 Dark - Accent 131"/>
    <w:basedOn w:val="TableNormal"/>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7Colorful-Accent131">
    <w:name w:val="Grid Table 7 Colorful - Accent 131"/>
    <w:basedOn w:val="TableNormal"/>
    <w:uiPriority w:val="52"/>
    <w:rPr>
      <w:color w:val="2E74B5"/>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2-Accent231">
    <w:name w:val="Grid Table 2 - Accent 231"/>
    <w:basedOn w:val="TableNormal"/>
    <w:uiPriority w:val="47"/>
    <w:rPr>
      <w:sz w:val="22"/>
      <w:szCs w:val="22"/>
    </w:rPr>
    <w:tblPr>
      <w:tblStyleRowBandSize w:val="1"/>
      <w:tblStyleColBandSize w:val="1"/>
      <w:tblInd w:w="0" w:type="nil"/>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3-Accent231">
    <w:name w:val="Grid Table 3 - Accent 231"/>
    <w:basedOn w:val="TableNormal"/>
    <w:uiPriority w:val="48"/>
    <w:rPr>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4-Accent231">
    <w:name w:val="Grid Table 4 - Accent 231"/>
    <w:basedOn w:val="TableNormal"/>
    <w:uiPriority w:val="49"/>
    <w:rPr>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31">
    <w:name w:val="Grid Table 5 Dark - Accent 231"/>
    <w:basedOn w:val="TableNormal"/>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7Colorful-Accent231">
    <w:name w:val="Grid Table 7 Colorful - Accent 231"/>
    <w:basedOn w:val="TableNormal"/>
    <w:uiPriority w:val="52"/>
    <w:rPr>
      <w:color w:val="C45911"/>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2-Accent331">
    <w:name w:val="Grid Table 2 - Accent 331"/>
    <w:basedOn w:val="TableNormal"/>
    <w:uiPriority w:val="47"/>
    <w:rPr>
      <w:sz w:val="22"/>
      <w:szCs w:val="22"/>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31">
    <w:name w:val="Grid Table 3 - Accent 331"/>
    <w:basedOn w:val="TableNormal"/>
    <w:uiPriority w:val="48"/>
    <w:rPr>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4-Accent331">
    <w:name w:val="Grid Table 4 - Accent 331"/>
    <w:basedOn w:val="TableNormal"/>
    <w:uiPriority w:val="49"/>
    <w:rPr>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31">
    <w:name w:val="Grid Table 5 Dark - Accent 331"/>
    <w:basedOn w:val="TableNormal"/>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7Colorful-Accent331">
    <w:name w:val="Grid Table 7 Colorful - Accent 331"/>
    <w:basedOn w:val="TableNormal"/>
    <w:uiPriority w:val="52"/>
    <w:rPr>
      <w:color w:val="7B7B7B"/>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2-Accent431">
    <w:name w:val="Grid Table 2 - Accent 431"/>
    <w:basedOn w:val="TableNormal"/>
    <w:uiPriority w:val="47"/>
    <w:rPr>
      <w:sz w:val="22"/>
      <w:szCs w:val="22"/>
    </w:rPr>
    <w:tblPr>
      <w:tblStyleRowBandSize w:val="1"/>
      <w:tblStyleColBandSize w:val="1"/>
      <w:tblInd w:w="0" w:type="nil"/>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3-Accent431">
    <w:name w:val="Grid Table 3 - Accent 431"/>
    <w:basedOn w:val="TableNormal"/>
    <w:uiPriority w:val="48"/>
    <w:rPr>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4-Accent431">
    <w:name w:val="Grid Table 4 - Accent 431"/>
    <w:basedOn w:val="TableNormal"/>
    <w:uiPriority w:val="49"/>
    <w:rPr>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31">
    <w:name w:val="Grid Table 5 Dark - Accent 431"/>
    <w:basedOn w:val="TableNormal"/>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7Colorful-Accent431">
    <w:name w:val="Grid Table 7 Colorful - Accent 431"/>
    <w:basedOn w:val="TableNormal"/>
    <w:uiPriority w:val="52"/>
    <w:rPr>
      <w:color w:val="BF8F00"/>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2-Accent531">
    <w:name w:val="Grid Table 2 - Accent 531"/>
    <w:basedOn w:val="TableNormal"/>
    <w:uiPriority w:val="47"/>
    <w:rPr>
      <w:sz w:val="22"/>
      <w:szCs w:val="22"/>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3-Accent531">
    <w:name w:val="Grid Table 3 - Accent 531"/>
    <w:basedOn w:val="TableNormal"/>
    <w:uiPriority w:val="48"/>
    <w:rPr>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4-Accent531">
    <w:name w:val="Grid Table 4 - Accent 531"/>
    <w:basedOn w:val="TableNormal"/>
    <w:uiPriority w:val="49"/>
    <w:rPr>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31">
    <w:name w:val="Grid Table 5 Dark - Accent 531"/>
    <w:basedOn w:val="TableNormal"/>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7Colorful-Accent531">
    <w:name w:val="Grid Table 7 Colorful - Accent 531"/>
    <w:basedOn w:val="TableNormal"/>
    <w:uiPriority w:val="52"/>
    <w:rPr>
      <w:color w:val="2F5496"/>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2-Accent631">
    <w:name w:val="Grid Table 2 - Accent 631"/>
    <w:basedOn w:val="TableNormal"/>
    <w:uiPriority w:val="47"/>
    <w:rPr>
      <w:sz w:val="22"/>
      <w:szCs w:val="22"/>
    </w:rPr>
    <w:tblPr>
      <w:tblStyleRowBandSize w:val="1"/>
      <w:tblStyleColBandSize w:val="1"/>
      <w:tblInd w:w="0" w:type="nil"/>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631">
    <w:name w:val="Grid Table 3 - Accent 631"/>
    <w:basedOn w:val="TableNormal"/>
    <w:uiPriority w:val="48"/>
    <w:rPr>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Accent631">
    <w:name w:val="Grid Table 4 - Accent 631"/>
    <w:basedOn w:val="TableNormal"/>
    <w:uiPriority w:val="49"/>
    <w:rPr>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31">
    <w:name w:val="Grid Table 5 Dark - Accent 631"/>
    <w:basedOn w:val="TableNormal"/>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7Colorful-Accent631">
    <w:name w:val="Grid Table 7 Colorful - Accent 631"/>
    <w:basedOn w:val="TableNormal"/>
    <w:uiPriority w:val="52"/>
    <w:rPr>
      <w:color w:val="538135"/>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stTable331">
    <w:name w:val="List Table 331"/>
    <w:basedOn w:val="TableNormal"/>
    <w:uiPriority w:val="48"/>
    <w:rPr>
      <w:sz w:val="22"/>
      <w:szCs w:val="22"/>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431">
    <w:name w:val="List Table 431"/>
    <w:basedOn w:val="TableNormal"/>
    <w:uiPriority w:val="49"/>
    <w:rPr>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5Dark31">
    <w:name w:val="List Table 5 Dark31"/>
    <w:basedOn w:val="TableNormal"/>
    <w:uiPriority w:val="50"/>
    <w:rPr>
      <w:color w:val="FFFFFF"/>
      <w:sz w:val="22"/>
      <w:szCs w:val="22"/>
    </w:rPr>
    <w:tblPr>
      <w:tblStyleRowBandSize w:val="1"/>
      <w:tblStyleColBandSize w:val="1"/>
      <w:tblInd w:w="0" w:type="nil"/>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31">
    <w:name w:val="List Table 7 Colorful31"/>
    <w:basedOn w:val="TableNormal"/>
    <w:uiPriority w:val="52"/>
    <w:rPr>
      <w:color w:val="000000"/>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000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000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131">
    <w:name w:val="List Table 3 - Accent 131"/>
    <w:basedOn w:val="TableNormal"/>
    <w:uiPriority w:val="48"/>
    <w:rPr>
      <w:sz w:val="22"/>
      <w:szCs w:val="22"/>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4-Accent131">
    <w:name w:val="List Table 4 - Accent 131"/>
    <w:basedOn w:val="TableNormal"/>
    <w:uiPriority w:val="49"/>
    <w:rPr>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5Dark-Accent131">
    <w:name w:val="List Table 5 Dark - Accent 131"/>
    <w:basedOn w:val="TableNormal"/>
    <w:uiPriority w:val="50"/>
    <w:rPr>
      <w:color w:val="FFFFFF"/>
      <w:sz w:val="22"/>
      <w:szCs w:val="22"/>
    </w:rPr>
    <w:tblPr>
      <w:tblStyleRowBandSize w:val="1"/>
      <w:tblStyleColBandSize w:val="1"/>
      <w:tblInd w:w="0" w:type="nil"/>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131">
    <w:name w:val="List Table 7 Colorful - Accent 131"/>
    <w:basedOn w:val="TableNormal"/>
    <w:uiPriority w:val="52"/>
    <w:rPr>
      <w:color w:val="2E74B5"/>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5B9BD5"/>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5B9BD5"/>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5B9BD5"/>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231">
    <w:name w:val="List Table 3 - Accent 231"/>
    <w:basedOn w:val="TableNormal"/>
    <w:uiPriority w:val="48"/>
    <w:rPr>
      <w:sz w:val="22"/>
      <w:szCs w:val="22"/>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4-Accent231">
    <w:name w:val="List Table 4 - Accent 231"/>
    <w:basedOn w:val="TableNormal"/>
    <w:uiPriority w:val="49"/>
    <w:rPr>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5Dark-Accent231">
    <w:name w:val="List Table 5 Dark - Accent 231"/>
    <w:basedOn w:val="TableNormal"/>
    <w:uiPriority w:val="50"/>
    <w:rPr>
      <w:color w:val="FFFFFF"/>
      <w:sz w:val="22"/>
      <w:szCs w:val="22"/>
    </w:rPr>
    <w:tblPr>
      <w:tblStyleRowBandSize w:val="1"/>
      <w:tblStyleColBandSize w:val="1"/>
      <w:tblInd w:w="0" w:type="nil"/>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231">
    <w:name w:val="List Table 7 Colorful - Accent 231"/>
    <w:basedOn w:val="TableNormal"/>
    <w:uiPriority w:val="52"/>
    <w:rPr>
      <w:color w:val="C45911"/>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ED7D31"/>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ED7D31"/>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ED7D31"/>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331">
    <w:name w:val="List Table 3 - Accent 331"/>
    <w:basedOn w:val="TableNormal"/>
    <w:uiPriority w:val="48"/>
    <w:rPr>
      <w:sz w:val="22"/>
      <w:szCs w:val="22"/>
    </w:rPr>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4-Accent331">
    <w:name w:val="List Table 4 - Accent 331"/>
    <w:basedOn w:val="TableNormal"/>
    <w:uiPriority w:val="49"/>
    <w:rPr>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5Dark-Accent331">
    <w:name w:val="List Table 5 Dark - Accent 331"/>
    <w:basedOn w:val="TableNormal"/>
    <w:uiPriority w:val="50"/>
    <w:rPr>
      <w:color w:val="FFFFFF"/>
      <w:sz w:val="22"/>
      <w:szCs w:val="22"/>
    </w:rPr>
    <w:tblPr>
      <w:tblStyleRowBandSize w:val="1"/>
      <w:tblStyleColBandSize w:val="1"/>
      <w:tblInd w:w="0" w:type="nil"/>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31">
    <w:name w:val="List Table 7 Colorful - Accent 331"/>
    <w:basedOn w:val="TableNormal"/>
    <w:uiPriority w:val="52"/>
    <w:rPr>
      <w:color w:val="7B7B7B"/>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A5A5A5"/>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A5A5A5"/>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A5A5A5"/>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431">
    <w:name w:val="List Table 3 - Accent 431"/>
    <w:basedOn w:val="TableNormal"/>
    <w:uiPriority w:val="48"/>
    <w:rPr>
      <w:sz w:val="22"/>
      <w:szCs w:val="22"/>
    </w:rPr>
    <w:tblPr>
      <w:tblStyleRowBandSize w:val="1"/>
      <w:tblStyleColBandSize w:val="1"/>
      <w:tblInd w:w="0" w:type="nil"/>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431">
    <w:name w:val="List Table 4 - Accent 431"/>
    <w:basedOn w:val="TableNormal"/>
    <w:uiPriority w:val="49"/>
    <w:rPr>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5Dark-Accent431">
    <w:name w:val="List Table 5 Dark - Accent 431"/>
    <w:basedOn w:val="TableNormal"/>
    <w:uiPriority w:val="50"/>
    <w:rPr>
      <w:color w:val="FFFFFF"/>
      <w:sz w:val="22"/>
      <w:szCs w:val="22"/>
    </w:rPr>
    <w:tblPr>
      <w:tblStyleRowBandSize w:val="1"/>
      <w:tblStyleColBandSize w:val="1"/>
      <w:tblInd w:w="0" w:type="nil"/>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431">
    <w:name w:val="List Table 7 Colorful - Accent 431"/>
    <w:basedOn w:val="TableNormal"/>
    <w:uiPriority w:val="52"/>
    <w:rPr>
      <w:color w:val="BF8F00"/>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FFC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FFC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FFC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531">
    <w:name w:val="List Table 3 - Accent 531"/>
    <w:basedOn w:val="TableNormal"/>
    <w:uiPriority w:val="48"/>
    <w:rPr>
      <w:sz w:val="22"/>
      <w:szCs w:val="22"/>
    </w:rPr>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4-Accent531">
    <w:name w:val="List Table 4 - Accent 531"/>
    <w:basedOn w:val="TableNormal"/>
    <w:uiPriority w:val="49"/>
    <w:rPr>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5Dark-Accent531">
    <w:name w:val="List Table 5 Dark - Accent 531"/>
    <w:basedOn w:val="TableNormal"/>
    <w:uiPriority w:val="50"/>
    <w:rPr>
      <w:color w:val="FFFFFF"/>
      <w:sz w:val="22"/>
      <w:szCs w:val="22"/>
    </w:rPr>
    <w:tblPr>
      <w:tblStyleRowBandSize w:val="1"/>
      <w:tblStyleColBandSize w:val="1"/>
      <w:tblInd w:w="0" w:type="nil"/>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531">
    <w:name w:val="List Table 7 Colorful - Accent 531"/>
    <w:basedOn w:val="TableNormal"/>
    <w:uiPriority w:val="52"/>
    <w:rPr>
      <w:color w:val="2F5496"/>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4472C4"/>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4472C4"/>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4472C4"/>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631">
    <w:name w:val="List Table 3 - Accent 631"/>
    <w:basedOn w:val="TableNormal"/>
    <w:uiPriority w:val="48"/>
    <w:rPr>
      <w:sz w:val="22"/>
      <w:szCs w:val="22"/>
    </w:rPr>
    <w:tblPr>
      <w:tblStyleRowBandSize w:val="1"/>
      <w:tblStyleColBandSize w:val="1"/>
      <w:tblInd w:w="0" w:type="nil"/>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Accent631">
    <w:name w:val="List Table 4 - Accent 631"/>
    <w:basedOn w:val="TableNormal"/>
    <w:uiPriority w:val="49"/>
    <w:rPr>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Accent631">
    <w:name w:val="List Table 5 Dark - Accent 631"/>
    <w:basedOn w:val="TableNormal"/>
    <w:uiPriority w:val="50"/>
    <w:rPr>
      <w:color w:val="FFFFFF"/>
      <w:sz w:val="22"/>
      <w:szCs w:val="22"/>
    </w:rPr>
    <w:tblPr>
      <w:tblStyleRowBandSize w:val="1"/>
      <w:tblStyleColBandSize w:val="1"/>
      <w:tblInd w:w="0" w:type="nil"/>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631">
    <w:name w:val="List Table 7 Colorful - Accent 631"/>
    <w:basedOn w:val="TableNormal"/>
    <w:uiPriority w:val="52"/>
    <w:rPr>
      <w:color w:val="538135"/>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70AD47"/>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0AD47"/>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0AD47"/>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imple241">
    <w:name w:val="Table Simple 241"/>
    <w:basedOn w:val="TableNormal"/>
    <w:uiPriority w:val="99"/>
    <w:semiHidden/>
    <w:rPr>
      <w:sz w:val="22"/>
      <w:szCs w:val="22"/>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1">
    <w:name w:val="Table Simple 341"/>
    <w:basedOn w:val="TableNormal"/>
    <w:uiPriority w:val="99"/>
    <w:semiHidden/>
    <w:rPr>
      <w:sz w:val="22"/>
      <w:szCs w:val="22"/>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41">
    <w:name w:val="Table Classic 141"/>
    <w:basedOn w:val="TableNormal"/>
    <w:uiPriority w:val="99"/>
    <w:semiHidden/>
    <w:rPr>
      <w:sz w:val="22"/>
      <w:szCs w:val="22"/>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1">
    <w:name w:val="Table Classic 241"/>
    <w:basedOn w:val="TableNormal"/>
    <w:uiPriority w:val="99"/>
    <w:semiHidden/>
    <w:rPr>
      <w:sz w:val="22"/>
      <w:szCs w:val="22"/>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1">
    <w:name w:val="Table Classic 341"/>
    <w:basedOn w:val="TableNormal"/>
    <w:uiPriority w:val="99"/>
    <w:semiHidden/>
    <w:rPr>
      <w:color w:val="000080"/>
      <w:sz w:val="22"/>
      <w:szCs w:val="22"/>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1">
    <w:name w:val="Table Classic 441"/>
    <w:basedOn w:val="TableNormal"/>
    <w:uiPriority w:val="99"/>
    <w:semiHidden/>
    <w:rPr>
      <w:sz w:val="22"/>
      <w:szCs w:val="22"/>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41">
    <w:name w:val="Table Colorful 241"/>
    <w:basedOn w:val="TableNormal"/>
    <w:uiPriority w:val="99"/>
    <w:semiHidden/>
    <w:rPr>
      <w:sz w:val="22"/>
      <w:szCs w:val="22"/>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1">
    <w:name w:val="Table Colorful 341"/>
    <w:basedOn w:val="TableNormal"/>
    <w:uiPriority w:val="99"/>
    <w:semiHidden/>
    <w:rPr>
      <w:sz w:val="22"/>
      <w:szCs w:val="22"/>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1">
    <w:name w:val="Table Columns 141"/>
    <w:basedOn w:val="TableNormal"/>
    <w:uiPriority w:val="99"/>
    <w:semiHidden/>
    <w:rPr>
      <w:b/>
      <w:bCs/>
      <w:sz w:val="22"/>
      <w:szCs w:val="22"/>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1">
    <w:name w:val="Table Columns 241"/>
    <w:basedOn w:val="TableNormal"/>
    <w:uiPriority w:val="99"/>
    <w:semiHidden/>
    <w:rPr>
      <w:b/>
      <w:bCs/>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1">
    <w:name w:val="Table Columns 341"/>
    <w:basedOn w:val="TableNormal"/>
    <w:uiPriority w:val="99"/>
    <w:semiHidden/>
    <w:rPr>
      <w:b/>
      <w:bCs/>
      <w:sz w:val="22"/>
      <w:szCs w:val="22"/>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1">
    <w:name w:val="Table Columns 441"/>
    <w:basedOn w:val="TableNormal"/>
    <w:uiPriority w:val="99"/>
    <w:semiHidden/>
    <w:rPr>
      <w:sz w:val="22"/>
      <w:szCs w:val="22"/>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1">
    <w:name w:val="Table Columns 541"/>
    <w:basedOn w:val="TableNormal"/>
    <w:uiPriority w:val="99"/>
    <w:semiHidden/>
    <w:rPr>
      <w:sz w:val="22"/>
      <w:szCs w:val="22"/>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441">
    <w:name w:val="Table Grid 441"/>
    <w:basedOn w:val="TableNormal"/>
    <w:uiPriority w:val="99"/>
    <w:semiHidden/>
    <w:rPr>
      <w:sz w:val="22"/>
      <w:szCs w:val="22"/>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41">
    <w:name w:val="Table Grid 641"/>
    <w:basedOn w:val="TableNormal"/>
    <w:uiPriority w:val="99"/>
    <w:semiHidden/>
    <w:rPr>
      <w:sz w:val="22"/>
      <w:szCs w:val="22"/>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1">
    <w:name w:val="Table Grid 841"/>
    <w:basedOn w:val="TableNormal"/>
    <w:uiPriority w:val="99"/>
    <w:semiHidden/>
    <w:rPr>
      <w:sz w:val="22"/>
      <w:szCs w:val="22"/>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1">
    <w:name w:val="Table List 141"/>
    <w:basedOn w:val="TableNormal"/>
    <w:uiPriority w:val="99"/>
    <w:semiHidden/>
    <w:rPr>
      <w:sz w:val="22"/>
      <w:szCs w:val="22"/>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1">
    <w:name w:val="Table List 241"/>
    <w:basedOn w:val="TableNormal"/>
    <w:uiPriority w:val="99"/>
    <w:semiHidden/>
    <w:rPr>
      <w:sz w:val="22"/>
      <w:szCs w:val="22"/>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1">
    <w:name w:val="Table List 341"/>
    <w:basedOn w:val="TableNormal"/>
    <w:uiPriority w:val="99"/>
    <w:semiHidden/>
    <w:rPr>
      <w:sz w:val="22"/>
      <w:szCs w:val="22"/>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1">
    <w:name w:val="Table List 441"/>
    <w:basedOn w:val="TableNormal"/>
    <w:uiPriority w:val="99"/>
    <w:semiHidden/>
    <w:rPr>
      <w:sz w:val="22"/>
      <w:szCs w:val="22"/>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41">
    <w:name w:val="Table List 741"/>
    <w:basedOn w:val="TableNormal"/>
    <w:uiPriority w:val="99"/>
    <w:semiHidden/>
    <w:rPr>
      <w:sz w:val="22"/>
      <w:szCs w:val="22"/>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1">
    <w:name w:val="Table List 841"/>
    <w:basedOn w:val="TableNormal"/>
    <w:uiPriority w:val="99"/>
    <w:semiHidden/>
    <w:rPr>
      <w:sz w:val="22"/>
      <w:szCs w:val="22"/>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41">
    <w:name w:val="Table 3D effects 141"/>
    <w:basedOn w:val="TableNormal"/>
    <w:uiPriority w:val="99"/>
    <w:semiHidden/>
    <w:rPr>
      <w:sz w:val="22"/>
      <w:szCs w:val="22"/>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41">
    <w:name w:val="Table 3D effects 341"/>
    <w:basedOn w:val="TableNormal"/>
    <w:uiPriority w:val="99"/>
    <w:semiHidden/>
    <w:rPr>
      <w:sz w:val="22"/>
      <w:szCs w:val="22"/>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41">
    <w:name w:val="Table Contemporary41"/>
    <w:basedOn w:val="TableNormal"/>
    <w:uiPriority w:val="99"/>
    <w:semiHidden/>
    <w:rPr>
      <w:sz w:val="22"/>
      <w:szCs w:val="22"/>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1">
    <w:name w:val="Table Elegant41"/>
    <w:basedOn w:val="TableNormal"/>
    <w:uiPriority w:val="99"/>
    <w:semiHidden/>
    <w:rPr>
      <w:sz w:val="22"/>
      <w:szCs w:val="22"/>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uiPriority w:val="99"/>
    <w:semiHidden/>
    <w:rPr>
      <w:sz w:val="22"/>
      <w:szCs w:val="22"/>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41">
    <w:name w:val="Table Web 141"/>
    <w:basedOn w:val="TableNormal"/>
    <w:uiPriority w:val="99"/>
    <w:semiHidden/>
    <w:rPr>
      <w:sz w:val="22"/>
      <w:szCs w:val="22"/>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1">
    <w:name w:val="Table Web 241"/>
    <w:basedOn w:val="TableNormal"/>
    <w:uiPriority w:val="99"/>
    <w:semiHidden/>
    <w:rPr>
      <w:sz w:val="22"/>
      <w:szCs w:val="22"/>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1">
    <w:name w:val="Table Web 341"/>
    <w:basedOn w:val="TableNormal"/>
    <w:uiPriority w:val="99"/>
    <w:semiHidden/>
    <w:rPr>
      <w:sz w:val="22"/>
      <w:szCs w:val="22"/>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41">
    <w:name w:val="Light Shading41"/>
    <w:basedOn w:val="TableNormal"/>
    <w:uiPriority w:val="60"/>
    <w:semiHidden/>
    <w:rPr>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41">
    <w:name w:val="Light List41"/>
    <w:basedOn w:val="TableNormal"/>
    <w:uiPriority w:val="61"/>
    <w:semiHidden/>
    <w:rPr>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41">
    <w:name w:val="Light Grid41"/>
    <w:basedOn w:val="TableNormal"/>
    <w:uiPriority w:val="62"/>
    <w:semiHidden/>
    <w:rPr>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41">
    <w:name w:val="Medium Shading 141"/>
    <w:basedOn w:val="TableNormal"/>
    <w:uiPriority w:val="63"/>
    <w:semiHidden/>
    <w:rPr>
      <w:sz w:val="22"/>
      <w:szCs w:val="22"/>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100" w:beforeAutospacing="1" w:afterLines="0" w:after="100" w:afterAutospacing="1"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41">
    <w:name w:val="Medium Shading 241"/>
    <w:basedOn w:val="TableNormal"/>
    <w:uiPriority w:val="64"/>
    <w:semiHidden/>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41">
    <w:name w:val="Medium List 141"/>
    <w:basedOn w:val="TableNormal"/>
    <w:uiPriority w:val="65"/>
    <w:semiHidden/>
    <w:rPr>
      <w:color w:val="000000"/>
      <w:sz w:val="22"/>
      <w:szCs w:val="22"/>
    </w:rPr>
    <w:tblPr>
      <w:tblStyleRowBandSize w:val="1"/>
      <w:tblStyleColBandSize w:val="1"/>
      <w:tblInd w:w="0" w:type="nil"/>
      <w:tblBorders>
        <w:top w:val="single" w:sz="8" w:space="0" w:color="000000"/>
        <w:bottom w:val="single" w:sz="8" w:space="0" w:color="000000"/>
      </w:tblBorders>
    </w:tblPr>
    <w:tblStylePr w:type="firstRow">
      <w:rPr>
        <w:rFonts w:ascii="Times New Roman" w:eastAsia="Times New Roman" w:hAnsi="Times New Roman"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41">
    <w:name w:val="Medium List 241"/>
    <w:basedOn w:val="TableNormal"/>
    <w:uiPriority w:val="66"/>
    <w:semiHidden/>
    <w:rPr>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241">
    <w:name w:val="Medium Grid 241"/>
    <w:basedOn w:val="TableNormal"/>
    <w:uiPriority w:val="68"/>
    <w:semiHidden/>
    <w:rPr>
      <w:color w:val="000000"/>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41">
    <w:name w:val="Medium Grid 341"/>
    <w:basedOn w:val="TableNormal"/>
    <w:uiPriority w:val="69"/>
    <w:semiHidden/>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DarkList41">
    <w:name w:val="Dark List41"/>
    <w:basedOn w:val="TableNormal"/>
    <w:uiPriority w:val="70"/>
    <w:semiHidden/>
    <w:rPr>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olorfulShading41">
    <w:name w:val="Colorful Shading41"/>
    <w:basedOn w:val="TableNormal"/>
    <w:uiPriority w:val="71"/>
    <w:semiHidden/>
    <w:rPr>
      <w:color w:val="000000"/>
      <w:sz w:val="22"/>
      <w:szCs w:val="22"/>
    </w:rPr>
    <w:tblPr>
      <w:tblStyleRowBandSize w:val="1"/>
      <w:tblStyleColBandSize w:val="1"/>
      <w:tblInd w:w="0" w:type="nil"/>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41">
    <w:name w:val="Colorful List41"/>
    <w:basedOn w:val="TableNormal"/>
    <w:uiPriority w:val="72"/>
    <w:semiHidden/>
    <w:rPr>
      <w:color w:val="000000"/>
      <w:sz w:val="22"/>
      <w:szCs w:val="22"/>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41">
    <w:name w:val="Colorful Grid41"/>
    <w:basedOn w:val="TableNormal"/>
    <w:uiPriority w:val="73"/>
    <w:semiHidden/>
    <w:rPr>
      <w:color w:val="000000"/>
      <w:sz w:val="22"/>
      <w:szCs w:val="22"/>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Shading-Accent141">
    <w:name w:val="Light Shading - Accent 141"/>
    <w:basedOn w:val="TableNormal"/>
    <w:uiPriority w:val="60"/>
    <w:semiHidden/>
    <w:rPr>
      <w:color w:val="2E74B5"/>
      <w:sz w:val="22"/>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List-Accent141">
    <w:name w:val="Light List - Accent 141"/>
    <w:basedOn w:val="TableNormal"/>
    <w:uiPriority w:val="61"/>
    <w:semiHidden/>
    <w:rPr>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100" w:beforeAutospacing="1" w:afterLines="0" w:after="100" w:afterAutospacing="1" w:line="240" w:lineRule="auto"/>
      </w:pPr>
      <w:rPr>
        <w:b/>
        <w:bCs/>
        <w:color w:val="FFFFFF"/>
      </w:rPr>
      <w:tblPr/>
      <w:tcPr>
        <w:shd w:val="clear" w:color="auto" w:fill="5B9BD5"/>
      </w:tcPr>
    </w:tblStylePr>
    <w:tblStylePr w:type="lastRow">
      <w:pPr>
        <w:spacing w:beforeLines="0" w:before="100" w:beforeAutospacing="1" w:afterLines="0" w:after="100" w:afterAutospacing="1"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41">
    <w:name w:val="Light Grid - Accent 141"/>
    <w:basedOn w:val="TableNormal"/>
    <w:uiPriority w:val="62"/>
    <w:semiHidden/>
    <w:rPr>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Shading1-Accent141">
    <w:name w:val="Medium Shading 1 - Accent 141"/>
    <w:basedOn w:val="TableNormal"/>
    <w:uiPriority w:val="63"/>
    <w:semiHidden/>
    <w:rPr>
      <w:sz w:val="22"/>
      <w:szCs w:val="22"/>
    </w:rPr>
    <w:tblPr>
      <w:tblStyleRowBandSize w:val="1"/>
      <w:tblStyleColBandSize w:val="1"/>
      <w:tblInd w:w="0" w:type="nil"/>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100" w:beforeAutospacing="1" w:afterLines="0" w:after="100" w:afterAutospacing="1"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100" w:beforeAutospacing="1" w:afterLines="0" w:after="100" w:afterAutospacing="1"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2-Accent141">
    <w:name w:val="Medium Shading 2 - Accent 141"/>
    <w:basedOn w:val="TableNormal"/>
    <w:uiPriority w:val="64"/>
    <w:semiHidden/>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41">
    <w:name w:val="Medium List 1 - Accent 141"/>
    <w:basedOn w:val="TableNormal"/>
    <w:uiPriority w:val="65"/>
    <w:semiHidden/>
    <w:rPr>
      <w:color w:val="000000"/>
      <w:sz w:val="22"/>
      <w:szCs w:val="22"/>
    </w:rPr>
    <w:tblPr>
      <w:tblStyleRowBandSize w:val="1"/>
      <w:tblStyleColBandSize w:val="1"/>
      <w:tblInd w:w="0" w:type="nil"/>
      <w:tblBorders>
        <w:top w:val="single" w:sz="8" w:space="0" w:color="5B9BD5"/>
        <w:bottom w:val="single" w:sz="8" w:space="0" w:color="5B9BD5"/>
      </w:tblBorders>
    </w:tblPr>
    <w:tblStylePr w:type="firstRow">
      <w:rPr>
        <w:rFonts w:ascii="Times New Roman" w:eastAsia="Times New Roman" w:hAnsi="Times New Roman" w:cs="Times New Roman" w:hint="default"/>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2-Accent141">
    <w:name w:val="Medium List 2 - Accent 141"/>
    <w:basedOn w:val="TableNormal"/>
    <w:uiPriority w:val="66"/>
    <w:semiHidden/>
    <w:rPr>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Grid2-Accent141">
    <w:name w:val="Medium Grid 2 - Accent 141"/>
    <w:basedOn w:val="TableNormal"/>
    <w:uiPriority w:val="68"/>
    <w:semiHidden/>
    <w:rPr>
      <w:color w:val="000000"/>
      <w:sz w:val="22"/>
      <w:szCs w:val="22"/>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3-Accent141">
    <w:name w:val="Medium Grid 3 - Accent 141"/>
    <w:basedOn w:val="TableNormal"/>
    <w:uiPriority w:val="69"/>
    <w:semiHidden/>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DarkList-Accent141">
    <w:name w:val="Dark List - Accent 141"/>
    <w:basedOn w:val="TableNormal"/>
    <w:uiPriority w:val="70"/>
    <w:semiHidden/>
    <w:rPr>
      <w:color w:val="FFFFFF"/>
      <w:sz w:val="22"/>
      <w:szCs w:val="22"/>
    </w:rPr>
    <w:tblPr>
      <w:tblStyleRowBandSize w:val="1"/>
      <w:tblStyleColBandSize w:val="1"/>
      <w:tblInd w:w="0" w:type="nil"/>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ColorfulShading-Accent141">
    <w:name w:val="Colorful Shading - Accent 141"/>
    <w:basedOn w:val="TableNormal"/>
    <w:uiPriority w:val="71"/>
    <w:semiHidden/>
    <w:rPr>
      <w:color w:val="000000"/>
      <w:sz w:val="22"/>
      <w:szCs w:val="22"/>
    </w:rPr>
    <w:tblPr>
      <w:tblStyleRowBandSize w:val="1"/>
      <w:tblStyleColBandSize w:val="1"/>
      <w:tblInd w:w="0" w:type="nil"/>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List-Accent141">
    <w:name w:val="Colorful List - Accent 141"/>
    <w:basedOn w:val="TableNormal"/>
    <w:uiPriority w:val="72"/>
    <w:semiHidden/>
    <w:rPr>
      <w:color w:val="000000"/>
      <w:sz w:val="22"/>
      <w:szCs w:val="22"/>
    </w:rPr>
    <w:tblPr>
      <w:tblStyleRowBandSize w:val="1"/>
      <w:tblStyleColBandSize w:val="1"/>
      <w:tblInd w:w="0" w:type="nil"/>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Grid-Accent141">
    <w:name w:val="Colorful Grid - Accent 141"/>
    <w:basedOn w:val="TableNormal"/>
    <w:uiPriority w:val="73"/>
    <w:semiHidden/>
    <w:rPr>
      <w:color w:val="000000"/>
      <w:sz w:val="22"/>
      <w:szCs w:val="22"/>
    </w:rPr>
    <w:tblPr>
      <w:tblStyleRowBandSize w:val="1"/>
      <w:tblStyleColBandSize w:val="1"/>
      <w:tblInd w:w="0" w:type="nil"/>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241">
    <w:name w:val="Light Shading - Accent 241"/>
    <w:basedOn w:val="TableNormal"/>
    <w:uiPriority w:val="60"/>
    <w:semiHidden/>
    <w:rPr>
      <w:color w:val="C45911"/>
      <w:sz w:val="22"/>
      <w:szCs w:val="22"/>
    </w:rPr>
    <w:tblPr>
      <w:tblStyleRowBandSize w:val="1"/>
      <w:tblStyleColBandSize w:val="1"/>
      <w:tblInd w:w="0" w:type="nil"/>
      <w:tblBorders>
        <w:top w:val="single" w:sz="8" w:space="0" w:color="ED7D31"/>
        <w:bottom w:val="single" w:sz="8" w:space="0" w:color="ED7D31"/>
      </w:tblBorders>
    </w:tblPr>
    <w:tblStylePr w:type="firstRow">
      <w:pPr>
        <w:spacing w:beforeLines="0" w:before="100" w:beforeAutospacing="1" w:afterLines="0" w:after="100" w:afterAutospacing="1"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List-Accent241">
    <w:name w:val="Light List - Accent 241"/>
    <w:basedOn w:val="TableNormal"/>
    <w:uiPriority w:val="61"/>
    <w:semiHidden/>
    <w:rPr>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pPr>
        <w:spacing w:beforeLines="0" w:before="100" w:beforeAutospacing="1" w:afterLines="0" w:after="100" w:afterAutospacing="1" w:line="240" w:lineRule="auto"/>
      </w:pPr>
      <w:rPr>
        <w:b/>
        <w:bCs/>
        <w:color w:val="FFFFFF"/>
      </w:rPr>
      <w:tblPr/>
      <w:tcPr>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Grid-Accent241">
    <w:name w:val="Light Grid - Accent 241"/>
    <w:basedOn w:val="TableNormal"/>
    <w:uiPriority w:val="62"/>
    <w:semiHidden/>
    <w:rPr>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MediumShading1-Accent241">
    <w:name w:val="Medium Shading 1 - Accent 241"/>
    <w:basedOn w:val="TableNormal"/>
    <w:uiPriority w:val="63"/>
    <w:semiHidden/>
    <w:rPr>
      <w:sz w:val="22"/>
      <w:szCs w:val="22"/>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2-Accent241">
    <w:name w:val="Medium Shading 2 - Accent 241"/>
    <w:basedOn w:val="TableNormal"/>
    <w:uiPriority w:val="64"/>
    <w:semiHidden/>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241">
    <w:name w:val="Medium List 1 - Accent 241"/>
    <w:basedOn w:val="TableNormal"/>
    <w:uiPriority w:val="65"/>
    <w:semiHidden/>
    <w:rPr>
      <w:color w:val="000000"/>
      <w:sz w:val="22"/>
      <w:szCs w:val="22"/>
    </w:rPr>
    <w:tblPr>
      <w:tblStyleRowBandSize w:val="1"/>
      <w:tblStyleColBandSize w:val="1"/>
      <w:tblInd w:w="0" w:type="nil"/>
      <w:tblBorders>
        <w:top w:val="single" w:sz="8" w:space="0" w:color="ED7D31"/>
        <w:bottom w:val="single" w:sz="8" w:space="0" w:color="ED7D31"/>
      </w:tblBorders>
    </w:tblPr>
    <w:tblStylePr w:type="firstRow">
      <w:rPr>
        <w:rFonts w:ascii="Times New Roman" w:eastAsia="Times New Roman" w:hAnsi="Times New Roman" w:cs="Times New Roman" w:hint="default"/>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2-Accent241">
    <w:name w:val="Medium List 2 - Accent 241"/>
    <w:basedOn w:val="TableNormal"/>
    <w:uiPriority w:val="66"/>
    <w:semiHidden/>
    <w:rPr>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2-Accent241">
    <w:name w:val="Medium Grid 2 - Accent 241"/>
    <w:basedOn w:val="TableNormal"/>
    <w:uiPriority w:val="68"/>
    <w:semiHidden/>
    <w:rPr>
      <w:color w:val="000000"/>
      <w:sz w:val="22"/>
      <w:szCs w:val="22"/>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41">
    <w:name w:val="Medium Grid 3 - Accent 241"/>
    <w:basedOn w:val="TableNormal"/>
    <w:uiPriority w:val="69"/>
    <w:semiHidden/>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DarkList-Accent241">
    <w:name w:val="Dark List - Accent 241"/>
    <w:basedOn w:val="TableNormal"/>
    <w:uiPriority w:val="70"/>
    <w:semiHidden/>
    <w:rPr>
      <w:color w:val="FFFFFF"/>
      <w:sz w:val="22"/>
      <w:szCs w:val="22"/>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ColorfulShading-Accent241">
    <w:name w:val="Colorful Shading - Accent 241"/>
    <w:basedOn w:val="TableNormal"/>
    <w:uiPriority w:val="71"/>
    <w:semiHidden/>
    <w:rPr>
      <w:color w:val="000000"/>
      <w:sz w:val="22"/>
      <w:szCs w:val="22"/>
    </w:rPr>
    <w:tblPr>
      <w:tblStyleRowBandSize w:val="1"/>
      <w:tblStyleColBandSize w:val="1"/>
      <w:tblInd w:w="0" w:type="nil"/>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List-Accent241">
    <w:name w:val="Colorful List - Accent 241"/>
    <w:basedOn w:val="TableNormal"/>
    <w:uiPriority w:val="72"/>
    <w:semiHidden/>
    <w:rPr>
      <w:color w:val="000000"/>
      <w:sz w:val="22"/>
      <w:szCs w:val="22"/>
    </w:rPr>
    <w:tblPr>
      <w:tblStyleRowBandSize w:val="1"/>
      <w:tblStyleColBandSize w:val="1"/>
      <w:tblInd w:w="0" w:type="nil"/>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Grid-Accent241">
    <w:name w:val="Colorful Grid - Accent 241"/>
    <w:basedOn w:val="TableNormal"/>
    <w:uiPriority w:val="73"/>
    <w:semiHidden/>
    <w:rPr>
      <w:color w:val="000000"/>
      <w:sz w:val="22"/>
      <w:szCs w:val="22"/>
    </w:rPr>
    <w:tblPr>
      <w:tblStyleRowBandSize w:val="1"/>
      <w:tblStyleColBandSize w:val="1"/>
      <w:tblInd w:w="0" w:type="nil"/>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LightShading-Accent341">
    <w:name w:val="Light Shading - Accent 341"/>
    <w:basedOn w:val="TableNormal"/>
    <w:uiPriority w:val="60"/>
    <w:semiHidden/>
    <w:rPr>
      <w:color w:val="7B7B7B"/>
      <w:sz w:val="22"/>
      <w:szCs w:val="22"/>
    </w:rPr>
    <w:tblPr>
      <w:tblStyleRowBandSize w:val="1"/>
      <w:tblStyleColBandSize w:val="1"/>
      <w:tblInd w:w="0" w:type="nil"/>
      <w:tblBorders>
        <w:top w:val="single" w:sz="8" w:space="0" w:color="A5A5A5"/>
        <w:bottom w:val="single" w:sz="8" w:space="0" w:color="A5A5A5"/>
      </w:tblBorders>
    </w:tblPr>
    <w:tblStylePr w:type="fir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Accent341">
    <w:name w:val="Light List - Accent 341"/>
    <w:basedOn w:val="TableNormal"/>
    <w:uiPriority w:val="61"/>
    <w:semiHidden/>
    <w:rPr>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pPr>
        <w:spacing w:beforeLines="0" w:before="100" w:beforeAutospacing="1" w:afterLines="0" w:after="100" w:afterAutospacing="1" w:line="240" w:lineRule="auto"/>
      </w:pPr>
      <w:rPr>
        <w:b/>
        <w:bCs/>
        <w:color w:val="FFFFFF"/>
      </w:rPr>
      <w:tblPr/>
      <w:tcPr>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Grid-Accent341">
    <w:name w:val="Light Grid - Accent 341"/>
    <w:basedOn w:val="TableNormal"/>
    <w:uiPriority w:val="62"/>
    <w:semiHidden/>
    <w:rPr>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41">
    <w:name w:val="Medium Shading 1 - Accent 341"/>
    <w:basedOn w:val="TableNormal"/>
    <w:uiPriority w:val="63"/>
    <w:semiHidden/>
    <w:rPr>
      <w:sz w:val="22"/>
      <w:szCs w:val="22"/>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100" w:beforeAutospacing="1" w:afterLines="0" w:after="100" w:afterAutospacing="1"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100" w:beforeAutospacing="1" w:afterLines="0" w:after="100" w:afterAutospacing="1"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Accent341">
    <w:name w:val="Medium Shading 2 - Accent 341"/>
    <w:basedOn w:val="TableNormal"/>
    <w:uiPriority w:val="64"/>
    <w:semiHidden/>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341">
    <w:name w:val="Medium List 1 - Accent 341"/>
    <w:basedOn w:val="TableNormal"/>
    <w:uiPriority w:val="65"/>
    <w:semiHidden/>
    <w:rPr>
      <w:color w:val="000000"/>
      <w:sz w:val="22"/>
      <w:szCs w:val="22"/>
    </w:rPr>
    <w:tblPr>
      <w:tblStyleRowBandSize w:val="1"/>
      <w:tblStyleColBandSize w:val="1"/>
      <w:tblInd w:w="0" w:type="nil"/>
      <w:tblBorders>
        <w:top w:val="single" w:sz="8" w:space="0" w:color="A5A5A5"/>
        <w:bottom w:val="single" w:sz="8" w:space="0" w:color="A5A5A5"/>
      </w:tblBorders>
    </w:tblPr>
    <w:tblStylePr w:type="firstRow">
      <w:rPr>
        <w:rFonts w:ascii="Times New Roman" w:eastAsia="Times New Roman" w:hAnsi="Times New Roman" w:cs="Times New Roman" w:hint="default"/>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2-Accent341">
    <w:name w:val="Medium List 2 - Accent 341"/>
    <w:basedOn w:val="TableNormal"/>
    <w:uiPriority w:val="66"/>
    <w:semiHidden/>
    <w:rPr>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Grid2-Accent341">
    <w:name w:val="Medium Grid 2 - Accent 341"/>
    <w:basedOn w:val="TableNormal"/>
    <w:uiPriority w:val="68"/>
    <w:semiHidden/>
    <w:rPr>
      <w:color w:val="000000"/>
      <w:sz w:val="22"/>
      <w:szCs w:val="22"/>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3-Accent341">
    <w:name w:val="Medium Grid 3 - Accent 341"/>
    <w:basedOn w:val="TableNormal"/>
    <w:uiPriority w:val="69"/>
    <w:semiHidden/>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DarkList-Accent341">
    <w:name w:val="Dark List - Accent 341"/>
    <w:basedOn w:val="TableNormal"/>
    <w:uiPriority w:val="70"/>
    <w:semiHidden/>
    <w:rPr>
      <w:color w:val="FFFFFF"/>
      <w:sz w:val="22"/>
      <w:szCs w:val="22"/>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ColorfulShading-Accent341">
    <w:name w:val="Colorful Shading - Accent 341"/>
    <w:basedOn w:val="TableNormal"/>
    <w:uiPriority w:val="71"/>
    <w:semiHidden/>
    <w:rPr>
      <w:color w:val="000000"/>
      <w:sz w:val="22"/>
      <w:szCs w:val="22"/>
    </w:rPr>
    <w:tblPr>
      <w:tblStyleRowBandSize w:val="1"/>
      <w:tblStyleColBandSize w:val="1"/>
      <w:tblInd w:w="0" w:type="nil"/>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List-Accent341">
    <w:name w:val="Colorful List - Accent 341"/>
    <w:basedOn w:val="TableNormal"/>
    <w:uiPriority w:val="72"/>
    <w:semiHidden/>
    <w:rPr>
      <w:color w:val="000000"/>
      <w:sz w:val="22"/>
      <w:szCs w:val="22"/>
    </w:rPr>
    <w:tblPr>
      <w:tblStyleRowBandSize w:val="1"/>
      <w:tblStyleColBandSize w:val="1"/>
      <w:tblInd w:w="0" w:type="nil"/>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Grid-Accent341">
    <w:name w:val="Colorful Grid - Accent 341"/>
    <w:basedOn w:val="TableNormal"/>
    <w:uiPriority w:val="73"/>
    <w:semiHidden/>
    <w:rPr>
      <w:color w:val="000000"/>
      <w:sz w:val="22"/>
      <w:szCs w:val="22"/>
    </w:rPr>
    <w:tblPr>
      <w:tblStyleRowBandSize w:val="1"/>
      <w:tblStyleColBandSize w:val="1"/>
      <w:tblInd w:w="0" w:type="nil"/>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LightShading-Accent441">
    <w:name w:val="Light Shading - Accent 441"/>
    <w:basedOn w:val="TableNormal"/>
    <w:uiPriority w:val="60"/>
    <w:semiHidden/>
    <w:rPr>
      <w:color w:val="BF8F00"/>
      <w:sz w:val="22"/>
      <w:szCs w:val="22"/>
    </w:rPr>
    <w:tblPr>
      <w:tblStyleRowBandSize w:val="1"/>
      <w:tblStyleColBandSize w:val="1"/>
      <w:tblInd w:w="0" w:type="nil"/>
      <w:tblBorders>
        <w:top w:val="single" w:sz="8" w:space="0" w:color="FFC000"/>
        <w:bottom w:val="single" w:sz="8" w:space="0" w:color="FFC000"/>
      </w:tblBorders>
    </w:tblPr>
    <w:tblStylePr w:type="firstRow">
      <w:pPr>
        <w:spacing w:beforeLines="0" w:before="100" w:beforeAutospacing="1" w:afterLines="0" w:after="100" w:afterAutospacing="1"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List-Accent441">
    <w:name w:val="Light List - Accent 441"/>
    <w:basedOn w:val="TableNormal"/>
    <w:uiPriority w:val="61"/>
    <w:semiHidden/>
    <w:rPr>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pPr>
        <w:spacing w:beforeLines="0" w:before="100" w:beforeAutospacing="1" w:afterLines="0" w:after="100" w:afterAutospacing="1" w:line="240" w:lineRule="auto"/>
      </w:pPr>
      <w:rPr>
        <w:b/>
        <w:bCs/>
        <w:color w:val="FFFFFF"/>
      </w:rPr>
      <w:tblPr/>
      <w:tcPr>
        <w:shd w:val="clear" w:color="auto" w:fill="FFC000"/>
      </w:tcPr>
    </w:tblStylePr>
    <w:tblStylePr w:type="lastRow">
      <w:pPr>
        <w:spacing w:beforeLines="0" w:before="100" w:beforeAutospacing="1" w:afterLines="0" w:after="100" w:afterAutospacing="1"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41">
    <w:name w:val="Light Grid - Accent 441"/>
    <w:basedOn w:val="TableNormal"/>
    <w:uiPriority w:val="62"/>
    <w:semiHidden/>
    <w:rPr>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Shading1-Accent441">
    <w:name w:val="Medium Shading 1 - Accent 441"/>
    <w:basedOn w:val="TableNormal"/>
    <w:uiPriority w:val="63"/>
    <w:semiHidden/>
    <w:rPr>
      <w:sz w:val="22"/>
      <w:szCs w:val="22"/>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100" w:beforeAutospacing="1" w:afterLines="0" w:after="100" w:afterAutospacing="1"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100" w:beforeAutospacing="1" w:afterLines="0" w:after="100" w:afterAutospacing="1"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2-Accent441">
    <w:name w:val="Medium Shading 2 - Accent 441"/>
    <w:basedOn w:val="TableNormal"/>
    <w:uiPriority w:val="64"/>
    <w:semiHidden/>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441">
    <w:name w:val="Medium List 1 - Accent 441"/>
    <w:basedOn w:val="TableNormal"/>
    <w:uiPriority w:val="65"/>
    <w:semiHidden/>
    <w:rPr>
      <w:color w:val="000000"/>
      <w:sz w:val="22"/>
      <w:szCs w:val="22"/>
    </w:rPr>
    <w:tblPr>
      <w:tblStyleRowBandSize w:val="1"/>
      <w:tblStyleColBandSize w:val="1"/>
      <w:tblInd w:w="0" w:type="nil"/>
      <w:tblBorders>
        <w:top w:val="single" w:sz="8" w:space="0" w:color="FFC000"/>
        <w:bottom w:val="single" w:sz="8" w:space="0" w:color="FFC000"/>
      </w:tblBorders>
    </w:tblPr>
    <w:tblStylePr w:type="firstRow">
      <w:rPr>
        <w:rFonts w:ascii="Times New Roman" w:eastAsia="Times New Roman" w:hAnsi="Times New Roman" w:cs="Times New Roman" w:hint="default"/>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2-Accent441">
    <w:name w:val="Medium List 2 - Accent 441"/>
    <w:basedOn w:val="TableNormal"/>
    <w:uiPriority w:val="66"/>
    <w:semiHidden/>
    <w:rPr>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Grid2-Accent441">
    <w:name w:val="Medium Grid 2 - Accent 441"/>
    <w:basedOn w:val="TableNormal"/>
    <w:uiPriority w:val="68"/>
    <w:semiHidden/>
    <w:rPr>
      <w:color w:val="000000"/>
      <w:sz w:val="22"/>
      <w:szCs w:val="22"/>
    </w:rPr>
    <w:tblPr>
      <w:tblStyleRowBandSize w:val="1"/>
      <w:tblStyleColBandSize w:val="1"/>
      <w:tblInd w:w="0" w:type="nil"/>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3-Accent441">
    <w:name w:val="Medium Grid 3 - Accent 441"/>
    <w:basedOn w:val="TableNormal"/>
    <w:uiPriority w:val="69"/>
    <w:semiHidden/>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DarkList-Accent441">
    <w:name w:val="Dark List - Accent 441"/>
    <w:basedOn w:val="TableNormal"/>
    <w:uiPriority w:val="70"/>
    <w:semiHidden/>
    <w:rPr>
      <w:color w:val="FFFFFF"/>
      <w:sz w:val="22"/>
      <w:szCs w:val="22"/>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ColorfulShading-Accent441">
    <w:name w:val="Colorful Shading - Accent 441"/>
    <w:basedOn w:val="TableNormal"/>
    <w:uiPriority w:val="71"/>
    <w:semiHidden/>
    <w:rPr>
      <w:color w:val="000000"/>
      <w:sz w:val="22"/>
      <w:szCs w:val="22"/>
    </w:rPr>
    <w:tblPr>
      <w:tblStyleRowBandSize w:val="1"/>
      <w:tblStyleColBandSize w:val="1"/>
      <w:tblInd w:w="0" w:type="nil"/>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List-Accent441">
    <w:name w:val="Colorful List - Accent 441"/>
    <w:basedOn w:val="TableNormal"/>
    <w:uiPriority w:val="72"/>
    <w:semiHidden/>
    <w:rPr>
      <w:color w:val="000000"/>
      <w:sz w:val="22"/>
      <w:szCs w:val="22"/>
    </w:rPr>
    <w:tblPr>
      <w:tblStyleRowBandSize w:val="1"/>
      <w:tblStyleColBandSize w:val="1"/>
      <w:tblInd w:w="0" w:type="nil"/>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Grid-Accent441">
    <w:name w:val="Colorful Grid - Accent 441"/>
    <w:basedOn w:val="TableNormal"/>
    <w:uiPriority w:val="73"/>
    <w:semiHidden/>
    <w:rPr>
      <w:color w:val="000000"/>
      <w:sz w:val="22"/>
      <w:szCs w:val="22"/>
    </w:rPr>
    <w:tblPr>
      <w:tblStyleRowBandSize w:val="1"/>
      <w:tblStyleColBandSize w:val="1"/>
      <w:tblInd w:w="0" w:type="nil"/>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LightShading-Accent541">
    <w:name w:val="Light Shading - Accent 541"/>
    <w:basedOn w:val="TableNormal"/>
    <w:uiPriority w:val="60"/>
    <w:semiHidden/>
    <w:rPr>
      <w:color w:val="2F5496"/>
      <w:sz w:val="22"/>
      <w:szCs w:val="22"/>
    </w:rPr>
    <w:tblPr>
      <w:tblStyleRowBandSize w:val="1"/>
      <w:tblStyleColBandSize w:val="1"/>
      <w:tblInd w:w="0" w:type="nil"/>
      <w:tblBorders>
        <w:top w:val="single" w:sz="8" w:space="0" w:color="4472C4"/>
        <w:bottom w:val="single" w:sz="8" w:space="0" w:color="4472C4"/>
      </w:tblBorders>
    </w:tblPr>
    <w:tblStylePr w:type="firstRow">
      <w:pPr>
        <w:spacing w:beforeLines="0" w:before="100" w:beforeAutospacing="1" w:afterLines="0" w:after="100" w:afterAutospacing="1"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Accent541">
    <w:name w:val="Light List - Accent 541"/>
    <w:basedOn w:val="TableNormal"/>
    <w:uiPriority w:val="61"/>
    <w:semiHidden/>
    <w:rPr>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pPr>
        <w:spacing w:beforeLines="0" w:before="100" w:beforeAutospacing="1" w:afterLines="0" w:after="100" w:afterAutospacing="1" w:line="240" w:lineRule="auto"/>
      </w:pPr>
      <w:rPr>
        <w:b/>
        <w:bCs/>
        <w:color w:val="FFFFFF"/>
      </w:rPr>
      <w:tblPr/>
      <w:tcPr>
        <w:shd w:val="clear" w:color="auto" w:fill="4472C4"/>
      </w:tcPr>
    </w:tblStylePr>
    <w:tblStylePr w:type="lastRow">
      <w:pPr>
        <w:spacing w:beforeLines="0" w:before="100" w:beforeAutospacing="1" w:afterLines="0" w:after="100" w:afterAutospacing="1"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Grid-Accent541">
    <w:name w:val="Light Grid - Accent 541"/>
    <w:basedOn w:val="TableNormal"/>
    <w:uiPriority w:val="62"/>
    <w:semiHidden/>
    <w:rPr>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Accent541">
    <w:name w:val="Medium Shading 1 - Accent 541"/>
    <w:basedOn w:val="TableNormal"/>
    <w:uiPriority w:val="63"/>
    <w:semiHidden/>
    <w:rPr>
      <w:sz w:val="22"/>
      <w:szCs w:val="22"/>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2-Accent541">
    <w:name w:val="Medium Shading 2 - Accent 541"/>
    <w:basedOn w:val="TableNormal"/>
    <w:uiPriority w:val="64"/>
    <w:semiHidden/>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541">
    <w:name w:val="Medium List 1 - Accent 541"/>
    <w:basedOn w:val="TableNormal"/>
    <w:uiPriority w:val="65"/>
    <w:semiHidden/>
    <w:rPr>
      <w:color w:val="000000"/>
      <w:sz w:val="22"/>
      <w:szCs w:val="22"/>
    </w:rPr>
    <w:tblPr>
      <w:tblStyleRowBandSize w:val="1"/>
      <w:tblStyleColBandSize w:val="1"/>
      <w:tblInd w:w="0" w:type="nil"/>
      <w:tblBorders>
        <w:top w:val="single" w:sz="8" w:space="0" w:color="4472C4"/>
        <w:bottom w:val="single" w:sz="8" w:space="0" w:color="4472C4"/>
      </w:tblBorders>
    </w:tblPr>
    <w:tblStylePr w:type="firstRow">
      <w:rPr>
        <w:rFonts w:ascii="Times New Roman" w:eastAsia="Times New Roman" w:hAnsi="Times New Roman" w:cs="Times New Roman" w:hint="default"/>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2-Accent541">
    <w:name w:val="Medium List 2 - Accent 541"/>
    <w:basedOn w:val="TableNormal"/>
    <w:uiPriority w:val="66"/>
    <w:semiHidden/>
    <w:rPr>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Grid2-Accent541">
    <w:name w:val="Medium Grid 2 - Accent 541"/>
    <w:basedOn w:val="TableNormal"/>
    <w:uiPriority w:val="68"/>
    <w:semiHidden/>
    <w:rPr>
      <w:color w:val="000000"/>
      <w:sz w:val="22"/>
      <w:szCs w:val="22"/>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3-Accent541">
    <w:name w:val="Medium Grid 3 - Accent 541"/>
    <w:basedOn w:val="TableNormal"/>
    <w:uiPriority w:val="69"/>
    <w:semiHidden/>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DarkList-Accent541">
    <w:name w:val="Dark List - Accent 541"/>
    <w:basedOn w:val="TableNormal"/>
    <w:uiPriority w:val="70"/>
    <w:semiHidden/>
    <w:rPr>
      <w:color w:val="FFFFFF"/>
      <w:sz w:val="22"/>
      <w:szCs w:val="22"/>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ColorfulShading-Accent541">
    <w:name w:val="Colorful Shading - Accent 541"/>
    <w:basedOn w:val="TableNormal"/>
    <w:uiPriority w:val="71"/>
    <w:semiHidden/>
    <w:rPr>
      <w:color w:val="000000"/>
      <w:sz w:val="22"/>
      <w:szCs w:val="22"/>
    </w:rPr>
    <w:tblPr>
      <w:tblStyleRowBandSize w:val="1"/>
      <w:tblStyleColBandSize w:val="1"/>
      <w:tblInd w:w="0" w:type="nil"/>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List-Accent541">
    <w:name w:val="Colorful List - Accent 541"/>
    <w:basedOn w:val="TableNormal"/>
    <w:uiPriority w:val="72"/>
    <w:semiHidden/>
    <w:rPr>
      <w:color w:val="000000"/>
      <w:sz w:val="22"/>
      <w:szCs w:val="22"/>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Grid-Accent541">
    <w:name w:val="Colorful Grid - Accent 541"/>
    <w:basedOn w:val="TableNormal"/>
    <w:uiPriority w:val="73"/>
    <w:semiHidden/>
    <w:rPr>
      <w:color w:val="000000"/>
      <w:sz w:val="22"/>
      <w:szCs w:val="22"/>
    </w:rPr>
    <w:tblPr>
      <w:tblStyleRowBandSize w:val="1"/>
      <w:tblStyleColBandSize w:val="1"/>
      <w:tblInd w:w="0" w:type="nil"/>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LightShading-Accent641">
    <w:name w:val="Light Shading - Accent 641"/>
    <w:basedOn w:val="TableNormal"/>
    <w:uiPriority w:val="60"/>
    <w:semiHidden/>
    <w:rPr>
      <w:color w:val="538135"/>
      <w:sz w:val="22"/>
      <w:szCs w:val="22"/>
    </w:rPr>
    <w:tblPr>
      <w:tblStyleRowBandSize w:val="1"/>
      <w:tblStyleColBandSize w:val="1"/>
      <w:tblInd w:w="0" w:type="nil"/>
      <w:tblBorders>
        <w:top w:val="single" w:sz="8" w:space="0" w:color="70AD47"/>
        <w:bottom w:val="single" w:sz="8" w:space="0" w:color="70AD47"/>
      </w:tblBorders>
    </w:tblPr>
    <w:tblStylePr w:type="firstRow">
      <w:pPr>
        <w:spacing w:beforeLines="0" w:before="100" w:beforeAutospacing="1" w:afterLines="0" w:after="100" w:afterAutospacing="1"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ghtList-Accent641">
    <w:name w:val="Light List - Accent 641"/>
    <w:basedOn w:val="TableNormal"/>
    <w:uiPriority w:val="61"/>
    <w:semiHidden/>
    <w:rPr>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pPr>
        <w:spacing w:beforeLines="0" w:before="100" w:beforeAutospacing="1" w:afterLines="0" w:after="100" w:afterAutospacing="1" w:line="240" w:lineRule="auto"/>
      </w:pPr>
      <w:rPr>
        <w:b/>
        <w:bCs/>
        <w:color w:val="FFFFFF"/>
      </w:rPr>
      <w:tblPr/>
      <w:tcPr>
        <w:shd w:val="clear" w:color="auto" w:fill="70AD47"/>
      </w:tcPr>
    </w:tblStylePr>
    <w:tblStylePr w:type="lastRow">
      <w:pPr>
        <w:spacing w:beforeLines="0" w:before="100" w:beforeAutospacing="1" w:afterLines="0" w:after="100" w:afterAutospacing="1"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Grid-Accent641">
    <w:name w:val="Light Grid - Accent 641"/>
    <w:basedOn w:val="TableNormal"/>
    <w:uiPriority w:val="62"/>
    <w:semiHidden/>
    <w:rPr>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100" w:beforeAutospacing="1" w:afterLines="0" w:after="100" w:afterAutospacing="1" w:line="240" w:lineRule="auto"/>
      </w:pPr>
      <w:rPr>
        <w:rFonts w:ascii="Times New Roman" w:eastAsia="Times New Roman" w:hAnsi="Times New Roman"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MediumShading1-Accent641">
    <w:name w:val="Medium Shading 1 - Accent 641"/>
    <w:basedOn w:val="TableNormal"/>
    <w:uiPriority w:val="63"/>
    <w:semiHidden/>
    <w:rPr>
      <w:sz w:val="22"/>
      <w:szCs w:val="22"/>
    </w:rPr>
    <w:tblPr>
      <w:tblStyleRowBandSize w:val="1"/>
      <w:tblStyleColBandSize w:val="1"/>
      <w:tblInd w:w="0" w:type="nil"/>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Lines="0" w:before="100" w:beforeAutospacing="1" w:afterLines="0" w:after="100" w:afterAutospacing="1"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Lines="0" w:before="100" w:beforeAutospacing="1" w:afterLines="0" w:after="100" w:afterAutospacing="1"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Accent641">
    <w:name w:val="Medium Shading 2 - Accent 641"/>
    <w:basedOn w:val="TableNormal"/>
    <w:uiPriority w:val="64"/>
    <w:semiHidden/>
    <w:rPr>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641">
    <w:name w:val="Medium List 1 - Accent 641"/>
    <w:basedOn w:val="TableNormal"/>
    <w:uiPriority w:val="65"/>
    <w:semiHidden/>
    <w:rPr>
      <w:color w:val="000000"/>
      <w:sz w:val="22"/>
      <w:szCs w:val="22"/>
    </w:rPr>
    <w:tblPr>
      <w:tblStyleRowBandSize w:val="1"/>
      <w:tblStyleColBandSize w:val="1"/>
      <w:tblInd w:w="0" w:type="nil"/>
      <w:tblBorders>
        <w:top w:val="single" w:sz="8" w:space="0" w:color="70AD47"/>
        <w:bottom w:val="single" w:sz="8" w:space="0" w:color="70AD47"/>
      </w:tblBorders>
    </w:tblPr>
    <w:tblStylePr w:type="firstRow">
      <w:rPr>
        <w:rFonts w:ascii="Times New Roman" w:eastAsia="Times New Roman" w:hAnsi="Times New Roman" w:cs="Times New Roman" w:hint="default"/>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Accent641">
    <w:name w:val="Medium List 2 - Accent 641"/>
    <w:basedOn w:val="TableNormal"/>
    <w:uiPriority w:val="66"/>
    <w:semiHidden/>
    <w:rPr>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Grid2-Accent641">
    <w:name w:val="Medium Grid 2 - Accent 641"/>
    <w:basedOn w:val="TableNormal"/>
    <w:uiPriority w:val="68"/>
    <w:semiHidden/>
    <w:rPr>
      <w:color w:val="000000"/>
      <w:sz w:val="22"/>
      <w:szCs w:val="22"/>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Accent641">
    <w:name w:val="Medium Grid 3 - Accent 641"/>
    <w:basedOn w:val="TableNormal"/>
    <w:uiPriority w:val="69"/>
    <w:semiHidden/>
    <w:rPr>
      <w:sz w:val="22"/>
      <w:szCs w:val="22"/>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DarkList-Accent641">
    <w:name w:val="Dark List - Accent 641"/>
    <w:basedOn w:val="TableNormal"/>
    <w:uiPriority w:val="70"/>
    <w:semiHidden/>
    <w:rPr>
      <w:color w:val="FFFFFF"/>
      <w:sz w:val="22"/>
      <w:szCs w:val="22"/>
    </w:rPr>
    <w:tblPr>
      <w:tblStyleRowBandSize w:val="1"/>
      <w:tblStyleColBandSize w:val="1"/>
      <w:tblInd w:w="0" w:type="nil"/>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ColorfulShading-Accent641">
    <w:name w:val="Colorful Shading - Accent 641"/>
    <w:basedOn w:val="TableNormal"/>
    <w:uiPriority w:val="71"/>
    <w:semiHidden/>
    <w:rPr>
      <w:color w:val="000000"/>
      <w:sz w:val="22"/>
      <w:szCs w:val="22"/>
    </w:rPr>
    <w:tblPr>
      <w:tblStyleRowBandSize w:val="1"/>
      <w:tblStyleColBandSize w:val="1"/>
      <w:tblInd w:w="0" w:type="nil"/>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ColorfulList-Accent641">
    <w:name w:val="Colorful List - Accent 641"/>
    <w:basedOn w:val="TableNormal"/>
    <w:uiPriority w:val="72"/>
    <w:semiHidden/>
    <w:rPr>
      <w:color w:val="000000"/>
      <w:sz w:val="22"/>
      <w:szCs w:val="22"/>
    </w:rPr>
    <w:tblPr>
      <w:tblStyleRowBandSize w:val="1"/>
      <w:tblStyleColBandSize w:val="1"/>
      <w:tblInd w:w="0" w:type="nil"/>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Grid-Accent641">
    <w:name w:val="Colorful Grid - Accent 641"/>
    <w:basedOn w:val="TableNormal"/>
    <w:uiPriority w:val="73"/>
    <w:semiHidden/>
    <w:rPr>
      <w:color w:val="000000"/>
      <w:sz w:val="22"/>
      <w:szCs w:val="22"/>
    </w:rPr>
    <w:tblPr>
      <w:tblStyleRowBandSize w:val="1"/>
      <w:tblStyleColBandSize w:val="1"/>
      <w:tblInd w:w="0" w:type="nil"/>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PlainTable341">
    <w:name w:val="Plain Table 341"/>
    <w:basedOn w:val="TableNormal"/>
    <w:uiPriority w:val="43"/>
    <w:rPr>
      <w:sz w:val="22"/>
      <w:szCs w:val="22"/>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41">
    <w:name w:val="Plain Table 541"/>
    <w:basedOn w:val="TableNormal"/>
    <w:uiPriority w:val="45"/>
    <w:rPr>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7F7F7F"/>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F7F7F"/>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41">
    <w:name w:val="Grid Table 241"/>
    <w:basedOn w:val="TableNormal"/>
    <w:uiPriority w:val="47"/>
    <w:rPr>
      <w:sz w:val="22"/>
      <w:szCs w:val="22"/>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41">
    <w:name w:val="Grid Table 341"/>
    <w:basedOn w:val="TableNormal"/>
    <w:uiPriority w:val="48"/>
    <w:rPr>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41">
    <w:name w:val="Grid Table 441"/>
    <w:basedOn w:val="TableNormal"/>
    <w:uiPriority w:val="49"/>
    <w:rPr>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41">
    <w:name w:val="Grid Table 5 Dark41"/>
    <w:basedOn w:val="TableNormal"/>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7Colorful41">
    <w:name w:val="Grid Table 7 Colorful41"/>
    <w:basedOn w:val="TableNormal"/>
    <w:uiPriority w:val="52"/>
    <w:rPr>
      <w:color w:val="000000"/>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141">
    <w:name w:val="Grid Table 2 - Accent 141"/>
    <w:basedOn w:val="TableNormal"/>
    <w:uiPriority w:val="47"/>
    <w:rPr>
      <w:sz w:val="22"/>
      <w:szCs w:val="22"/>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3-Accent141">
    <w:name w:val="Grid Table 3 - Accent 141"/>
    <w:basedOn w:val="TableNormal"/>
    <w:uiPriority w:val="48"/>
    <w:rPr>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4-Accent141">
    <w:name w:val="Grid Table 4 - Accent 141"/>
    <w:basedOn w:val="TableNormal"/>
    <w:uiPriority w:val="49"/>
    <w:rPr>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41">
    <w:name w:val="Grid Table 5 Dark - Accent 141"/>
    <w:basedOn w:val="TableNormal"/>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7Colorful-Accent141">
    <w:name w:val="Grid Table 7 Colorful - Accent 141"/>
    <w:basedOn w:val="TableNormal"/>
    <w:uiPriority w:val="52"/>
    <w:rPr>
      <w:color w:val="2E74B5"/>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2-Accent241">
    <w:name w:val="Grid Table 2 - Accent 241"/>
    <w:basedOn w:val="TableNormal"/>
    <w:uiPriority w:val="47"/>
    <w:rPr>
      <w:sz w:val="22"/>
      <w:szCs w:val="22"/>
    </w:rPr>
    <w:tblPr>
      <w:tblStyleRowBandSize w:val="1"/>
      <w:tblStyleColBandSize w:val="1"/>
      <w:tblInd w:w="0" w:type="nil"/>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3-Accent241">
    <w:name w:val="Grid Table 3 - Accent 241"/>
    <w:basedOn w:val="TableNormal"/>
    <w:uiPriority w:val="48"/>
    <w:rPr>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4-Accent241">
    <w:name w:val="Grid Table 4 - Accent 241"/>
    <w:basedOn w:val="TableNormal"/>
    <w:uiPriority w:val="49"/>
    <w:rPr>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41">
    <w:name w:val="Grid Table 5 Dark - Accent 241"/>
    <w:basedOn w:val="TableNormal"/>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7Colorful-Accent241">
    <w:name w:val="Grid Table 7 Colorful - Accent 241"/>
    <w:basedOn w:val="TableNormal"/>
    <w:uiPriority w:val="52"/>
    <w:rPr>
      <w:color w:val="C45911"/>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2-Accent341">
    <w:name w:val="Grid Table 2 - Accent 341"/>
    <w:basedOn w:val="TableNormal"/>
    <w:uiPriority w:val="47"/>
    <w:rPr>
      <w:sz w:val="22"/>
      <w:szCs w:val="22"/>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41">
    <w:name w:val="Grid Table 3 - Accent 341"/>
    <w:basedOn w:val="TableNormal"/>
    <w:uiPriority w:val="48"/>
    <w:rPr>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4-Accent341">
    <w:name w:val="Grid Table 4 - Accent 341"/>
    <w:basedOn w:val="TableNormal"/>
    <w:uiPriority w:val="49"/>
    <w:rPr>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5Dark-Accent341">
    <w:name w:val="Grid Table 5 Dark - Accent 341"/>
    <w:basedOn w:val="TableNormal"/>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7Colorful-Accent341">
    <w:name w:val="Grid Table 7 Colorful - Accent 341"/>
    <w:basedOn w:val="TableNormal"/>
    <w:uiPriority w:val="52"/>
    <w:rPr>
      <w:color w:val="7B7B7B"/>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2-Accent441">
    <w:name w:val="Grid Table 2 - Accent 441"/>
    <w:basedOn w:val="TableNormal"/>
    <w:uiPriority w:val="47"/>
    <w:rPr>
      <w:sz w:val="22"/>
      <w:szCs w:val="22"/>
    </w:rPr>
    <w:tblPr>
      <w:tblStyleRowBandSize w:val="1"/>
      <w:tblStyleColBandSize w:val="1"/>
      <w:tblInd w:w="0" w:type="nil"/>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3-Accent441">
    <w:name w:val="Grid Table 3 - Accent 441"/>
    <w:basedOn w:val="TableNormal"/>
    <w:uiPriority w:val="48"/>
    <w:rPr>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4-Accent441">
    <w:name w:val="Grid Table 4 - Accent 441"/>
    <w:basedOn w:val="TableNormal"/>
    <w:uiPriority w:val="49"/>
    <w:rPr>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441">
    <w:name w:val="Grid Table 5 Dark - Accent 441"/>
    <w:basedOn w:val="TableNormal"/>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7Colorful-Accent441">
    <w:name w:val="Grid Table 7 Colorful - Accent 441"/>
    <w:basedOn w:val="TableNormal"/>
    <w:uiPriority w:val="52"/>
    <w:rPr>
      <w:color w:val="BF8F00"/>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2-Accent541">
    <w:name w:val="Grid Table 2 - Accent 541"/>
    <w:basedOn w:val="TableNormal"/>
    <w:uiPriority w:val="47"/>
    <w:rPr>
      <w:sz w:val="22"/>
      <w:szCs w:val="22"/>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3-Accent541">
    <w:name w:val="Grid Table 3 - Accent 541"/>
    <w:basedOn w:val="TableNormal"/>
    <w:uiPriority w:val="48"/>
    <w:rPr>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4-Accent541">
    <w:name w:val="Grid Table 4 - Accent 541"/>
    <w:basedOn w:val="TableNormal"/>
    <w:uiPriority w:val="49"/>
    <w:rPr>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41">
    <w:name w:val="Grid Table 5 Dark - Accent 541"/>
    <w:basedOn w:val="TableNormal"/>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7Colorful-Accent541">
    <w:name w:val="Grid Table 7 Colorful - Accent 541"/>
    <w:basedOn w:val="TableNormal"/>
    <w:uiPriority w:val="52"/>
    <w:rPr>
      <w:color w:val="2F5496"/>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2-Accent641">
    <w:name w:val="Grid Table 2 - Accent 641"/>
    <w:basedOn w:val="TableNormal"/>
    <w:uiPriority w:val="47"/>
    <w:rPr>
      <w:sz w:val="22"/>
      <w:szCs w:val="22"/>
    </w:rPr>
    <w:tblPr>
      <w:tblStyleRowBandSize w:val="1"/>
      <w:tblStyleColBandSize w:val="1"/>
      <w:tblInd w:w="0" w:type="nil"/>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641">
    <w:name w:val="Grid Table 3 - Accent 641"/>
    <w:basedOn w:val="TableNormal"/>
    <w:uiPriority w:val="48"/>
    <w:rPr>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Accent641">
    <w:name w:val="Grid Table 4 - Accent 641"/>
    <w:basedOn w:val="TableNormal"/>
    <w:uiPriority w:val="49"/>
    <w:rPr>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41">
    <w:name w:val="Grid Table 5 Dark - Accent 641"/>
    <w:basedOn w:val="TableNormal"/>
    <w:uiPriority w:val="50"/>
    <w:rPr>
      <w:sz w:val="22"/>
      <w:szCs w:val="22"/>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7Colorful-Accent641">
    <w:name w:val="Grid Table 7 Colorful - Accent 641"/>
    <w:basedOn w:val="TableNormal"/>
    <w:uiPriority w:val="52"/>
    <w:rPr>
      <w:color w:val="538135"/>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stTable341">
    <w:name w:val="List Table 341"/>
    <w:basedOn w:val="TableNormal"/>
    <w:uiPriority w:val="48"/>
    <w:rPr>
      <w:sz w:val="22"/>
      <w:szCs w:val="22"/>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441">
    <w:name w:val="List Table 441"/>
    <w:basedOn w:val="TableNormal"/>
    <w:uiPriority w:val="49"/>
    <w:rPr>
      <w:sz w:val="22"/>
      <w:szCs w:val="22"/>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5Dark41">
    <w:name w:val="List Table 5 Dark41"/>
    <w:basedOn w:val="TableNormal"/>
    <w:uiPriority w:val="50"/>
    <w:rPr>
      <w:color w:val="FFFFFF"/>
      <w:sz w:val="22"/>
      <w:szCs w:val="22"/>
    </w:rPr>
    <w:tblPr>
      <w:tblStyleRowBandSize w:val="1"/>
      <w:tblStyleColBandSize w:val="1"/>
      <w:tblInd w:w="0" w:type="nil"/>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41">
    <w:name w:val="List Table 7 Colorful41"/>
    <w:basedOn w:val="TableNormal"/>
    <w:uiPriority w:val="52"/>
    <w:rPr>
      <w:color w:val="000000"/>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000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000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141">
    <w:name w:val="List Table 3 - Accent 141"/>
    <w:basedOn w:val="TableNormal"/>
    <w:uiPriority w:val="48"/>
    <w:rPr>
      <w:sz w:val="22"/>
      <w:szCs w:val="22"/>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4-Accent141">
    <w:name w:val="List Table 4 - Accent 141"/>
    <w:basedOn w:val="TableNormal"/>
    <w:uiPriority w:val="49"/>
    <w:rPr>
      <w:sz w:val="22"/>
      <w:szCs w:val="22"/>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5Dark-Accent141">
    <w:name w:val="List Table 5 Dark - Accent 141"/>
    <w:basedOn w:val="TableNormal"/>
    <w:uiPriority w:val="50"/>
    <w:rPr>
      <w:color w:val="FFFFFF"/>
      <w:sz w:val="22"/>
      <w:szCs w:val="22"/>
    </w:rPr>
    <w:tblPr>
      <w:tblStyleRowBandSize w:val="1"/>
      <w:tblStyleColBandSize w:val="1"/>
      <w:tblInd w:w="0" w:type="nil"/>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141">
    <w:name w:val="List Table 7 Colorful - Accent 141"/>
    <w:basedOn w:val="TableNormal"/>
    <w:uiPriority w:val="52"/>
    <w:rPr>
      <w:color w:val="2E74B5"/>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5B9BD5"/>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5B9BD5"/>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5B9BD5"/>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241">
    <w:name w:val="List Table 3 - Accent 241"/>
    <w:basedOn w:val="TableNormal"/>
    <w:uiPriority w:val="48"/>
    <w:rPr>
      <w:sz w:val="22"/>
      <w:szCs w:val="22"/>
    </w:rPr>
    <w:tblPr>
      <w:tblStyleRowBandSize w:val="1"/>
      <w:tblStyleColBandSize w:val="1"/>
      <w:tblInd w:w="0" w:type="nil"/>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4-Accent241">
    <w:name w:val="List Table 4 - Accent 241"/>
    <w:basedOn w:val="TableNormal"/>
    <w:uiPriority w:val="49"/>
    <w:rPr>
      <w:sz w:val="22"/>
      <w:szCs w:val="22"/>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5Dark-Accent241">
    <w:name w:val="List Table 5 Dark - Accent 241"/>
    <w:basedOn w:val="TableNormal"/>
    <w:uiPriority w:val="50"/>
    <w:rPr>
      <w:color w:val="FFFFFF"/>
      <w:sz w:val="22"/>
      <w:szCs w:val="22"/>
    </w:rPr>
    <w:tblPr>
      <w:tblStyleRowBandSize w:val="1"/>
      <w:tblStyleColBandSize w:val="1"/>
      <w:tblInd w:w="0" w:type="nil"/>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241">
    <w:name w:val="List Table 7 Colorful - Accent 241"/>
    <w:basedOn w:val="TableNormal"/>
    <w:uiPriority w:val="52"/>
    <w:rPr>
      <w:color w:val="C45911"/>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ED7D31"/>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ED7D31"/>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ED7D31"/>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341">
    <w:name w:val="List Table 3 - Accent 341"/>
    <w:basedOn w:val="TableNormal"/>
    <w:uiPriority w:val="48"/>
    <w:rPr>
      <w:sz w:val="22"/>
      <w:szCs w:val="22"/>
    </w:rPr>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4-Accent341">
    <w:name w:val="List Table 4 - Accent 341"/>
    <w:basedOn w:val="TableNormal"/>
    <w:uiPriority w:val="49"/>
    <w:rPr>
      <w:sz w:val="22"/>
      <w:szCs w:val="22"/>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5Dark-Accent341">
    <w:name w:val="List Table 5 Dark - Accent 341"/>
    <w:basedOn w:val="TableNormal"/>
    <w:uiPriority w:val="50"/>
    <w:rPr>
      <w:color w:val="FFFFFF"/>
      <w:sz w:val="22"/>
      <w:szCs w:val="22"/>
    </w:rPr>
    <w:tblPr>
      <w:tblStyleRowBandSize w:val="1"/>
      <w:tblStyleColBandSize w:val="1"/>
      <w:tblInd w:w="0" w:type="nil"/>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41">
    <w:name w:val="List Table 7 Colorful - Accent 341"/>
    <w:basedOn w:val="TableNormal"/>
    <w:uiPriority w:val="52"/>
    <w:rPr>
      <w:color w:val="7B7B7B"/>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A5A5A5"/>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A5A5A5"/>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A5A5A5"/>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441">
    <w:name w:val="List Table 3 - Accent 441"/>
    <w:basedOn w:val="TableNormal"/>
    <w:uiPriority w:val="48"/>
    <w:rPr>
      <w:sz w:val="22"/>
      <w:szCs w:val="22"/>
    </w:rPr>
    <w:tblPr>
      <w:tblStyleRowBandSize w:val="1"/>
      <w:tblStyleColBandSize w:val="1"/>
      <w:tblInd w:w="0" w:type="nil"/>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441">
    <w:name w:val="List Table 4 - Accent 441"/>
    <w:basedOn w:val="TableNormal"/>
    <w:uiPriority w:val="49"/>
    <w:rPr>
      <w:sz w:val="22"/>
      <w:szCs w:val="22"/>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5Dark-Accent441">
    <w:name w:val="List Table 5 Dark - Accent 441"/>
    <w:basedOn w:val="TableNormal"/>
    <w:uiPriority w:val="50"/>
    <w:rPr>
      <w:color w:val="FFFFFF"/>
      <w:sz w:val="22"/>
      <w:szCs w:val="22"/>
    </w:rPr>
    <w:tblPr>
      <w:tblStyleRowBandSize w:val="1"/>
      <w:tblStyleColBandSize w:val="1"/>
      <w:tblInd w:w="0" w:type="nil"/>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441">
    <w:name w:val="List Table 7 Colorful - Accent 441"/>
    <w:basedOn w:val="TableNormal"/>
    <w:uiPriority w:val="52"/>
    <w:rPr>
      <w:color w:val="BF8F00"/>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FFC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FFC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FFC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541">
    <w:name w:val="List Table 3 - Accent 541"/>
    <w:basedOn w:val="TableNormal"/>
    <w:uiPriority w:val="48"/>
    <w:rPr>
      <w:sz w:val="22"/>
      <w:szCs w:val="22"/>
    </w:rPr>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4-Accent541">
    <w:name w:val="List Table 4 - Accent 541"/>
    <w:basedOn w:val="TableNormal"/>
    <w:uiPriority w:val="49"/>
    <w:rPr>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5Dark-Accent541">
    <w:name w:val="List Table 5 Dark - Accent 541"/>
    <w:basedOn w:val="TableNormal"/>
    <w:uiPriority w:val="50"/>
    <w:rPr>
      <w:color w:val="FFFFFF"/>
      <w:sz w:val="22"/>
      <w:szCs w:val="22"/>
    </w:rPr>
    <w:tblPr>
      <w:tblStyleRowBandSize w:val="1"/>
      <w:tblStyleColBandSize w:val="1"/>
      <w:tblInd w:w="0" w:type="nil"/>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541">
    <w:name w:val="List Table 7 Colorful - Accent 541"/>
    <w:basedOn w:val="TableNormal"/>
    <w:uiPriority w:val="52"/>
    <w:rPr>
      <w:color w:val="2F5496"/>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4472C4"/>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4472C4"/>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4472C4"/>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641">
    <w:name w:val="List Table 3 - Accent 641"/>
    <w:basedOn w:val="TableNormal"/>
    <w:uiPriority w:val="48"/>
    <w:rPr>
      <w:sz w:val="22"/>
      <w:szCs w:val="22"/>
    </w:rPr>
    <w:tblPr>
      <w:tblStyleRowBandSize w:val="1"/>
      <w:tblStyleColBandSize w:val="1"/>
      <w:tblInd w:w="0" w:type="nil"/>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Accent641">
    <w:name w:val="List Table 4 - Accent 641"/>
    <w:basedOn w:val="TableNormal"/>
    <w:uiPriority w:val="49"/>
    <w:rPr>
      <w:sz w:val="22"/>
      <w:szCs w:val="22"/>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Accent641">
    <w:name w:val="List Table 5 Dark - Accent 641"/>
    <w:basedOn w:val="TableNormal"/>
    <w:uiPriority w:val="50"/>
    <w:rPr>
      <w:color w:val="FFFFFF"/>
      <w:sz w:val="22"/>
      <w:szCs w:val="22"/>
    </w:rPr>
    <w:tblPr>
      <w:tblStyleRowBandSize w:val="1"/>
      <w:tblStyleColBandSize w:val="1"/>
      <w:tblInd w:w="0" w:type="nil"/>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641">
    <w:name w:val="List Table 7 Colorful - Accent 641"/>
    <w:basedOn w:val="TableNormal"/>
    <w:uiPriority w:val="52"/>
    <w:rPr>
      <w:color w:val="538135"/>
      <w:sz w:val="22"/>
      <w:szCs w:val="22"/>
    </w:rPr>
    <w:tblPr>
      <w:tblStyleRowBandSize w:val="1"/>
      <w:tblStyleColBandSize w:val="1"/>
      <w:tblInd w:w="0" w:type="nil"/>
    </w:tblPr>
    <w:tblStylePr w:type="firstRow">
      <w:rPr>
        <w:rFonts w:ascii="Times New Roman" w:eastAsia="Times New Roman" w:hAnsi="Times New Roman" w:cs="Times New Roman" w:hint="default"/>
        <w:i/>
        <w:iCs/>
        <w:sz w:val="26"/>
        <w:szCs w:val="26"/>
      </w:rPr>
      <w:tblPr/>
      <w:tcPr>
        <w:tcBorders>
          <w:bottom w:val="single" w:sz="4" w:space="0" w:color="70AD47"/>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0AD47"/>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0AD47"/>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ArticleSection31">
    <w:name w:val="Article / Section31"/>
    <w:uiPriority w:val="99"/>
    <w:pPr>
      <w:numPr>
        <w:numId w:val="3"/>
      </w:numPr>
    </w:pPr>
  </w:style>
  <w:style w:type="numbering" w:customStyle="1" w:styleId="1ai31">
    <w:name w:val="1 / a / i31"/>
    <w:uiPriority w:val="99"/>
    <w:pPr>
      <w:numPr>
        <w:numId w:val="11"/>
      </w:numPr>
    </w:pPr>
  </w:style>
  <w:style w:type="numbering" w:customStyle="1" w:styleId="ArticleSection4">
    <w:name w:val="Article / Section4"/>
    <w:basedOn w:val="NoList"/>
    <w:next w:val="ArticleSection"/>
    <w:uiPriority w:val="99"/>
    <w:semiHidden/>
    <w:unhideWhenUsed/>
    <w:pPr>
      <w:numPr>
        <w:numId w:val="13"/>
      </w:numPr>
    </w:pPr>
  </w:style>
  <w:style w:type="numbering" w:customStyle="1" w:styleId="11111131">
    <w:name w:val="1 / 1.1 / 1.1.131"/>
    <w:uiPriority w:val="99"/>
    <w:pPr>
      <w:numPr>
        <w:numId w:val="14"/>
      </w:numPr>
    </w:pPr>
  </w:style>
  <w:style w:type="numbering" w:customStyle="1" w:styleId="1ai4">
    <w:name w:val="1 / a / i4"/>
    <w:basedOn w:val="NoList"/>
    <w:next w:val="1ai"/>
    <w:uiPriority w:val="99"/>
    <w:semiHidden/>
    <w:unhideWhenUsed/>
    <w:pPr>
      <w:numPr>
        <w:numId w:val="15"/>
      </w:numPr>
    </w:pPr>
  </w:style>
  <w:style w:type="numbering" w:customStyle="1" w:styleId="BridgeTempStyle12061">
    <w:name w:val="BridgeTempStyle12061"/>
    <w:pPr>
      <w:numPr>
        <w:numId w:val="16"/>
      </w:numPr>
    </w:pPr>
  </w:style>
  <w:style w:type="numbering" w:customStyle="1" w:styleId="1111114">
    <w:name w:val="1 / 1.1 / 1.1.14"/>
    <w:basedOn w:val="NoList"/>
    <w:next w:val="111111"/>
    <w:uiPriority w:val="99"/>
    <w:semiHidden/>
    <w:unhideWhenUsed/>
    <w:pPr>
      <w:numPr>
        <w:numId w:val="17"/>
      </w:numPr>
    </w:pPr>
  </w:style>
  <w:style w:type="numbering" w:customStyle="1" w:styleId="1ai11">
    <w:name w:val="1 / a / i11"/>
    <w:uiPriority w:val="99"/>
    <w:pPr>
      <w:numPr>
        <w:numId w:val="18"/>
      </w:numPr>
    </w:pPr>
  </w:style>
  <w:style w:type="numbering" w:customStyle="1" w:styleId="11111111">
    <w:name w:val="1 / 1.1 / 1.1.111"/>
    <w:uiPriority w:val="99"/>
    <w:pPr>
      <w:numPr>
        <w:numId w:val="19"/>
      </w:numPr>
    </w:pPr>
  </w:style>
  <w:style w:type="numbering" w:customStyle="1" w:styleId="ArticleSection11">
    <w:name w:val="Article / Section11"/>
    <w:uiPriority w:val="9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4214">
      <w:bodyDiv w:val="1"/>
      <w:marLeft w:val="0"/>
      <w:marRight w:val="0"/>
      <w:marTop w:val="0"/>
      <w:marBottom w:val="0"/>
      <w:divBdr>
        <w:top w:val="none" w:sz="0" w:space="0" w:color="auto"/>
        <w:left w:val="none" w:sz="0" w:space="0" w:color="auto"/>
        <w:bottom w:val="none" w:sz="0" w:space="0" w:color="auto"/>
        <w:right w:val="none" w:sz="0" w:space="0" w:color="auto"/>
      </w:divBdr>
      <w:divsChild>
        <w:div w:id="2059354420">
          <w:marLeft w:val="0"/>
          <w:marRight w:val="0"/>
          <w:marTop w:val="0"/>
          <w:marBottom w:val="160"/>
          <w:divBdr>
            <w:top w:val="none" w:sz="0" w:space="0" w:color="auto"/>
            <w:left w:val="none" w:sz="0" w:space="0" w:color="auto"/>
            <w:bottom w:val="none" w:sz="0" w:space="0" w:color="auto"/>
            <w:right w:val="none" w:sz="0" w:space="0" w:color="auto"/>
          </w:divBdr>
        </w:div>
      </w:divsChild>
    </w:div>
    <w:div w:id="91828238">
      <w:bodyDiv w:val="1"/>
      <w:marLeft w:val="0"/>
      <w:marRight w:val="0"/>
      <w:marTop w:val="0"/>
      <w:marBottom w:val="0"/>
      <w:divBdr>
        <w:top w:val="none" w:sz="0" w:space="0" w:color="auto"/>
        <w:left w:val="none" w:sz="0" w:space="0" w:color="auto"/>
        <w:bottom w:val="none" w:sz="0" w:space="0" w:color="auto"/>
        <w:right w:val="none" w:sz="0" w:space="0" w:color="auto"/>
      </w:divBdr>
    </w:div>
    <w:div w:id="449400089">
      <w:bodyDiv w:val="1"/>
      <w:marLeft w:val="0"/>
      <w:marRight w:val="0"/>
      <w:marTop w:val="0"/>
      <w:marBottom w:val="0"/>
      <w:divBdr>
        <w:top w:val="none" w:sz="0" w:space="0" w:color="auto"/>
        <w:left w:val="none" w:sz="0" w:space="0" w:color="auto"/>
        <w:bottom w:val="none" w:sz="0" w:space="0" w:color="auto"/>
        <w:right w:val="none" w:sz="0" w:space="0" w:color="auto"/>
      </w:divBdr>
    </w:div>
    <w:div w:id="527447583">
      <w:bodyDiv w:val="1"/>
      <w:marLeft w:val="0"/>
      <w:marRight w:val="0"/>
      <w:marTop w:val="0"/>
      <w:marBottom w:val="0"/>
      <w:divBdr>
        <w:top w:val="none" w:sz="0" w:space="0" w:color="auto"/>
        <w:left w:val="none" w:sz="0" w:space="0" w:color="auto"/>
        <w:bottom w:val="none" w:sz="0" w:space="0" w:color="auto"/>
        <w:right w:val="none" w:sz="0" w:space="0" w:color="auto"/>
      </w:divBdr>
    </w:div>
    <w:div w:id="825390649">
      <w:bodyDiv w:val="1"/>
      <w:marLeft w:val="0"/>
      <w:marRight w:val="0"/>
      <w:marTop w:val="0"/>
      <w:marBottom w:val="0"/>
      <w:divBdr>
        <w:top w:val="none" w:sz="0" w:space="0" w:color="auto"/>
        <w:left w:val="none" w:sz="0" w:space="0" w:color="auto"/>
        <w:bottom w:val="none" w:sz="0" w:space="0" w:color="auto"/>
        <w:right w:val="none" w:sz="0" w:space="0" w:color="auto"/>
      </w:divBdr>
    </w:div>
    <w:div w:id="1077244206">
      <w:bodyDiv w:val="1"/>
      <w:marLeft w:val="0"/>
      <w:marRight w:val="0"/>
      <w:marTop w:val="0"/>
      <w:marBottom w:val="0"/>
      <w:divBdr>
        <w:top w:val="none" w:sz="0" w:space="0" w:color="auto"/>
        <w:left w:val="none" w:sz="0" w:space="0" w:color="auto"/>
        <w:bottom w:val="none" w:sz="0" w:space="0" w:color="auto"/>
        <w:right w:val="none" w:sz="0" w:space="0" w:color="auto"/>
      </w:divBdr>
      <w:divsChild>
        <w:div w:id="574317164">
          <w:marLeft w:val="0"/>
          <w:marRight w:val="0"/>
          <w:marTop w:val="0"/>
          <w:marBottom w:val="100"/>
          <w:divBdr>
            <w:top w:val="none" w:sz="0" w:space="0" w:color="auto"/>
            <w:left w:val="none" w:sz="0" w:space="0" w:color="auto"/>
            <w:bottom w:val="none" w:sz="0" w:space="0" w:color="auto"/>
            <w:right w:val="none" w:sz="0" w:space="0" w:color="auto"/>
          </w:divBdr>
        </w:div>
        <w:div w:id="1746301504">
          <w:marLeft w:val="0"/>
          <w:marRight w:val="0"/>
          <w:marTop w:val="0"/>
          <w:marBottom w:val="100"/>
          <w:divBdr>
            <w:top w:val="none" w:sz="0" w:space="0" w:color="auto"/>
            <w:left w:val="none" w:sz="0" w:space="0" w:color="auto"/>
            <w:bottom w:val="none" w:sz="0" w:space="0" w:color="auto"/>
            <w:right w:val="none" w:sz="0" w:space="0" w:color="auto"/>
          </w:divBdr>
        </w:div>
        <w:div w:id="681200762">
          <w:marLeft w:val="0"/>
          <w:marRight w:val="0"/>
          <w:marTop w:val="0"/>
          <w:marBottom w:val="100"/>
          <w:divBdr>
            <w:top w:val="none" w:sz="0" w:space="0" w:color="auto"/>
            <w:left w:val="none" w:sz="0" w:space="0" w:color="auto"/>
            <w:bottom w:val="none" w:sz="0" w:space="0" w:color="auto"/>
            <w:right w:val="none" w:sz="0" w:space="0" w:color="auto"/>
          </w:divBdr>
        </w:div>
        <w:div w:id="222526147">
          <w:marLeft w:val="0"/>
          <w:marRight w:val="0"/>
          <w:marTop w:val="0"/>
          <w:marBottom w:val="100"/>
          <w:divBdr>
            <w:top w:val="none" w:sz="0" w:space="0" w:color="auto"/>
            <w:left w:val="none" w:sz="0" w:space="0" w:color="auto"/>
            <w:bottom w:val="none" w:sz="0" w:space="0" w:color="auto"/>
            <w:right w:val="none" w:sz="0" w:space="0" w:color="auto"/>
          </w:divBdr>
        </w:div>
        <w:div w:id="849877514">
          <w:marLeft w:val="0"/>
          <w:marRight w:val="0"/>
          <w:marTop w:val="0"/>
          <w:marBottom w:val="100"/>
          <w:divBdr>
            <w:top w:val="none" w:sz="0" w:space="0" w:color="auto"/>
            <w:left w:val="none" w:sz="0" w:space="0" w:color="auto"/>
            <w:bottom w:val="none" w:sz="0" w:space="0" w:color="auto"/>
            <w:right w:val="none" w:sz="0" w:space="0" w:color="auto"/>
          </w:divBdr>
        </w:div>
      </w:divsChild>
    </w:div>
    <w:div w:id="1134374059">
      <w:bodyDiv w:val="1"/>
      <w:marLeft w:val="0"/>
      <w:marRight w:val="0"/>
      <w:marTop w:val="0"/>
      <w:marBottom w:val="0"/>
      <w:divBdr>
        <w:top w:val="none" w:sz="0" w:space="0" w:color="auto"/>
        <w:left w:val="none" w:sz="0" w:space="0" w:color="auto"/>
        <w:bottom w:val="none" w:sz="0" w:space="0" w:color="auto"/>
        <w:right w:val="none" w:sz="0" w:space="0" w:color="auto"/>
      </w:divBdr>
    </w:div>
    <w:div w:id="1137340512">
      <w:bodyDiv w:val="1"/>
      <w:marLeft w:val="0"/>
      <w:marRight w:val="0"/>
      <w:marTop w:val="0"/>
      <w:marBottom w:val="0"/>
      <w:divBdr>
        <w:top w:val="none" w:sz="0" w:space="0" w:color="auto"/>
        <w:left w:val="none" w:sz="0" w:space="0" w:color="auto"/>
        <w:bottom w:val="none" w:sz="0" w:space="0" w:color="auto"/>
        <w:right w:val="none" w:sz="0" w:space="0" w:color="auto"/>
      </w:divBdr>
    </w:div>
    <w:div w:id="1256093498">
      <w:bodyDiv w:val="1"/>
      <w:marLeft w:val="0"/>
      <w:marRight w:val="0"/>
      <w:marTop w:val="0"/>
      <w:marBottom w:val="0"/>
      <w:divBdr>
        <w:top w:val="none" w:sz="0" w:space="0" w:color="auto"/>
        <w:left w:val="none" w:sz="0" w:space="0" w:color="auto"/>
        <w:bottom w:val="none" w:sz="0" w:space="0" w:color="auto"/>
        <w:right w:val="none" w:sz="0" w:space="0" w:color="auto"/>
      </w:divBdr>
    </w:div>
    <w:div w:id="1317686577">
      <w:bodyDiv w:val="1"/>
      <w:marLeft w:val="0"/>
      <w:marRight w:val="0"/>
      <w:marTop w:val="0"/>
      <w:marBottom w:val="0"/>
      <w:divBdr>
        <w:top w:val="none" w:sz="0" w:space="0" w:color="auto"/>
        <w:left w:val="none" w:sz="0" w:space="0" w:color="auto"/>
        <w:bottom w:val="none" w:sz="0" w:space="0" w:color="auto"/>
        <w:right w:val="none" w:sz="0" w:space="0" w:color="auto"/>
      </w:divBdr>
    </w:div>
    <w:div w:id="1378894900">
      <w:bodyDiv w:val="1"/>
      <w:marLeft w:val="0"/>
      <w:marRight w:val="0"/>
      <w:marTop w:val="0"/>
      <w:marBottom w:val="0"/>
      <w:divBdr>
        <w:top w:val="none" w:sz="0" w:space="0" w:color="auto"/>
        <w:left w:val="none" w:sz="0" w:space="0" w:color="auto"/>
        <w:bottom w:val="none" w:sz="0" w:space="0" w:color="auto"/>
        <w:right w:val="none" w:sz="0" w:space="0" w:color="auto"/>
      </w:divBdr>
      <w:divsChild>
        <w:div w:id="1933975461">
          <w:marLeft w:val="0"/>
          <w:marRight w:val="0"/>
          <w:marTop w:val="0"/>
          <w:marBottom w:val="0"/>
          <w:divBdr>
            <w:top w:val="none" w:sz="0" w:space="0" w:color="auto"/>
            <w:left w:val="none" w:sz="0" w:space="0" w:color="auto"/>
            <w:bottom w:val="none" w:sz="0" w:space="0" w:color="auto"/>
            <w:right w:val="none" w:sz="0" w:space="0" w:color="auto"/>
          </w:divBdr>
        </w:div>
        <w:div w:id="1284383863">
          <w:marLeft w:val="0"/>
          <w:marRight w:val="0"/>
          <w:marTop w:val="0"/>
          <w:marBottom w:val="0"/>
          <w:divBdr>
            <w:top w:val="none" w:sz="0" w:space="0" w:color="auto"/>
            <w:left w:val="none" w:sz="0" w:space="0" w:color="auto"/>
            <w:bottom w:val="none" w:sz="0" w:space="0" w:color="auto"/>
            <w:right w:val="none" w:sz="0" w:space="0" w:color="auto"/>
          </w:divBdr>
        </w:div>
        <w:div w:id="1167556137">
          <w:marLeft w:val="0"/>
          <w:marRight w:val="0"/>
          <w:marTop w:val="0"/>
          <w:marBottom w:val="0"/>
          <w:divBdr>
            <w:top w:val="none" w:sz="0" w:space="0" w:color="auto"/>
            <w:left w:val="none" w:sz="0" w:space="0" w:color="auto"/>
            <w:bottom w:val="none" w:sz="0" w:space="0" w:color="auto"/>
            <w:right w:val="none" w:sz="0" w:space="0" w:color="auto"/>
          </w:divBdr>
        </w:div>
        <w:div w:id="234627525">
          <w:marLeft w:val="0"/>
          <w:marRight w:val="0"/>
          <w:marTop w:val="0"/>
          <w:marBottom w:val="0"/>
          <w:divBdr>
            <w:top w:val="none" w:sz="0" w:space="0" w:color="auto"/>
            <w:left w:val="none" w:sz="0" w:space="0" w:color="auto"/>
            <w:bottom w:val="none" w:sz="0" w:space="0" w:color="auto"/>
            <w:right w:val="none" w:sz="0" w:space="0" w:color="auto"/>
          </w:divBdr>
        </w:div>
        <w:div w:id="1916548767">
          <w:marLeft w:val="0"/>
          <w:marRight w:val="0"/>
          <w:marTop w:val="0"/>
          <w:marBottom w:val="0"/>
          <w:divBdr>
            <w:top w:val="none" w:sz="0" w:space="0" w:color="auto"/>
            <w:left w:val="none" w:sz="0" w:space="0" w:color="auto"/>
            <w:bottom w:val="none" w:sz="0" w:space="0" w:color="auto"/>
            <w:right w:val="none" w:sz="0" w:space="0" w:color="auto"/>
          </w:divBdr>
        </w:div>
        <w:div w:id="1229223780">
          <w:marLeft w:val="485"/>
          <w:marRight w:val="0"/>
          <w:marTop w:val="0"/>
          <w:marBottom w:val="0"/>
          <w:divBdr>
            <w:top w:val="none" w:sz="0" w:space="0" w:color="auto"/>
            <w:left w:val="none" w:sz="0" w:space="0" w:color="auto"/>
            <w:bottom w:val="none" w:sz="0" w:space="0" w:color="auto"/>
            <w:right w:val="none" w:sz="0" w:space="0" w:color="auto"/>
          </w:divBdr>
        </w:div>
        <w:div w:id="1643659871">
          <w:marLeft w:val="485"/>
          <w:marRight w:val="0"/>
          <w:marTop w:val="0"/>
          <w:marBottom w:val="0"/>
          <w:divBdr>
            <w:top w:val="none" w:sz="0" w:space="0" w:color="auto"/>
            <w:left w:val="none" w:sz="0" w:space="0" w:color="auto"/>
            <w:bottom w:val="none" w:sz="0" w:space="0" w:color="auto"/>
            <w:right w:val="none" w:sz="0" w:space="0" w:color="auto"/>
          </w:divBdr>
        </w:div>
        <w:div w:id="1001155437">
          <w:marLeft w:val="0"/>
          <w:marRight w:val="0"/>
          <w:marTop w:val="0"/>
          <w:marBottom w:val="0"/>
          <w:divBdr>
            <w:top w:val="none" w:sz="0" w:space="0" w:color="auto"/>
            <w:left w:val="none" w:sz="0" w:space="0" w:color="auto"/>
            <w:bottom w:val="none" w:sz="0" w:space="0" w:color="auto"/>
            <w:right w:val="none" w:sz="0" w:space="0" w:color="auto"/>
          </w:divBdr>
        </w:div>
        <w:div w:id="631326209">
          <w:marLeft w:val="0"/>
          <w:marRight w:val="0"/>
          <w:marTop w:val="0"/>
          <w:marBottom w:val="0"/>
          <w:divBdr>
            <w:top w:val="none" w:sz="0" w:space="0" w:color="auto"/>
            <w:left w:val="none" w:sz="0" w:space="0" w:color="auto"/>
            <w:bottom w:val="none" w:sz="0" w:space="0" w:color="auto"/>
            <w:right w:val="none" w:sz="0" w:space="0" w:color="auto"/>
          </w:divBdr>
        </w:div>
        <w:div w:id="567689986">
          <w:marLeft w:val="0"/>
          <w:marRight w:val="0"/>
          <w:marTop w:val="0"/>
          <w:marBottom w:val="0"/>
          <w:divBdr>
            <w:top w:val="none" w:sz="0" w:space="0" w:color="auto"/>
            <w:left w:val="none" w:sz="0" w:space="0" w:color="auto"/>
            <w:bottom w:val="none" w:sz="0" w:space="0" w:color="auto"/>
            <w:right w:val="none" w:sz="0" w:space="0" w:color="auto"/>
          </w:divBdr>
        </w:div>
        <w:div w:id="1437217404">
          <w:marLeft w:val="0"/>
          <w:marRight w:val="0"/>
          <w:marTop w:val="0"/>
          <w:marBottom w:val="0"/>
          <w:divBdr>
            <w:top w:val="none" w:sz="0" w:space="0" w:color="auto"/>
            <w:left w:val="none" w:sz="0" w:space="0" w:color="auto"/>
            <w:bottom w:val="none" w:sz="0" w:space="0" w:color="auto"/>
            <w:right w:val="none" w:sz="0" w:space="0" w:color="auto"/>
          </w:divBdr>
        </w:div>
        <w:div w:id="2021467647">
          <w:marLeft w:val="0"/>
          <w:marRight w:val="0"/>
          <w:marTop w:val="0"/>
          <w:marBottom w:val="0"/>
          <w:divBdr>
            <w:top w:val="none" w:sz="0" w:space="0" w:color="auto"/>
            <w:left w:val="none" w:sz="0" w:space="0" w:color="auto"/>
            <w:bottom w:val="none" w:sz="0" w:space="0" w:color="auto"/>
            <w:right w:val="none" w:sz="0" w:space="0" w:color="auto"/>
          </w:divBdr>
        </w:div>
        <w:div w:id="2085179270">
          <w:marLeft w:val="0"/>
          <w:marRight w:val="0"/>
          <w:marTop w:val="0"/>
          <w:marBottom w:val="0"/>
          <w:divBdr>
            <w:top w:val="none" w:sz="0" w:space="0" w:color="auto"/>
            <w:left w:val="none" w:sz="0" w:space="0" w:color="auto"/>
            <w:bottom w:val="none" w:sz="0" w:space="0" w:color="auto"/>
            <w:right w:val="none" w:sz="0" w:space="0" w:color="auto"/>
          </w:divBdr>
        </w:div>
        <w:div w:id="1899049680">
          <w:marLeft w:val="0"/>
          <w:marRight w:val="0"/>
          <w:marTop w:val="0"/>
          <w:marBottom w:val="0"/>
          <w:divBdr>
            <w:top w:val="none" w:sz="0" w:space="0" w:color="auto"/>
            <w:left w:val="none" w:sz="0" w:space="0" w:color="auto"/>
            <w:bottom w:val="none" w:sz="0" w:space="0" w:color="auto"/>
            <w:right w:val="none" w:sz="0" w:space="0" w:color="auto"/>
          </w:divBdr>
        </w:div>
        <w:div w:id="236944139">
          <w:marLeft w:val="0"/>
          <w:marRight w:val="0"/>
          <w:marTop w:val="0"/>
          <w:marBottom w:val="0"/>
          <w:divBdr>
            <w:top w:val="none" w:sz="0" w:space="0" w:color="auto"/>
            <w:left w:val="none" w:sz="0" w:space="0" w:color="auto"/>
            <w:bottom w:val="none" w:sz="0" w:space="0" w:color="auto"/>
            <w:right w:val="none" w:sz="0" w:space="0" w:color="auto"/>
          </w:divBdr>
        </w:div>
        <w:div w:id="1849756128">
          <w:marLeft w:val="0"/>
          <w:marRight w:val="0"/>
          <w:marTop w:val="0"/>
          <w:marBottom w:val="0"/>
          <w:divBdr>
            <w:top w:val="none" w:sz="0" w:space="0" w:color="auto"/>
            <w:left w:val="none" w:sz="0" w:space="0" w:color="auto"/>
            <w:bottom w:val="none" w:sz="0" w:space="0" w:color="auto"/>
            <w:right w:val="none" w:sz="0" w:space="0" w:color="auto"/>
          </w:divBdr>
        </w:div>
      </w:divsChild>
    </w:div>
    <w:div w:id="1503932933">
      <w:bodyDiv w:val="1"/>
      <w:marLeft w:val="0"/>
      <w:marRight w:val="0"/>
      <w:marTop w:val="0"/>
      <w:marBottom w:val="0"/>
      <w:divBdr>
        <w:top w:val="none" w:sz="0" w:space="0" w:color="auto"/>
        <w:left w:val="none" w:sz="0" w:space="0" w:color="auto"/>
        <w:bottom w:val="none" w:sz="0" w:space="0" w:color="auto"/>
        <w:right w:val="none" w:sz="0" w:space="0" w:color="auto"/>
      </w:divBdr>
    </w:div>
    <w:div w:id="1554610761">
      <w:bodyDiv w:val="1"/>
      <w:marLeft w:val="0"/>
      <w:marRight w:val="0"/>
      <w:marTop w:val="0"/>
      <w:marBottom w:val="0"/>
      <w:divBdr>
        <w:top w:val="none" w:sz="0" w:space="0" w:color="auto"/>
        <w:left w:val="none" w:sz="0" w:space="0" w:color="auto"/>
        <w:bottom w:val="none" w:sz="0" w:space="0" w:color="auto"/>
        <w:right w:val="none" w:sz="0" w:space="0" w:color="auto"/>
      </w:divBdr>
    </w:div>
    <w:div w:id="1618833691">
      <w:bodyDiv w:val="1"/>
      <w:marLeft w:val="0"/>
      <w:marRight w:val="0"/>
      <w:marTop w:val="0"/>
      <w:marBottom w:val="0"/>
      <w:divBdr>
        <w:top w:val="none" w:sz="0" w:space="0" w:color="auto"/>
        <w:left w:val="none" w:sz="0" w:space="0" w:color="auto"/>
        <w:bottom w:val="none" w:sz="0" w:space="0" w:color="auto"/>
        <w:right w:val="none" w:sz="0" w:space="0" w:color="auto"/>
      </w:divBdr>
    </w:div>
    <w:div w:id="1655061101">
      <w:bodyDiv w:val="1"/>
      <w:marLeft w:val="0"/>
      <w:marRight w:val="0"/>
      <w:marTop w:val="0"/>
      <w:marBottom w:val="0"/>
      <w:divBdr>
        <w:top w:val="none" w:sz="0" w:space="0" w:color="auto"/>
        <w:left w:val="none" w:sz="0" w:space="0" w:color="auto"/>
        <w:bottom w:val="none" w:sz="0" w:space="0" w:color="auto"/>
        <w:right w:val="none" w:sz="0" w:space="0" w:color="auto"/>
      </w:divBdr>
    </w:div>
    <w:div w:id="1877699217">
      <w:bodyDiv w:val="1"/>
      <w:marLeft w:val="0"/>
      <w:marRight w:val="0"/>
      <w:marTop w:val="0"/>
      <w:marBottom w:val="0"/>
      <w:divBdr>
        <w:top w:val="none" w:sz="0" w:space="0" w:color="auto"/>
        <w:left w:val="none" w:sz="0" w:space="0" w:color="auto"/>
        <w:bottom w:val="none" w:sz="0" w:space="0" w:color="auto"/>
        <w:right w:val="none" w:sz="0" w:space="0" w:color="auto"/>
      </w:divBdr>
      <w:divsChild>
        <w:div w:id="1389572969">
          <w:marLeft w:val="0"/>
          <w:marRight w:val="0"/>
          <w:marTop w:val="0"/>
          <w:marBottom w:val="0"/>
          <w:divBdr>
            <w:top w:val="none" w:sz="0" w:space="0" w:color="auto"/>
            <w:left w:val="none" w:sz="0" w:space="0" w:color="auto"/>
            <w:bottom w:val="none" w:sz="0" w:space="0" w:color="auto"/>
            <w:right w:val="none" w:sz="0" w:space="0" w:color="auto"/>
          </w:divBdr>
        </w:div>
        <w:div w:id="120000268">
          <w:marLeft w:val="0"/>
          <w:marRight w:val="0"/>
          <w:marTop w:val="0"/>
          <w:marBottom w:val="0"/>
          <w:divBdr>
            <w:top w:val="none" w:sz="0" w:space="0" w:color="auto"/>
            <w:left w:val="none" w:sz="0" w:space="0" w:color="auto"/>
            <w:bottom w:val="none" w:sz="0" w:space="0" w:color="auto"/>
            <w:right w:val="none" w:sz="0" w:space="0" w:color="auto"/>
          </w:divBdr>
        </w:div>
        <w:div w:id="1565414058">
          <w:marLeft w:val="0"/>
          <w:marRight w:val="0"/>
          <w:marTop w:val="0"/>
          <w:marBottom w:val="0"/>
          <w:divBdr>
            <w:top w:val="none" w:sz="0" w:space="0" w:color="auto"/>
            <w:left w:val="none" w:sz="0" w:space="0" w:color="auto"/>
            <w:bottom w:val="none" w:sz="0" w:space="0" w:color="auto"/>
            <w:right w:val="none" w:sz="0" w:space="0" w:color="auto"/>
          </w:divBdr>
        </w:div>
        <w:div w:id="1573739885">
          <w:marLeft w:val="0"/>
          <w:marRight w:val="0"/>
          <w:marTop w:val="0"/>
          <w:marBottom w:val="0"/>
          <w:divBdr>
            <w:top w:val="none" w:sz="0" w:space="0" w:color="auto"/>
            <w:left w:val="none" w:sz="0" w:space="0" w:color="auto"/>
            <w:bottom w:val="none" w:sz="0" w:space="0" w:color="auto"/>
            <w:right w:val="none" w:sz="0" w:space="0" w:color="auto"/>
          </w:divBdr>
        </w:div>
        <w:div w:id="1607275569">
          <w:marLeft w:val="0"/>
          <w:marRight w:val="0"/>
          <w:marTop w:val="0"/>
          <w:marBottom w:val="0"/>
          <w:divBdr>
            <w:top w:val="none" w:sz="0" w:space="0" w:color="auto"/>
            <w:left w:val="none" w:sz="0" w:space="0" w:color="auto"/>
            <w:bottom w:val="none" w:sz="0" w:space="0" w:color="auto"/>
            <w:right w:val="none" w:sz="0" w:space="0" w:color="auto"/>
          </w:divBdr>
        </w:div>
        <w:div w:id="2103601205">
          <w:marLeft w:val="485"/>
          <w:marRight w:val="0"/>
          <w:marTop w:val="0"/>
          <w:marBottom w:val="0"/>
          <w:divBdr>
            <w:top w:val="none" w:sz="0" w:space="0" w:color="auto"/>
            <w:left w:val="none" w:sz="0" w:space="0" w:color="auto"/>
            <w:bottom w:val="none" w:sz="0" w:space="0" w:color="auto"/>
            <w:right w:val="none" w:sz="0" w:space="0" w:color="auto"/>
          </w:divBdr>
        </w:div>
        <w:div w:id="262035933">
          <w:marLeft w:val="485"/>
          <w:marRight w:val="0"/>
          <w:marTop w:val="0"/>
          <w:marBottom w:val="0"/>
          <w:divBdr>
            <w:top w:val="none" w:sz="0" w:space="0" w:color="auto"/>
            <w:left w:val="none" w:sz="0" w:space="0" w:color="auto"/>
            <w:bottom w:val="none" w:sz="0" w:space="0" w:color="auto"/>
            <w:right w:val="none" w:sz="0" w:space="0" w:color="auto"/>
          </w:divBdr>
        </w:div>
        <w:div w:id="1546017369">
          <w:marLeft w:val="0"/>
          <w:marRight w:val="0"/>
          <w:marTop w:val="0"/>
          <w:marBottom w:val="0"/>
          <w:divBdr>
            <w:top w:val="none" w:sz="0" w:space="0" w:color="auto"/>
            <w:left w:val="none" w:sz="0" w:space="0" w:color="auto"/>
            <w:bottom w:val="none" w:sz="0" w:space="0" w:color="auto"/>
            <w:right w:val="none" w:sz="0" w:space="0" w:color="auto"/>
          </w:divBdr>
        </w:div>
        <w:div w:id="1672415196">
          <w:marLeft w:val="0"/>
          <w:marRight w:val="0"/>
          <w:marTop w:val="0"/>
          <w:marBottom w:val="0"/>
          <w:divBdr>
            <w:top w:val="none" w:sz="0" w:space="0" w:color="auto"/>
            <w:left w:val="none" w:sz="0" w:space="0" w:color="auto"/>
            <w:bottom w:val="none" w:sz="0" w:space="0" w:color="auto"/>
            <w:right w:val="none" w:sz="0" w:space="0" w:color="auto"/>
          </w:divBdr>
        </w:div>
        <w:div w:id="104035597">
          <w:marLeft w:val="0"/>
          <w:marRight w:val="0"/>
          <w:marTop w:val="0"/>
          <w:marBottom w:val="0"/>
          <w:divBdr>
            <w:top w:val="none" w:sz="0" w:space="0" w:color="auto"/>
            <w:left w:val="none" w:sz="0" w:space="0" w:color="auto"/>
            <w:bottom w:val="none" w:sz="0" w:space="0" w:color="auto"/>
            <w:right w:val="none" w:sz="0" w:space="0" w:color="auto"/>
          </w:divBdr>
        </w:div>
        <w:div w:id="845946383">
          <w:marLeft w:val="0"/>
          <w:marRight w:val="0"/>
          <w:marTop w:val="0"/>
          <w:marBottom w:val="0"/>
          <w:divBdr>
            <w:top w:val="none" w:sz="0" w:space="0" w:color="auto"/>
            <w:left w:val="none" w:sz="0" w:space="0" w:color="auto"/>
            <w:bottom w:val="none" w:sz="0" w:space="0" w:color="auto"/>
            <w:right w:val="none" w:sz="0" w:space="0" w:color="auto"/>
          </w:divBdr>
        </w:div>
        <w:div w:id="4871664">
          <w:marLeft w:val="0"/>
          <w:marRight w:val="0"/>
          <w:marTop w:val="0"/>
          <w:marBottom w:val="0"/>
          <w:divBdr>
            <w:top w:val="none" w:sz="0" w:space="0" w:color="auto"/>
            <w:left w:val="none" w:sz="0" w:space="0" w:color="auto"/>
            <w:bottom w:val="none" w:sz="0" w:space="0" w:color="auto"/>
            <w:right w:val="none" w:sz="0" w:space="0" w:color="auto"/>
          </w:divBdr>
        </w:div>
        <w:div w:id="632103783">
          <w:marLeft w:val="0"/>
          <w:marRight w:val="0"/>
          <w:marTop w:val="0"/>
          <w:marBottom w:val="0"/>
          <w:divBdr>
            <w:top w:val="none" w:sz="0" w:space="0" w:color="auto"/>
            <w:left w:val="none" w:sz="0" w:space="0" w:color="auto"/>
            <w:bottom w:val="none" w:sz="0" w:space="0" w:color="auto"/>
            <w:right w:val="none" w:sz="0" w:space="0" w:color="auto"/>
          </w:divBdr>
        </w:div>
        <w:div w:id="856315156">
          <w:marLeft w:val="0"/>
          <w:marRight w:val="0"/>
          <w:marTop w:val="0"/>
          <w:marBottom w:val="0"/>
          <w:divBdr>
            <w:top w:val="none" w:sz="0" w:space="0" w:color="auto"/>
            <w:left w:val="none" w:sz="0" w:space="0" w:color="auto"/>
            <w:bottom w:val="none" w:sz="0" w:space="0" w:color="auto"/>
            <w:right w:val="none" w:sz="0" w:space="0" w:color="auto"/>
          </w:divBdr>
        </w:div>
        <w:div w:id="672223979">
          <w:marLeft w:val="0"/>
          <w:marRight w:val="0"/>
          <w:marTop w:val="0"/>
          <w:marBottom w:val="0"/>
          <w:divBdr>
            <w:top w:val="none" w:sz="0" w:space="0" w:color="auto"/>
            <w:left w:val="none" w:sz="0" w:space="0" w:color="auto"/>
            <w:bottom w:val="none" w:sz="0" w:space="0" w:color="auto"/>
            <w:right w:val="none" w:sz="0" w:space="0" w:color="auto"/>
          </w:divBdr>
        </w:div>
        <w:div w:id="664170258">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webSettings>
</file>

<file path=word/_rels/document.xml.rels>&#65279;<?xml version="1.0" encoding="utf-8"?><Relationships xmlns="http://schemas.openxmlformats.org/package/2006/relationships"><Relationship Type="http://schemas.openxmlformats.org/officeDocument/2006/relationships/hyperlink" Target="Exhibit:https://www.sec.gov/Archives/edgar/data/1561566/000119312513161884/d426593dex42.htm" TargetMode="External" Id="rId13" /><Relationship Type="http://schemas.openxmlformats.org/officeDocument/2006/relationships/hyperlink" Target="Exhibit:qiwi_Ex8_1" TargetMode="External" Id="rId18" /><Relationship Type="http://schemas.openxmlformats.org/officeDocument/2006/relationships/footer" Target="footer2.xml" Id="rId26" /><Relationship Type="http://schemas.openxmlformats.org/officeDocument/2006/relationships/header" Target="header10.xml" Id="rId39" /><Relationship Type="http://schemas.openxmlformats.org/officeDocument/2006/relationships/hyperlink" Target="Exhibit:qiwi_Ex13_1" TargetMode="External" Id="rId21" /><Relationship Type="http://schemas.openxmlformats.org/officeDocument/2006/relationships/header" Target="header7.xml" Id="rId34" /><Relationship Type="http://schemas.openxmlformats.org/officeDocument/2006/relationships/footer" Target="footer9.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Exhibit:https://www.sec.gov/Archives/edgar/data/1561566/000119312513369366/d595020dex45.htm" TargetMode="External" Id="rId16" /><Relationship Type="http://schemas.openxmlformats.org/officeDocument/2006/relationships/footer" Target="footer4.xml" Id="rId29" /><Relationship Type="http://schemas.openxmlformats.org/officeDocument/2006/relationships/footnotes" Target="footnotes.xml" Id="rId6" /><Relationship Type="http://schemas.openxmlformats.org/officeDocument/2006/relationships/hyperlink" Target="Exhibit:qiwi_Ex1_1" TargetMode="External" Id="rId11" /><Relationship Type="http://schemas.openxmlformats.org/officeDocument/2006/relationships/hyperlink" Target="Exhibit:qiwi_Ex16_1" TargetMode="External" Id="rId24" /><Relationship Type="http://schemas.openxmlformats.org/officeDocument/2006/relationships/header" Target="header6.xml" Id="rId32" /><Relationship Type="http://schemas.openxmlformats.org/officeDocument/2006/relationships/header" Target="header9.xml" Id="rId37" /><Relationship Type="http://schemas.openxmlformats.org/officeDocument/2006/relationships/header" Target="header11.xml" Id="rId40" /><Relationship Type="http://schemas.openxmlformats.org/officeDocument/2006/relationships/glossaryDocument" Target="glossary/document.xml" Id="rId45" /><Relationship Type="http://schemas.openxmlformats.org/officeDocument/2006/relationships/webSettings" Target="webSettings.xml" Id="rId5" /><Relationship Type="http://schemas.openxmlformats.org/officeDocument/2006/relationships/hyperlink" Target="Exhibit:qiwi_Ex2_4" TargetMode="External" Id="rId15" /><Relationship Type="http://schemas.openxmlformats.org/officeDocument/2006/relationships/hyperlink" Target="Exhibit:qiwi_Ex15_2" TargetMode="External" Id="rId23" /><Relationship Type="http://schemas.openxmlformats.org/officeDocument/2006/relationships/footer" Target="footer3.xml" Id="rId28" /><Relationship Type="http://schemas.openxmlformats.org/officeDocument/2006/relationships/header" Target="header8.xml" Id="rId36" /><Relationship Type="http://schemas.openxmlformats.org/officeDocument/2006/relationships/footer" Target="footer1.xml" Id="rId10" /><Relationship Type="http://schemas.openxmlformats.org/officeDocument/2006/relationships/hyperlink" Target="Exhibit:qiwi_Ex12_1" TargetMode="External" Id="rId19" /><Relationship Type="http://schemas.openxmlformats.org/officeDocument/2006/relationships/header" Target="header5.xml" Id="rId31" /><Relationship Type="http://schemas.openxmlformats.org/officeDocument/2006/relationships/fontTable" Target="fontTable.xml" Id="rId44"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Exhibit:https://www.sec.gov/Archives/edgar/data/1561566/000119312513161884/d426593dex43.htm" TargetMode="External" Id="rId14" /><Relationship Type="http://schemas.openxmlformats.org/officeDocument/2006/relationships/hyperlink" Target="Exhibit:qiwi_Ex15_1" TargetMode="External" Id="rId22" /><Relationship Type="http://schemas.openxmlformats.org/officeDocument/2006/relationships/header" Target="header4.xml" Id="rId27" /><Relationship Type="http://schemas.openxmlformats.org/officeDocument/2006/relationships/footer" Target="footer5.xml" Id="rId30" /><Relationship Type="http://schemas.openxmlformats.org/officeDocument/2006/relationships/footer" Target="footer7.xml" Id="rId35" /><Relationship Type="http://schemas.openxmlformats.org/officeDocument/2006/relationships/footer" Target="footer10.xml" Id="rId43" /><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hyperlink" Target="Exhibit:https://www.sec.gov/Archives/edgar/data/1561566/000119312513161884/d426593dex43.htm" TargetMode="External" Id="rId12" /><Relationship Type="http://schemas.openxmlformats.org/officeDocument/2006/relationships/hyperlink" Target="Exhibit:https://www.sec.gov/Archives/edgar/data/1561566/000110465922053557/qiwi-20211231xex4d3.htm" TargetMode="External" Id="rId17" /><Relationship Type="http://schemas.openxmlformats.org/officeDocument/2006/relationships/header" Target="header3.xml" Id="rId25" /><Relationship Type="http://schemas.openxmlformats.org/officeDocument/2006/relationships/footer" Target="footer6.xml" Id="rId33" /><Relationship Type="http://schemas.openxmlformats.org/officeDocument/2006/relationships/footer" Target="footer8.xml" Id="rId38" /><Relationship Type="http://schemas.openxmlformats.org/officeDocument/2006/relationships/theme" Target="theme/theme1.xml" Id="rId46" /><Relationship Type="http://schemas.openxmlformats.org/officeDocument/2006/relationships/hyperlink" Target="Exhibit:qiwi_Ex12_2" TargetMode="External" Id="rId20" /><Relationship Type="http://schemas.openxmlformats.org/officeDocument/2006/relationships/header" Target="header12.xml" Id="rId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E72B2F0-61EE-45F6-9349-8F8929562A51}"/>
      </w:docPartPr>
      <w:docPartBody>
        <w:p w:rsidR="005922F6" w:rsidRDefault="00444009">
          <w:r>
            <w:rPr>
              <w:rStyle w:val="PlaceholderText"/>
            </w:rPr>
            <w:t>Click or tap here to enter text.</w:t>
          </w:r>
        </w:p>
      </w:docPartBody>
    </w:docPart>
    <w:docPart>
      <w:docPartPr>
        <w:name w:val="1BCE3678F4A14AB9BE71F5DDAA463B77"/>
        <w:category>
          <w:name w:val="General"/>
          <w:gallery w:val="placeholder"/>
        </w:category>
        <w:types>
          <w:type w:val="bbPlcHdr"/>
        </w:types>
        <w:behaviors>
          <w:behavior w:val="content"/>
        </w:behaviors>
        <w:guid w:val="{A9E4202F-96C0-47BC-8CB0-A6EA8C835100}"/>
      </w:docPartPr>
      <w:docPartBody>
        <w:p w:rsidR="005922F6" w:rsidRDefault="00444009">
          <w:r>
            <w:rPr>
              <w:rStyle w:val="PlaceholderText"/>
            </w:rPr>
            <w:t>35. Events after the reporting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ヒラギノ角ゴ Pro W3">
    <w:altName w:val="Calibri"/>
    <w:charset w:val="4E"/>
    <w:family w:val="auto"/>
    <w:pitch w:val="variable"/>
    <w:sig w:usb0="E00002FF" w:usb1="7AC7FFFF" w:usb2="00000012" w:usb3="00000000" w:csb0="0002000D"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F6"/>
    <w:rsid w:val="00444009"/>
    <w:rsid w:val="005922F6"/>
    <w:rsid w:val="007350F7"/>
    <w:rsid w:val="007C4231"/>
    <w:rsid w:val="00C67E1F"/>
    <w:rsid w:val="00DF35C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heme="minorHAnsi" w:hAnsiTheme="minorHAnsi" w:cstheme="minorHAnsi"/>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149690</Words>
  <Characters>811324</Characters>
  <Application>Microsoft Office Word</Application>
  <DocSecurity>0</DocSecurity>
  <Lines>21927</Lines>
  <Paragraphs>8736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Subramani, Menaka</dc:creator>
  <cp:lastModifiedBy/>
  <cp:revision>1</cp:revision>
  <dcterms:created xsi:type="dcterms:W3CDTF">2023-03-30T13:52:00Z</dcterms:created>
  <dcterms:modified xsi:type="dcterms:W3CDTF">2023-03-31T11:45:00Z</dcterms:modified>
</cp:coreProperties>
</file>