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6422" w:hAnchor="page" w:vAnchor="page" w:x="276" w:y="82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winding-down of Rocketbank and sale of the SOVEST project.</w:t>
      </w:r>
    </w:p>
    <w:p>
      <w:pPr>
        <w:pStyle w:val="Normal"/>
        <w:framePr w:w="14312" w:hAnchor="page" w:vAnchor="page" w:x="276" w:y="80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certain selling, general and administrative expenses as well as personnel expenses primarily related to the divestitures of loss making projects, including</w:t>
      </w:r>
    </w:p>
    <w:p>
      <w:pPr>
        <w:pStyle w:val="Normal"/>
        <w:framePr w:w="14108" w:hAnchor="page" w:vAnchor="page" w:x="276" w:y="77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EBITDA expected year-over-year increase at the midpoint of 43.3% was primarily driven by the net revenue growth as well as a decrease in</w:t>
      </w:r>
    </w:p>
    <w:p>
      <w:pPr>
        <w:pStyle w:val="Normal"/>
        <w:framePr w:w="12455" w:hAnchor="page" w:vAnchor="page" w:x="276" w:y="73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services market vertical due to temporary shutdown of our retail distribution partners resulting from lockdown restrictions.</w:t>
      </w:r>
    </w:p>
    <w:p>
      <w:pPr>
        <w:pStyle w:val="Normal"/>
        <w:framePr w:w="13791" w:hAnchor="page" w:vAnchor="page" w:x="276" w:y="71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numerous major sporting events, a drop in money remittance primarily due to a decline in various self-employed payment streams and a decline in</w:t>
      </w:r>
    </w:p>
    <w:p>
      <w:pPr>
        <w:pStyle w:val="Normal"/>
        <w:framePr w:w="13617" w:hAnchor="page" w:vAnchor="page" w:x="276" w:y="68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various countries around the world, including for example a temporary decline of revenues from our betting merchants due to the cancellation of</w:t>
      </w:r>
    </w:p>
    <w:p>
      <w:pPr>
        <w:pStyle w:val="Normal"/>
        <w:framePr w:w="14294" w:hAnchor="page" w:vAnchor="page" w:x="276" w:y="66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revenue growth in most of our categories was negatively affected by the outbreak of the COVID-19 strain of coronavirus and associated responses from</w:t>
      </w:r>
    </w:p>
    <w:p>
      <w:pPr>
        <w:pStyle w:val="Normal"/>
        <w:framePr w:w="13928" w:hAnchor="page" w:vAnchor="page" w:x="276" w:y="64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services net revenue yield resulting from a change in the product mix and offset by slight decrease of the payment volume. Payment volume and net</w:t>
      </w:r>
    </w:p>
    <w:p>
      <w:pPr>
        <w:pStyle w:val="Normal"/>
        <w:framePr w:w="13678" w:hAnchor="page" w:vAnchor="page" w:x="276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expected year-over-year increase at the midpoint of 3.7% was primarily driven by the increase in payment</w:t>
      </w:r>
    </w:p>
    <w:p>
      <w:pPr>
        <w:pStyle w:val="Normal"/>
        <w:framePr w:w="10038" w:hAnchor="page" w:vAnchor="page" w:x="276" w:y="57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revenue, Consumer Financial Services segment net revenue and corporate and other category net revenue.</w:t>
      </w:r>
    </w:p>
    <w:p>
      <w:pPr>
        <w:pStyle w:val="Normal"/>
        <w:framePr w:w="13643" w:hAnchor="page" w:vAnchor="page" w:x="276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program, which used to substantially increase the cost of revenue of the Rocketbank segment, as well as growth in payment services segment net</w:t>
      </w:r>
    </w:p>
    <w:p>
      <w:pPr>
        <w:pStyle w:val="Normal"/>
        <w:framePr w:w="14318" w:hAnchor="page" w:vAnchor="page" w:x="276" w:y="52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segment net revenue driven by the measures we took as part of the Rocketbank wind-down process, including the termination of the Rocketbank loyalty</w:t>
      </w:r>
    </w:p>
    <w:p>
      <w:pPr>
        <w:pStyle w:val="Normal"/>
        <w:framePr w:w="13901" w:hAnchor="page" w:vAnchor="page" w:x="276" w:y="50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Total net revenue expected year-over-year increase at the midpoint of 20.8% was primarily driven by the significant one-off increase in Rocketbank</w:t>
      </w:r>
    </w:p>
    <w:p>
      <w:pPr>
        <w:pStyle w:val="Normal"/>
        <w:framePr w:w="13438" w:hAnchor="page" w:vAnchor="page" w:x="276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accounts. We are unable to determine what the impact of various items subject to management judgment will be on such financial information.</w:t>
      </w:r>
    </w:p>
    <w:p>
      <w:pPr>
        <w:pStyle w:val="Normal"/>
        <w:framePr w:w="14266" w:hAnchor="page" w:vAnchor="page" w:x="276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EBITDA information presented below are not final because we are still in the process of verifying our internally collected data and closing our</w:t>
      </w:r>
    </w:p>
    <w:p>
      <w:pPr>
        <w:pStyle w:val="Normal"/>
        <w:framePr w:w="14272" w:hAnchor="page" w:vAnchor="page" w:x="276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period are solely management estimates based on currently available information. The total net revenue, payment services segment net revenue and</w:t>
      </w:r>
    </w:p>
    <w:p>
      <w:pPr>
        <w:pStyle w:val="Normal"/>
        <w:framePr w:w="14260" w:hAnchor="page" w:vAnchor="page" w:x="276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understanding of the trends that we experienced during the second quarter ended June 30, 2020. The following expectations regarding our results for</w:t>
      </w:r>
    </w:p>
    <w:p>
      <w:pPr>
        <w:pStyle w:val="Normal"/>
        <w:framePr w:w="14261" w:hAnchor="page" w:vAnchor="page" w:x="276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estimated financial results for the three months ending June 30, 2020. We believe that the preliminary operating segment data presented below provides</w:t>
      </w:r>
    </w:p>
    <w:p>
      <w:pPr>
        <w:pStyle w:val="Normal"/>
        <w:framePr w:w="13503" w:hAnchor="page" w:vAnchor="page" w:x="276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Cyprus, July 21, 2020 ([GLOBE NEWSWIRE]) — QIWI plc (Nasdaq:QIWI) (“QIWI” or the “Company”) provided its preliminary</w:t>
      </w:r>
    </w:p>
    <w:p>
      <w:pPr>
        <w:pStyle w:val="Normal"/>
        <w:framePr w:w="3214" w:hAnchor="page" w:vAnchor="page" w:x="276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Provides Preliminary</w:t>
      </w:r>
    </w:p>
    <w:p>
      <w:pPr>
        <w:pStyle w:val="Normal"/>
        <w:framePr w:w="5112" w:hAnchor="page" w:vAnchor="page" w:x="2475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Financial Results for the Second Quarter of 2020</w:t>
      </w:r>
    </w:p>
    <w:p>
      <w:pPr>
        <w:pStyle w:val="Normal"/>
        <w:framePr w:w="8507" w:hAnchor="page" w:vAnchor="page" w:x="276" w:y="2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Class B shares may be obtained by visiting EDGAR on the SEC website at www.sec.gov.</w:t>
      </w:r>
    </w:p>
    <w:p>
      <w:pPr>
        <w:pStyle w:val="Normal"/>
        <w:framePr w:w="13793" w:hAnchor="page" w:vAnchor="page" w:x="276" w:y="22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preliminary prospectus supplement and the accompanying prospectus relating to the proposed offering of American depositary shares representing</w:t>
      </w:r>
    </w:p>
    <w:p>
      <w:pPr>
        <w:pStyle w:val="Normal"/>
        <w:framePr w:w="13304" w:hAnchor="page" w:vAnchor="page" w:x="276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the preliminary prospectus supplement filed with the Securities and Exchange Commission (the “SEC”) on July 20, 2020. A copy of the</w:t>
      </w:r>
    </w:p>
    <w:p>
      <w:pPr>
        <w:pStyle w:val="Normal"/>
        <w:framePr w:w="14172" w:hAnchor="page" w:vAnchor="page" w:x="276" w:y="17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free writing prospectus relates to the offering of American depositary shares representing Class B shares of QIWI Plc and should be read together</w:t>
      </w:r>
    </w:p>
    <w:p>
      <w:pPr>
        <w:pStyle w:val="Normal"/>
        <w:framePr w:w="2130" w:hAnchor="page" w:vAnchor="page" w:x="276" w:y="13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Issued July 21, 2020</w:t>
      </w:r>
    </w:p>
    <w:p>
      <w:pPr>
        <w:pStyle w:val="Normal"/>
        <w:framePr w:w="3023" w:hAnchor="page" w:vAnchor="page" w:x="9751" w:y="8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Registration No. 333-235239</w:t>
      </w:r>
    </w:p>
    <w:p>
      <w:pPr>
        <w:pStyle w:val="Normal"/>
        <w:framePr w:w="2863" w:hAnchor="page" w:vAnchor="page" w:x="9884" w:y="6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Filed pursuant to Rule 433</w:t>
      </w:r>
    </w:p>
    <w:p>
      <w:pPr>
        <w:pStyle w:val="Normal"/>
        <w:framePr w:w="2910" w:hAnchor="page" w:vAnchor="page" w:x="6523" w:y="3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Relating to Preliminary</w:t>
      </w:r>
    </w:p>
    <w:p>
      <w:pPr>
        <w:pStyle w:val="Normal"/>
        <w:framePr w:w="4042" w:hAnchor="page" w:vAnchor="page" w:x="8468" w:y="3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Prospectus Supplement dated July</w:t>
      </w:r>
    </w:p>
    <w:p>
      <w:pPr>
        <w:pStyle w:val="Normal"/>
        <w:framePr w:w="1096" w:hAnchor="page" w:vAnchor="page" w:x="11357" w:y="3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20, 2020</w:t>
      </w:r>
    </w:p>
    <w:p>
      <w:pPr>
        <w:pStyle w:val="Normal"/>
        <w:framePr w:w="3306" w:hAnchor="page" w:vAnchor="page" w:x="9515" w:y="1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Issuer Free Writing Prospectus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344" w:hAnchor="page" w:vAnchor="page" w:x="6130" w:y="9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14138" w:hAnchor="page" w:vAnchor="page" w:x="276" w:y="90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Solutions, 1155 Long Island Avenue, Edgewood, NY 11717, by telephone at 866-803-9204 or by email at prospectus-eq_fi@jpmchase.com.</w:t>
      </w:r>
    </w:p>
    <w:p>
      <w:pPr>
        <w:pStyle w:val="Normal"/>
        <w:framePr w:w="14021" w:hAnchor="page" w:vAnchor="page" w:x="276" w:y="8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electronic copies of the final prospectus supplement relating to the public offering may be obtained from J.P. Morgan Securities LLC, c/o Broadridge</w:t>
      </w:r>
    </w:p>
    <w:p>
      <w:pPr>
        <w:pStyle w:val="Normal"/>
        <w:framePr w:w="13598" w:hAnchor="page" w:vAnchor="page" w:x="276" w:y="86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supplement relating to the offering was filed with the SEC and is available for free on the SEC’s website at http://www.sec.gov. When available,</w:t>
      </w:r>
    </w:p>
    <w:p>
      <w:pPr>
        <w:pStyle w:val="Normal"/>
        <w:framePr w:w="13758" w:hAnchor="page" w:vAnchor="page" w:x="276" w:y="84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 about the Company and this offering. The offering will be made only by means of a prospectus supplement. A preliminary prospectus</w:t>
      </w:r>
    </w:p>
    <w:p>
      <w:pPr>
        <w:pStyle w:val="Normal"/>
        <w:framePr w:w="13638" w:hAnchor="page" w:vAnchor="page" w:x="276" w:y="81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registration statement and other documents the issuer has filed with the SEC including the preliminary prospectus supplement for more complete</w:t>
      </w:r>
    </w:p>
    <w:p>
      <w:pPr>
        <w:pStyle w:val="Normal"/>
        <w:framePr w:w="13479" w:hAnchor="page" w:vAnchor="page" w:x="276" w:y="79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Commission on November 25, 2019, and was declared effective on January 27, 2020. Before you invest, you should read the prospectus in that</w:t>
      </w:r>
    </w:p>
    <w:p>
      <w:pPr>
        <w:pStyle w:val="Normal"/>
        <w:framePr w:w="14147" w:hAnchor="page" w:vAnchor="page" w:x="276" w:y="77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shelf registration statement, including a prospectus, relating to the shares being sold in this offering was filed with the U.S. Securities and Exchange</w:t>
      </w:r>
    </w:p>
    <w:p>
      <w:pPr>
        <w:pStyle w:val="Normal"/>
        <w:framePr w:w="8766" w:hAnchor="page" w:vAnchor="page" w:x="276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to review our financial information in its entirety and not rely on a single financial measure.</w:t>
      </w:r>
    </w:p>
    <w:p>
      <w:pPr>
        <w:pStyle w:val="Normal"/>
        <w:framePr w:w="14301" w:hAnchor="page" w:vAnchor="page" w:x="276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to varying calculations and may not be comparable to other similarly titled measures presented by other companies. We encourage investors and others</w:t>
      </w:r>
    </w:p>
    <w:p>
      <w:pPr>
        <w:pStyle w:val="Normal"/>
        <w:framePr w:w="14293" w:hAnchor="page" w:vAnchor="page" w:x="276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prepared in accordance with IFRS. Furthermore, because such non-IFRS financial measure is not determined in accordance with IFRS, it is susceptible</w:t>
      </w:r>
    </w:p>
    <w:p>
      <w:pPr>
        <w:pStyle w:val="Normal"/>
        <w:framePr w:w="14291" w:hAnchor="page" w:vAnchor="page" w:x="276" w:y="65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most directly comparable IFRS measure. You should not consider such non-IFRS financial measure as a substitute for or being superior to net profit, as</w:t>
      </w:r>
    </w:p>
    <w:p>
      <w:pPr>
        <w:pStyle w:val="Normal"/>
        <w:framePr w:w="14223" w:hAnchor="page" w:vAnchor="page" w:x="276" w:y="63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Adjusted EBITDA is not a financial measure calculated under IFRS. See the table above for a reconciliation of such non-IFRS financial measure to the</w:t>
      </w:r>
    </w:p>
    <w:p>
      <w:pPr>
        <w:pStyle w:val="Normal"/>
        <w:framePr w:w="10336" w:hAnchor="page" w:vAnchor="page" w:x="276" w:y="58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data and, accordingly, does not express an opinion or any other form of assurance with respect to these data.</w:t>
      </w:r>
    </w:p>
    <w:p>
      <w:pPr>
        <w:pStyle w:val="Normal"/>
        <w:framePr w:w="14086" w:hAnchor="page" w:vAnchor="page" w:x="276" w:y="56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Our independent registered public accounting firm has not audited, reviewed or performed any procedures with respect to these preliminary financial</w:t>
      </w:r>
    </w:p>
    <w:p>
      <w:pPr>
        <w:pStyle w:val="Normal"/>
        <w:framePr w:w="21" w:hAnchor="page" w:vAnchor="page" w:x="5925" w:y="538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7718" w:y="538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9425" w:y="538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073" w:hAnchor="page" w:vAnchor="page" w:x="1223" w:y="5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Adjusted EBITDA</w:t>
      </w:r>
    </w:p>
    <w:p>
      <w:pPr>
        <w:pStyle w:val="Normal"/>
        <w:framePr w:w="21" w:hAnchor="page" w:vAnchor="page" w:x="5925" w:y="509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7169" w:y="5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3,533</w:t>
      </w:r>
    </w:p>
    <w:p>
      <w:pPr>
        <w:pStyle w:val="Normal"/>
        <w:framePr w:w="21" w:hAnchor="page" w:vAnchor="page" w:x="7718" w:y="509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876" w:y="5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4,033</w:t>
      </w:r>
    </w:p>
    <w:p>
      <w:pPr>
        <w:pStyle w:val="Normal"/>
        <w:framePr w:w="21" w:hAnchor="page" w:vAnchor="page" w:x="9425" w:y="509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0583" w:y="5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2,639</w:t>
      </w:r>
    </w:p>
    <w:p>
      <w:pPr>
        <w:pStyle w:val="Normal"/>
        <w:framePr w:w="3813" w:hAnchor="page" w:vAnchor="page" w:x="1223" w:y="48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SOVEST portfolio for sale revaluation</w:t>
      </w:r>
    </w:p>
    <w:p>
      <w:pPr>
        <w:pStyle w:val="Normal"/>
        <w:framePr w:w="344" w:hAnchor="page" w:vAnchor="page" w:x="5925" w:y="48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29" w:hAnchor="page" w:vAnchor="page" w:x="7314" w:y="48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755    </w:t>
      </w:r>
    </w:p>
    <w:p>
      <w:pPr>
        <w:pStyle w:val="Normal"/>
        <w:framePr w:w="829" w:hAnchor="page" w:vAnchor="page" w:x="9021" w:y="48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555    </w:t>
      </w:r>
    </w:p>
    <w:p>
      <w:pPr>
        <w:pStyle w:val="Normal"/>
        <w:framePr w:w="633" w:hAnchor="page" w:vAnchor="page" w:x="10728" w:y="48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3292" w:hAnchor="page" w:vAnchor="page" w:x="1223" w:y="46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Impairment of non-current assets</w:t>
      </w:r>
    </w:p>
    <w:p>
      <w:pPr>
        <w:pStyle w:val="Normal"/>
        <w:framePr w:w="344" w:hAnchor="page" w:vAnchor="page" w:x="5925" w:y="46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29" w:hAnchor="page" w:vAnchor="page" w:x="7314" w:y="46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244    </w:t>
      </w:r>
    </w:p>
    <w:p>
      <w:pPr>
        <w:pStyle w:val="Normal"/>
        <w:framePr w:w="714" w:hAnchor="page" w:vAnchor="page" w:x="9117" w:y="46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94    </w:t>
      </w:r>
    </w:p>
    <w:p>
      <w:pPr>
        <w:pStyle w:val="Normal"/>
        <w:framePr w:w="633" w:hAnchor="page" w:vAnchor="page" w:x="10728" w:y="46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3344" w:hAnchor="page" w:vAnchor="page" w:x="1223" w:y="43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income and expenses, net</w:t>
      </w:r>
    </w:p>
    <w:p>
      <w:pPr>
        <w:pStyle w:val="Normal"/>
        <w:framePr w:w="344" w:hAnchor="page" w:vAnchor="page" w:x="5925" w:y="43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14" w:hAnchor="page" w:vAnchor="page" w:x="7410" w:y="43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38    </w:t>
      </w:r>
    </w:p>
    <w:p>
      <w:pPr>
        <w:pStyle w:val="Normal"/>
        <w:framePr w:w="714" w:hAnchor="page" w:vAnchor="page" w:x="9117" w:y="43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28    </w:t>
      </w:r>
    </w:p>
    <w:p>
      <w:pPr>
        <w:pStyle w:val="Normal"/>
        <w:framePr w:w="555" w:hAnchor="page" w:vAnchor="page" w:x="10856" w:y="43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(4) </w:t>
      </w:r>
    </w:p>
    <w:p>
      <w:pPr>
        <w:pStyle w:val="Normal"/>
        <w:framePr w:w="5246" w:hAnchor="page" w:vAnchor="page" w:x="1223" w:y="41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 of loss/(gain) of an associate and a joint venture</w:t>
      </w:r>
    </w:p>
    <w:p>
      <w:pPr>
        <w:pStyle w:val="Normal"/>
        <w:framePr w:w="344" w:hAnchor="page" w:vAnchor="page" w:x="5925" w:y="41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07" w:hAnchor="page" w:vAnchor="page" w:x="7249" w:y="41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(129)   </w:t>
      </w:r>
    </w:p>
    <w:p>
      <w:pPr>
        <w:pStyle w:val="Normal"/>
        <w:framePr w:w="791" w:hAnchor="page" w:vAnchor="page" w:x="9053" w:y="41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(84)   </w:t>
      </w:r>
    </w:p>
    <w:p>
      <w:pPr>
        <w:pStyle w:val="Normal"/>
        <w:framePr w:w="633" w:hAnchor="page" w:vAnchor="page" w:x="10728" w:y="41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3158" w:hAnchor="page" w:vAnchor="page" w:x="1223" w:y="39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Foreign exchange gain/loss, net</w:t>
      </w:r>
    </w:p>
    <w:p>
      <w:pPr>
        <w:pStyle w:val="Normal"/>
        <w:framePr w:w="344" w:hAnchor="page" w:vAnchor="page" w:x="5925" w:y="39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29" w:hAnchor="page" w:vAnchor="page" w:x="7314" w:y="39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317    </w:t>
      </w:r>
    </w:p>
    <w:p>
      <w:pPr>
        <w:pStyle w:val="Normal"/>
        <w:framePr w:w="829" w:hAnchor="page" w:vAnchor="page" w:x="9021" w:y="39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277    </w:t>
      </w:r>
    </w:p>
    <w:p>
      <w:pPr>
        <w:pStyle w:val="Normal"/>
        <w:framePr w:w="517" w:hAnchor="page" w:vAnchor="page" w:x="10824" w:y="39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58 </w:t>
      </w:r>
    </w:p>
    <w:p>
      <w:pPr>
        <w:pStyle w:val="Normal"/>
        <w:framePr w:w="3177" w:hAnchor="page" w:vAnchor="page" w:x="1223" w:y="3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income and expenses, net</w:t>
      </w:r>
    </w:p>
    <w:p>
      <w:pPr>
        <w:pStyle w:val="Normal"/>
        <w:framePr w:w="344" w:hAnchor="page" w:vAnchor="page" w:x="5925" w:y="3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14" w:hAnchor="page" w:vAnchor="page" w:x="7410" w:y="3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37    </w:t>
      </w:r>
    </w:p>
    <w:p>
      <w:pPr>
        <w:pStyle w:val="Normal"/>
        <w:framePr w:w="675" w:hAnchor="page" w:vAnchor="page" w:x="9149" w:y="3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(8)   </w:t>
      </w:r>
    </w:p>
    <w:p>
      <w:pPr>
        <w:pStyle w:val="Normal"/>
        <w:framePr w:w="671" w:hAnchor="page" w:vAnchor="page" w:x="10760" w:y="3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(14) </w:t>
      </w:r>
    </w:p>
    <w:p>
      <w:pPr>
        <w:pStyle w:val="Normal"/>
        <w:framePr w:w="3196" w:hAnchor="page" w:vAnchor="page" w:x="1223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Share-based payments expenses</w:t>
      </w:r>
    </w:p>
    <w:p>
      <w:pPr>
        <w:pStyle w:val="Normal"/>
        <w:framePr w:w="344" w:hAnchor="page" w:vAnchor="page" w:x="5925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29" w:hAnchor="page" w:vAnchor="page" w:x="7314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   </w:t>
      </w:r>
    </w:p>
    <w:p>
      <w:pPr>
        <w:pStyle w:val="Normal"/>
        <w:framePr w:w="791" w:hAnchor="page" w:vAnchor="page" w:x="9053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(20)   </w:t>
      </w:r>
    </w:p>
    <w:p>
      <w:pPr>
        <w:pStyle w:val="Normal"/>
        <w:framePr w:w="633" w:hAnchor="page" w:vAnchor="page" w:x="10728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157 </w:t>
      </w:r>
    </w:p>
    <w:p>
      <w:pPr>
        <w:pStyle w:val="Normal"/>
        <w:framePr w:w="3042" w:hAnchor="page" w:vAnchor="page" w:x="1223" w:y="3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Depreciation and amortization</w:t>
      </w:r>
    </w:p>
    <w:p>
      <w:pPr>
        <w:pStyle w:val="Normal"/>
        <w:framePr w:w="344" w:hAnchor="page" w:vAnchor="page" w:x="5925" w:y="3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29" w:hAnchor="page" w:vAnchor="page" w:x="7314" w:y="3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351    </w:t>
      </w:r>
    </w:p>
    <w:p>
      <w:pPr>
        <w:pStyle w:val="Normal"/>
        <w:framePr w:w="829" w:hAnchor="page" w:vAnchor="page" w:x="9021" w:y="3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321    </w:t>
      </w:r>
    </w:p>
    <w:p>
      <w:pPr>
        <w:pStyle w:val="Normal"/>
        <w:framePr w:w="633" w:hAnchor="page" w:vAnchor="page" w:x="10728" w:y="3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344 </w:t>
      </w:r>
    </w:p>
    <w:p>
      <w:pPr>
        <w:pStyle w:val="Normal"/>
        <w:framePr w:w="2436" w:hAnchor="page" w:vAnchor="page" w:x="1223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IFRS Profit before tax</w:t>
      </w:r>
    </w:p>
    <w:p>
      <w:pPr>
        <w:pStyle w:val="Normal"/>
        <w:framePr w:w="344" w:hAnchor="page" w:vAnchor="page" w:x="5925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03" w:hAnchor="page" w:vAnchor="page" w:x="7169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1,929 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</w:t>
      </w:r>
    </w:p>
    <w:p>
      <w:pPr>
        <w:pStyle w:val="Normal"/>
        <w:framePr w:w="1003" w:hAnchor="page" w:vAnchor="page" w:x="8876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2,869 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</w:t>
      </w:r>
    </w:p>
    <w:p>
      <w:pPr>
        <w:pStyle w:val="Normal"/>
        <w:framePr w:w="806" w:hAnchor="page" w:vAnchor="page" w:x="10583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2,098 </w:t>
      </w:r>
    </w:p>
    <w:p>
      <w:pPr>
        <w:pStyle w:val="Normal"/>
        <w:framePr w:w="273" w:hAnchor="page" w:vAnchor="page" w:x="5925" w:y="282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653" w:hAnchor="page" w:vAnchor="page" w:x="6914" w:y="282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(Low)</w:t>
      </w:r>
    </w:p>
    <w:p>
      <w:pPr>
        <w:pStyle w:val="Normal"/>
        <w:framePr w:w="273" w:hAnchor="page" w:vAnchor="page" w:x="7718" w:y="282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694" w:hAnchor="page" w:vAnchor="page" w:x="8604" w:y="282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(High)</w:t>
      </w:r>
    </w:p>
    <w:p>
      <w:pPr>
        <w:pStyle w:val="Normal"/>
        <w:framePr w:w="273" w:hAnchor="page" w:vAnchor="page" w:x="9425" w:y="282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50" w:hAnchor="page" w:vAnchor="page" w:x="10371" w:y="282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2019</w:t>
      </w:r>
    </w:p>
    <w:p>
      <w:pPr>
        <w:pStyle w:val="Normal"/>
        <w:framePr w:w="1295" w:hAnchor="page" w:vAnchor="page" w:x="6646" w:y="266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2020 Estimate</w:t>
      </w:r>
    </w:p>
    <w:p>
      <w:pPr>
        <w:pStyle w:val="Normal"/>
        <w:framePr w:w="1295" w:hAnchor="page" w:vAnchor="page" w:x="8353" w:y="266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2020 Estimate</w:t>
      </w:r>
    </w:p>
    <w:p>
      <w:pPr>
        <w:pStyle w:val="Normal"/>
        <w:framePr w:w="1357" w:hAnchor="page" w:vAnchor="page" w:x="10034" w:y="266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ended June 30,</w:t>
      </w:r>
    </w:p>
    <w:p>
      <w:pPr>
        <w:pStyle w:val="Normal"/>
        <w:framePr w:w="1357" w:hAnchor="page" w:vAnchor="page" w:x="6620" w:y="25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ended June 30,</w:t>
      </w:r>
    </w:p>
    <w:p>
      <w:pPr>
        <w:pStyle w:val="Normal"/>
        <w:framePr w:w="1357" w:hAnchor="page" w:vAnchor="page" w:x="8327" w:y="25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ended June 30,</w:t>
      </w:r>
    </w:p>
    <w:p>
      <w:pPr>
        <w:pStyle w:val="Normal"/>
        <w:framePr w:w="1281" w:hAnchor="page" w:vAnchor="page" w:x="10066" w:y="25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</w:t>
      </w:r>
    </w:p>
    <w:p>
      <w:pPr>
        <w:pStyle w:val="Normal"/>
        <w:framePr w:w="1281" w:hAnchor="page" w:vAnchor="page" w:x="6652" w:y="23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</w:t>
      </w:r>
    </w:p>
    <w:p>
      <w:pPr>
        <w:pStyle w:val="Normal"/>
        <w:framePr w:w="1281" w:hAnchor="page" w:vAnchor="page" w:x="8359" w:y="23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</w:t>
      </w:r>
    </w:p>
    <w:p>
      <w:pPr>
        <w:pStyle w:val="Normal"/>
        <w:framePr w:w="5652" w:hAnchor="page" w:vAnchor="page" w:x="276" w:y="18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Reconciliation of IFRS to Non-IFRS Operating Results</w:t>
      </w:r>
    </w:p>
    <w:p>
      <w:pPr>
        <w:pStyle w:val="Normal"/>
        <w:framePr w:w="21" w:hAnchor="page" w:vAnchor="page" w:x="4536" w:y="150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6735" w:y="150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8934" w:y="150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1969" w:hAnchor="page" w:vAnchor="page" w:x="1223" w:y="1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EBITDA</w:t>
      </w:r>
    </w:p>
    <w:p>
      <w:pPr>
        <w:pStyle w:val="Normal"/>
        <w:framePr w:w="21" w:hAnchor="page" w:vAnchor="page" w:x="4536" w:y="121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6243" w:y="1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3,533</w:t>
      </w:r>
    </w:p>
    <w:p>
      <w:pPr>
        <w:pStyle w:val="Normal"/>
        <w:framePr w:w="21" w:hAnchor="page" w:vAnchor="page" w:x="6735" w:y="121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442" w:y="1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4,033</w:t>
      </w:r>
    </w:p>
    <w:p>
      <w:pPr>
        <w:pStyle w:val="Normal"/>
        <w:framePr w:w="21" w:hAnchor="page" w:vAnchor="page" w:x="8934" w:y="121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0641" w:y="1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2,639</w:t>
      </w:r>
    </w:p>
    <w:p>
      <w:pPr>
        <w:pStyle w:val="Normal"/>
        <w:framePr w:w="4006" w:hAnchor="page" w:vAnchor="page" w:x="1223" w:y="9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</w:t>
      </w:r>
    </w:p>
    <w:p>
      <w:pPr>
        <w:pStyle w:val="Normal"/>
        <w:framePr w:w="21" w:hAnchor="page" w:vAnchor="page" w:x="4536" w:y="95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6243" w:y="9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5,283</w:t>
      </w:r>
    </w:p>
    <w:p>
      <w:pPr>
        <w:pStyle w:val="Normal"/>
        <w:framePr w:w="21" w:hAnchor="page" w:vAnchor="page" w:x="6735" w:y="95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442" w:y="9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5,413</w:t>
      </w:r>
    </w:p>
    <w:p>
      <w:pPr>
        <w:pStyle w:val="Normal"/>
        <w:framePr w:w="21" w:hAnchor="page" w:vAnchor="page" w:x="8934" w:y="95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0641" w:y="9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5,158</w:t>
      </w:r>
    </w:p>
    <w:p>
      <w:pPr>
        <w:pStyle w:val="Normal"/>
        <w:framePr w:w="1959" w:hAnchor="page" w:vAnchor="page" w:x="1223" w:y="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Total Net Revenue</w:t>
      </w:r>
    </w:p>
    <w:p>
      <w:pPr>
        <w:pStyle w:val="Normal"/>
        <w:framePr w:w="344" w:hAnchor="page" w:vAnchor="page" w:x="4536" w:y="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6243" w:y="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6,581   </w:t>
      </w:r>
    </w:p>
    <w:p>
      <w:pPr>
        <w:pStyle w:val="Normal"/>
        <w:framePr w:w="934" w:hAnchor="page" w:vAnchor="page" w:x="8442" w:y="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6,861   </w:t>
      </w:r>
    </w:p>
    <w:p>
      <w:pPr>
        <w:pStyle w:val="Normal"/>
        <w:framePr w:w="806" w:hAnchor="page" w:vAnchor="page" w:x="10641" w:y="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5,563 </w:t>
      </w:r>
    </w:p>
    <w:p>
      <w:pPr>
        <w:pStyle w:val="Normal"/>
        <w:framePr w:w="273" w:hAnchor="page" w:vAnchor="page" w:x="4536" w:y="51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398" w:hAnchor="page" w:vAnchor="page" w:x="5490" w:y="51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Estimate (Low)</w:t>
      </w:r>
    </w:p>
    <w:p>
      <w:pPr>
        <w:pStyle w:val="Normal"/>
        <w:framePr w:w="273" w:hAnchor="page" w:vAnchor="page" w:x="6735" w:y="51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39" w:hAnchor="page" w:vAnchor="page" w:x="7671" w:y="51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Estimate (High)</w:t>
      </w:r>
    </w:p>
    <w:p>
      <w:pPr>
        <w:pStyle w:val="Normal"/>
        <w:framePr w:w="273" w:hAnchor="page" w:vAnchor="page" w:x="8934" w:y="51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254" w:hAnchor="page" w:vAnchor="page" w:x="9947" w:y="51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June 30, 2019</w:t>
      </w:r>
    </w:p>
    <w:p>
      <w:pPr>
        <w:pStyle w:val="Normal"/>
        <w:framePr w:w="1254" w:hAnchor="page" w:vAnchor="page" w:x="5549" w:y="35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June 30, 2020</w:t>
      </w:r>
    </w:p>
    <w:p>
      <w:pPr>
        <w:pStyle w:val="Normal"/>
        <w:framePr w:w="1254" w:hAnchor="page" w:vAnchor="page" w:x="7748" w:y="35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June 30, 2020</w:t>
      </w:r>
    </w:p>
    <w:p>
      <w:pPr>
        <w:pStyle w:val="Normal"/>
        <w:framePr w:w="1801" w:hAnchor="page" w:vAnchor="page" w:x="9720" w:y="35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</w:t>
      </w:r>
    </w:p>
    <w:p>
      <w:pPr>
        <w:pStyle w:val="Normal"/>
        <w:framePr w:w="1801" w:hAnchor="page" w:vAnchor="page" w:x="5322" w:y="19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</w:t>
      </w:r>
    </w:p>
    <w:p>
      <w:pPr>
        <w:pStyle w:val="Normal"/>
        <w:framePr w:w="1801" w:hAnchor="page" w:vAnchor="page" w:x="7521" w:y="19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pt;z-index:-167772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2.8pt;margin-top:2.45pt;z-index:-1677720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597.95pt;margin-top:1pt;z-index:-167771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2.8pt;margin-top:1pt;z-index:-167771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60.5pt;margin-top:32.85pt;z-index:-16777188;width:167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26.15pt;margin-top:32.85pt;z-index:-16777184;width:41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265.2pt;margin-top:32.85pt;z-index:-1677718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73.15pt;margin-top:32.85pt;z-index:-16777176;width:62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333.2pt;margin-top:32.85pt;z-index:-1677717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336.1pt;margin-top:32.85pt;z-index:-16777168;width:41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375.15pt;margin-top:32.85pt;z-index:-1677716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383.1pt;margin-top:32.85pt;z-index:-16777160;width:62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443.15pt;margin-top:32.85pt;z-index:-1677715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446.05pt;margin-top:32.85pt;z-index:-16777152;width:41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5.1pt;margin-top:32.85pt;z-index:-1677714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93.05pt;margin-top:32.85pt;z-index:-16777144;width:62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553.1pt;margin-top:32.85pt;z-index:-1677714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60.5pt;margin-top:60.3pt;z-index:-16777136;width:167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226.15pt;margin-top:60.3pt;z-index:-16777132;width:41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265.2pt;margin-top:60.3pt;z-index:-1677712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73.15pt;margin-top:60.3pt;z-index:-16777124;width:62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33.2pt;margin-top:60.3pt;z-index:-1677712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336.1pt;margin-top:60.3pt;z-index:-16777116;width:41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375.15pt;margin-top:60.3pt;z-index:-1677711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383.1pt;margin-top:60.3pt;z-index:-16777108;width:62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443.15pt;margin-top:60.3pt;z-index:-1677710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446.05pt;margin-top:60.3pt;z-index:-16777100;width:41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485.1pt;margin-top:60.3pt;z-index:-1677709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93.05pt;margin-top:60.3pt;z-index:-16777092;width:62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53.1pt;margin-top:60.3pt;z-index:-1677708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265.2pt;margin-top:44.4pt;z-index:-1677708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265.2pt;margin-top:45.85pt;z-index:-1677708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73.15pt;margin-top:44.4pt;z-index:-16777076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73.15pt;margin-top:45.85pt;z-index:-16777072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375.15pt;margin-top:44.4pt;z-index:-1677706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75.15pt;margin-top:45.85pt;z-index:-1677706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383.1pt;margin-top:44.4pt;z-index:-16777060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83.1pt;margin-top:45.85pt;z-index:-16777056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485.1pt;margin-top:44.4pt;z-index:-1677705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85.1pt;margin-top:45.85pt;z-index:-1677704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493.05pt;margin-top:44.4pt;z-index:-16777044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93.05pt;margin-top:45.85pt;z-index:-16777040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65.2pt;margin-top:58.85pt;z-index:-1677703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273.15pt;margin-top:58.85pt;z-index:-16777032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375.15pt;margin-top:58.85pt;z-index:-1677702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383.1pt;margin-top:58.85pt;z-index:-16777024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85.1pt;margin-top:58.85pt;z-index:-1677702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493.05pt;margin-top:58.85pt;z-index:-16777016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65.2pt;margin-top:71.9pt;z-index:-1677701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265.2pt;margin-top:73.35pt;z-index:-1677700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73.15pt;margin-top:71.9pt;z-index:-16777004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73.15pt;margin-top:73.35pt;z-index:-16777000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375.15pt;margin-top:71.9pt;z-index:-1677699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375.15pt;margin-top:73.35pt;z-index:-1677699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383.1pt;margin-top:71.9pt;z-index:-16776988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83.1pt;margin-top:73.35pt;z-index:-16776984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85.1pt;margin-top:71.9pt;z-index:-1677698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85.1pt;margin-top:73.35pt;z-index:-1677697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93.05pt;margin-top:71.9pt;z-index:-16776972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493.05pt;margin-top:73.35pt;z-index:-16776968;width:62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60.5pt;margin-top:148.55pt;z-index:-16776964;width:23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295.6pt;margin-top:148.55pt;z-index:-16776960;width:36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330.3pt;margin-top:148.55pt;z-index:-167769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336.1pt;margin-top:148.55pt;z-index:-16776952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379.5pt;margin-top:148.55pt;z-index:-167769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85.3pt;margin-top:148.55pt;z-index:-16776944;width:32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15.65pt;margin-top:148.55pt;z-index:-167769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21.45pt;margin-top:148.55pt;z-index:-16776936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64.85pt;margin-top:148.55pt;z-index:-167769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70.65pt;margin-top:148.55pt;z-index:-16776928;width:32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01pt;margin-top:148.55pt;z-index:-167769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506.8pt;margin-top:148.55pt;z-index:-16776920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550.2pt;margin-top:148.55pt;z-index:-167769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60.5pt;margin-top:171.7pt;z-index:-16776912;width:23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295.6pt;margin-top:171.7pt;z-index:-16776908;width:36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0.3pt;margin-top:171.7pt;z-index:-167769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36.1pt;margin-top:171.7pt;z-index:-16776900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379.5pt;margin-top:171.7pt;z-index:-167768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85.3pt;margin-top:171.7pt;z-index:-16776892;width:32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15.65pt;margin-top:171.7pt;z-index:-167768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421.45pt;margin-top:171.7pt;z-index:-16776884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64.85pt;margin-top:171.7pt;z-index:-167768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470.65pt;margin-top:171.7pt;z-index:-16776876;width:32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01pt;margin-top:171.7pt;z-index:-167768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506.8pt;margin-top:171.7pt;z-index:-16776868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50.2pt;margin-top:171.7pt;z-index:-167768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60.5pt;margin-top:194.85pt;z-index:-16776860;width:23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5.6pt;margin-top:194.85pt;z-index:-16776856;width:36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330.3pt;margin-top:194.85pt;z-index:-167768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36.1pt;margin-top:194.85pt;z-index:-16776848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379.5pt;margin-top:194.85pt;z-index:-167768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85.3pt;margin-top:194.85pt;z-index:-16776840;width:32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415.65pt;margin-top:194.85pt;z-index:-167768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21.45pt;margin-top:194.85pt;z-index:-16776832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464.85pt;margin-top:194.85pt;z-index:-167768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70.65pt;margin-top:194.85pt;z-index:-16776824;width:32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01pt;margin-top:194.85pt;z-index:-167768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8pt;margin-top:194.85pt;z-index:-16776816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0.2pt;margin-top:194.85pt;z-index:-167768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60.5pt;margin-top:218pt;z-index:-16776808;width:23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5.6pt;margin-top:218pt;z-index:-16776804;width:36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0.3pt;margin-top:218pt;z-index:-167768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336.1pt;margin-top:218pt;z-index:-16776796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79.5pt;margin-top:218pt;z-index:-167767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85.3pt;margin-top:218pt;z-index:-16776788;width:32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415.65pt;margin-top:218pt;z-index:-167767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421.45pt;margin-top:218pt;z-index:-16776780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464.85pt;margin-top:218pt;z-index:-167767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470.65pt;margin-top:218pt;z-index:-16776772;width:32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501pt;margin-top:218pt;z-index:-167767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506.8pt;margin-top:218pt;z-index:-16776764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550.2pt;margin-top:218pt;z-index:-167767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60.5pt;margin-top:241.15pt;z-index:-16776756;width:23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95.6pt;margin-top:241.15pt;z-index:-16776752;width:36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30.3pt;margin-top:241.15pt;z-index:-167767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36.1pt;margin-top:241.15pt;z-index:-16776744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79.5pt;margin-top:241.15pt;z-index:-167767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3pt;margin-top:241.15pt;z-index:-16776736;width:32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5.65pt;margin-top:241.15pt;z-index:-167767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421.45pt;margin-top:241.15pt;z-index:-16776728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464.85pt;margin-top:241.15pt;z-index:-167767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70.65pt;margin-top:241.15pt;z-index:-16776720;width:32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501pt;margin-top:241.15pt;z-index:-167767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506.8pt;margin-top:241.15pt;z-index:-16776712;width:45.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550.2pt;margin-top:241.15pt;z-index:-167767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330.3pt;margin-top:252.7pt;z-index:-1677670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336.1pt;margin-top:252.7pt;z-index:-16776700;width:4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15.65pt;margin-top:252.7pt;z-index:-1677669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421.45pt;margin-top:252.7pt;z-index:-16776692;width:4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501pt;margin-top:252.7pt;z-index:-1677668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506.8pt;margin-top:252.7pt;z-index:-16776684;width:4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330.3pt;margin-top:265.75pt;z-index:-1677668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330.3pt;margin-top:267.15pt;z-index:-1677667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36.1pt;margin-top:265.75pt;z-index:-16776672;width:4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336.1pt;margin-top:267.15pt;z-index:-16776668;width:4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415.65pt;margin-top:265.75pt;z-index:-1677666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415.65pt;margin-top:267.15pt;z-index:-1677666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21.45pt;margin-top:265.75pt;z-index:-16776656;width:4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421.45pt;margin-top:267.15pt;z-index:-16776652;width:4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01pt;margin-top:265.75pt;z-index:-1677664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501pt;margin-top:267.15pt;z-index:-1677664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506.8pt;margin-top:265.75pt;z-index:-16776640;width:4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506.8pt;margin-top:267.15pt;z-index:-16776636;width:4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427.55pt;margin-top:440.05pt;z-index:-16776632;width:7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461.4pt;margin-top:463.2pt;z-index:-16776628;width:130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</w:p>
    <w:p>
      <w:pPr>
        <w:pStyle w:val="Normal"/>
        <w:framePr w:w="344" w:hAnchor="page" w:vAnchor="page" w:x="6130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13560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circumstances after the date of such statements or of anticipated or unanticipated events that alter any assumptions underlying such statements.</w:t>
      </w:r>
    </w:p>
    <w:p>
      <w:pPr>
        <w:pStyle w:val="Normal"/>
        <w:framePr w:w="13777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information as of the date of this release. QIWI undertakes no duty to update any forward-looking statements to reflect the occurrence of events or</w:t>
      </w:r>
    </w:p>
    <w:p>
      <w:pPr>
        <w:pStyle w:val="Normal"/>
        <w:framePr w:w="13427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looking statements as a result of many factors. There can be no assurance that QIWI will be able to complete the offering. QIWI providing this</w:t>
      </w:r>
    </w:p>
    <w:p>
      <w:pPr>
        <w:pStyle w:val="Normal"/>
        <w:framePr w:w="14159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statements reflect our current expectations concerning future events, our actual results could differ materially from those anticipated in these forward-</w:t>
      </w:r>
    </w:p>
    <w:p>
      <w:pPr>
        <w:pStyle w:val="Normal"/>
        <w:framePr w:w="14010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operations and in our annual report on Form 20-F for the fiscal year ended December 31, 2019 and in our other filings with the SEC. Because these</w:t>
      </w:r>
    </w:p>
    <w:p>
      <w:pPr>
        <w:pStyle w:val="Normal"/>
        <w:framePr w:w="14222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involve significant risks and uncertainties, including those discussed in the preliminary prospectus supplement related to the offering and our results of</w:t>
      </w:r>
    </w:p>
    <w:p>
      <w:pPr>
        <w:pStyle w:val="Normal"/>
        <w:framePr w:w="14175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Reform Act of 1995, including, without limitation, statements regarding the proposed public offering and future results of operations. These statements</w:t>
      </w:r>
    </w:p>
    <w:p>
      <w:pPr>
        <w:pStyle w:val="Normal"/>
        <w:framePr w:w="13708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152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Forward-Looking Statements</w:t>
      </w:r>
    </w:p>
    <w:p>
      <w:pPr>
        <w:pStyle w:val="Normal"/>
        <w:framePr w:w="10540" w:hAnchor="page" w:vAnchor="page" w:x="276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order to pay for goods and services or transfer money across virtual or physical environments interchangeably.</w:t>
      </w:r>
    </w:p>
    <w:p>
      <w:pPr>
        <w:pStyle w:val="Normal"/>
        <w:framePr w:w="14029" w:hAnchor="page" w:vAnchor="page" w:x="276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39 million consumers using its network at least once a month. QIWI’s consumers can use cash, stored value and other electronic payment methods in</w:t>
      </w:r>
    </w:p>
    <w:p>
      <w:pPr>
        <w:pStyle w:val="Normal"/>
        <w:framePr w:w="14045" w:hAnchor="page" w:vAnchor="page" w:x="276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terminals, and enabled merchants and customers to accept and transfer over RUB 123 billion cash and electronic payments monthly connecting over</w:t>
      </w:r>
    </w:p>
    <w:p>
      <w:pPr>
        <w:pStyle w:val="Normal"/>
        <w:framePr w:w="13656" w:hAnchor="page" w:vAnchor="page" w:x="27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enables payment services across online, mobile and physical channels. It has deployed over 21.8 million virtual wallets, over 127,000 kiosks and</w:t>
      </w:r>
    </w:p>
    <w:p>
      <w:pPr>
        <w:pStyle w:val="Normal"/>
        <w:framePr w:w="13731" w:hAnchor="page" w:vAnchor="page" w:x="27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QIWI is a leading provider of next generation payment and financial services in Russia and the CIS. It has an integrated proprietary network that</w:t>
      </w:r>
    </w:p>
    <w:p>
      <w:pPr>
        <w:pStyle w:val="Normal"/>
        <w:framePr w:w="1906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About QIWI plc.</w:t>
      </w:r>
    </w:p>
    <w:p>
      <w:pPr>
        <w:pStyle w:val="Normal"/>
        <w:framePr w:w="2554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state or jurisdiction.</w:t>
      </w:r>
    </w:p>
    <w:p>
      <w:pPr>
        <w:pStyle w:val="Normal"/>
        <w:framePr w:w="14164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state or jurisdiction in which such offer, solicitation or sale would be unlawful prior to registration or qualification under the securities laws of any</w:t>
      </w:r>
    </w:p>
    <w:p>
      <w:pPr>
        <w:pStyle w:val="Normal"/>
        <w:framePr w:w="14367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press release shall not constitute an offer to sell or the solicitation of an offer to buy these securities, nor shall there be any sale of these securities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7pt;margin-top:1pt;z-index:-16776624;width:598pt;height:284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12.8pt;margin-top:1pt;z-index:-167766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12.8pt;margin-top:2.45pt;z-index:-167766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597.95pt;margin-top:1pt;z-index:-167766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2.8pt;margin-top:1pt;z-index:-167766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styles.xml" Type="http://schemas.openxmlformats.org/officeDocument/2006/relationships/styles"/><Relationship Id="rId154" Target="fontTable.xml" Type="http://schemas.openxmlformats.org/officeDocument/2006/relationships/fontTable"/><Relationship Id="rId155" Target="settings.xml" Type="http://schemas.openxmlformats.org/officeDocument/2006/relationships/settings"/><Relationship Id="rId156" Target="webSettings.xml" Type="http://schemas.openxmlformats.org/officeDocument/2006/relationships/webSettings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1303</Words>
  <Characters>7229</Characters>
  <Application>e-iceblue</Application>
  <DocSecurity>0</DocSecurity>
  <Lines>169</Lines>
  <Paragraphs>169</Paragraphs>
  <ScaleCrop>false</ScaleCrop>
  <Company>e-iceblue</Company>
  <LinksUpToDate>false</LinksUpToDate>
  <CharactersWithSpaces>8553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2021-11-30T20:42:04Z</dcterms:created>
  <dc:creator>root</dc:creator>
  <cp:lastModifiedBy>root</cp:lastModifiedBy>
  <dcterms:modified xsi:type="dcterms:W3CDTF">2021-11-30T20:42:04Z</dcterms:modified>
  <cp:revision>1</cp:revision>
</cp:coreProperties>
</file>